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13212">
      <w:pPr>
        <w:jc w:val="right"/>
        <w:rPr>
          <w:rFonts w:hint="eastAsia" w:ascii="宋体" w:hAnsi="宋体" w:eastAsia="宋体" w:cs="宋体"/>
          <w:color w:val="auto"/>
          <w:szCs w:val="21"/>
          <w:highlight w:val="none"/>
        </w:rPr>
      </w:pPr>
    </w:p>
    <w:p w14:paraId="7D6A3B49">
      <w:pPr>
        <w:pStyle w:val="48"/>
        <w:ind w:firstLine="400"/>
        <w:rPr>
          <w:rFonts w:hint="eastAsia" w:ascii="宋体" w:hAnsi="宋体" w:eastAsia="宋体" w:cs="宋体"/>
          <w:color w:val="auto"/>
          <w:highlight w:val="none"/>
        </w:rPr>
      </w:pPr>
    </w:p>
    <w:p w14:paraId="6E80E0C2">
      <w:pPr>
        <w:rPr>
          <w:rFonts w:hint="eastAsia" w:ascii="宋体" w:hAnsi="宋体" w:eastAsia="宋体" w:cs="宋体"/>
          <w:color w:val="auto"/>
          <w:highlight w:val="none"/>
        </w:rPr>
      </w:pPr>
    </w:p>
    <w:p w14:paraId="4758D589">
      <w:pPr>
        <w:rPr>
          <w:rFonts w:hint="eastAsia" w:ascii="宋体" w:hAnsi="宋体" w:eastAsia="宋体" w:cs="宋体"/>
          <w:color w:val="auto"/>
          <w:highlight w:val="none"/>
        </w:rPr>
      </w:pPr>
    </w:p>
    <w:p w14:paraId="20F84318">
      <w:pPr>
        <w:rPr>
          <w:rFonts w:hint="eastAsia" w:ascii="宋体" w:hAnsi="宋体" w:eastAsia="宋体" w:cs="宋体"/>
          <w:color w:val="auto"/>
          <w:highlight w:val="none"/>
        </w:rPr>
      </w:pPr>
    </w:p>
    <w:p w14:paraId="37183659">
      <w:pPr>
        <w:ind w:right="-28"/>
        <w:jc w:val="center"/>
        <w:textAlignment w:val="bottom"/>
        <w:rPr>
          <w:rFonts w:hint="eastAsia" w:ascii="宋体" w:hAnsi="宋体" w:eastAsia="宋体" w:cs="宋体"/>
          <w:bCs/>
          <w:color w:val="auto"/>
          <w:spacing w:val="57"/>
          <w:sz w:val="96"/>
          <w:szCs w:val="96"/>
          <w:highlight w:val="none"/>
        </w:rPr>
      </w:pPr>
      <w:r>
        <w:rPr>
          <w:rFonts w:hint="eastAsia" w:ascii="宋体" w:hAnsi="宋体" w:eastAsia="宋体" w:cs="宋体"/>
          <w:bCs/>
          <w:color w:val="auto"/>
          <w:spacing w:val="57"/>
          <w:sz w:val="96"/>
          <w:szCs w:val="96"/>
          <w:highlight w:val="none"/>
        </w:rPr>
        <w:t>公开采购文件</w:t>
      </w:r>
    </w:p>
    <w:p w14:paraId="262332C9">
      <w:pPr>
        <w:rPr>
          <w:rFonts w:hint="eastAsia" w:ascii="宋体" w:hAnsi="宋体" w:eastAsia="宋体" w:cs="宋体"/>
          <w:color w:val="auto"/>
          <w:highlight w:val="none"/>
        </w:rPr>
      </w:pPr>
    </w:p>
    <w:p w14:paraId="1CCCB3EF">
      <w:pPr>
        <w:pStyle w:val="13"/>
        <w:rPr>
          <w:rFonts w:hint="eastAsia" w:ascii="宋体" w:hAnsi="宋体" w:eastAsia="宋体" w:cs="宋体"/>
          <w:color w:val="auto"/>
          <w:highlight w:val="none"/>
        </w:rPr>
      </w:pPr>
    </w:p>
    <w:tbl>
      <w:tblPr>
        <w:tblStyle w:val="37"/>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6203"/>
      </w:tblGrid>
      <w:tr w14:paraId="6B3F6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613" w:type="dxa"/>
            <w:vAlign w:val="center"/>
          </w:tcPr>
          <w:p w14:paraId="4DCB5823">
            <w:pPr>
              <w:spacing w:before="200"/>
              <w:jc w:val="both"/>
              <w:rPr>
                <w:rFonts w:hint="eastAsia" w:ascii="宋体" w:hAnsi="宋体" w:eastAsia="宋体" w:cs="宋体"/>
                <w:bCs/>
                <w:color w:val="auto"/>
                <w:sz w:val="32"/>
                <w:szCs w:val="24"/>
                <w:highlight w:val="none"/>
              </w:rPr>
            </w:pPr>
            <w:r>
              <w:rPr>
                <w:rFonts w:hint="eastAsia" w:ascii="宋体" w:hAnsi="宋体" w:eastAsia="宋体" w:cs="宋体"/>
                <w:bCs/>
                <w:color w:val="auto"/>
                <w:sz w:val="32"/>
                <w:szCs w:val="24"/>
                <w:highlight w:val="none"/>
              </w:rPr>
              <w:t>项目名称：</w:t>
            </w:r>
          </w:p>
        </w:tc>
        <w:tc>
          <w:tcPr>
            <w:tcW w:w="6203" w:type="dxa"/>
            <w:vAlign w:val="center"/>
          </w:tcPr>
          <w:p w14:paraId="6F791045">
            <w:pPr>
              <w:spacing w:before="200"/>
              <w:jc w:val="both"/>
              <w:rPr>
                <w:rFonts w:hint="eastAsia" w:ascii="宋体" w:hAnsi="宋体" w:eastAsia="宋体" w:cs="宋体"/>
                <w:bCs/>
                <w:color w:val="auto"/>
                <w:sz w:val="32"/>
                <w:szCs w:val="24"/>
                <w:highlight w:val="none"/>
                <w:lang w:eastAsia="zh-CN"/>
              </w:rPr>
            </w:pPr>
            <w:r>
              <w:rPr>
                <w:rFonts w:hint="eastAsia" w:ascii="宋体" w:hAnsi="宋体" w:eastAsia="宋体" w:cs="宋体"/>
                <w:bCs/>
                <w:color w:val="auto"/>
                <w:sz w:val="32"/>
                <w:szCs w:val="24"/>
                <w:highlight w:val="none"/>
                <w:u w:val="single"/>
                <w:lang w:eastAsia="zh-CN"/>
              </w:rPr>
              <w:t>阳江开能5-8#AOD余热锅炉技术改造项目施工</w:t>
            </w:r>
          </w:p>
        </w:tc>
      </w:tr>
      <w:tr w14:paraId="1D6DF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13" w:type="dxa"/>
            <w:vAlign w:val="center"/>
          </w:tcPr>
          <w:p w14:paraId="76F9B8AB">
            <w:pPr>
              <w:spacing w:before="200"/>
              <w:jc w:val="both"/>
              <w:rPr>
                <w:rFonts w:hint="eastAsia" w:ascii="宋体" w:hAnsi="宋体" w:eastAsia="宋体" w:cs="宋体"/>
                <w:bCs/>
                <w:color w:val="auto"/>
                <w:sz w:val="32"/>
                <w:szCs w:val="24"/>
                <w:highlight w:val="none"/>
              </w:rPr>
            </w:pPr>
            <w:r>
              <w:rPr>
                <w:rFonts w:hint="eastAsia" w:ascii="宋体" w:hAnsi="宋体" w:eastAsia="宋体" w:cs="宋体"/>
                <w:bCs/>
                <w:color w:val="auto"/>
                <w:sz w:val="32"/>
                <w:szCs w:val="24"/>
                <w:highlight w:val="none"/>
              </w:rPr>
              <w:t>项目采购编号：</w:t>
            </w:r>
          </w:p>
        </w:tc>
        <w:tc>
          <w:tcPr>
            <w:tcW w:w="6203" w:type="dxa"/>
            <w:vAlign w:val="center"/>
          </w:tcPr>
          <w:p w14:paraId="1237CE7A">
            <w:pPr>
              <w:spacing w:before="200"/>
              <w:jc w:val="both"/>
              <w:rPr>
                <w:rFonts w:hint="eastAsia" w:ascii="宋体" w:hAnsi="宋体" w:eastAsia="宋体" w:cs="宋体"/>
                <w:bCs/>
                <w:color w:val="auto"/>
                <w:sz w:val="32"/>
                <w:szCs w:val="24"/>
                <w:highlight w:val="none"/>
                <w:lang w:eastAsia="zh-CN"/>
              </w:rPr>
            </w:pPr>
            <w:r>
              <w:rPr>
                <w:rFonts w:hint="eastAsia" w:ascii="宋体" w:hAnsi="宋体" w:eastAsia="宋体" w:cs="宋体"/>
                <w:bCs/>
                <w:color w:val="auto"/>
                <w:sz w:val="32"/>
                <w:szCs w:val="24"/>
                <w:highlight w:val="none"/>
                <w:u w:val="single"/>
                <w:lang w:eastAsia="zh-CN"/>
              </w:rPr>
              <w:t>GDZHCG24063</w:t>
            </w:r>
          </w:p>
        </w:tc>
      </w:tr>
      <w:tr w14:paraId="172EE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vAlign w:val="center"/>
          </w:tcPr>
          <w:p w14:paraId="6A74D2ED">
            <w:pPr>
              <w:spacing w:before="200"/>
              <w:jc w:val="both"/>
              <w:rPr>
                <w:rFonts w:hint="eastAsia" w:ascii="宋体" w:hAnsi="宋体" w:eastAsia="宋体" w:cs="宋体"/>
                <w:bCs/>
                <w:color w:val="auto"/>
                <w:sz w:val="32"/>
                <w:szCs w:val="24"/>
                <w:highlight w:val="none"/>
              </w:rPr>
            </w:pPr>
            <w:r>
              <w:rPr>
                <w:rFonts w:hint="eastAsia" w:ascii="宋体" w:hAnsi="宋体" w:eastAsia="宋体" w:cs="宋体"/>
                <w:bCs/>
                <w:color w:val="auto"/>
                <w:sz w:val="32"/>
                <w:szCs w:val="24"/>
                <w:highlight w:val="none"/>
              </w:rPr>
              <w:t>采购人：</w:t>
            </w:r>
          </w:p>
        </w:tc>
        <w:tc>
          <w:tcPr>
            <w:tcW w:w="6203" w:type="dxa"/>
            <w:vAlign w:val="center"/>
          </w:tcPr>
          <w:p w14:paraId="60C637D1">
            <w:pPr>
              <w:spacing w:before="200"/>
              <w:jc w:val="both"/>
              <w:rPr>
                <w:rFonts w:hint="eastAsia" w:ascii="宋体" w:hAnsi="宋体" w:eastAsia="宋体" w:cs="宋体"/>
                <w:bCs/>
                <w:color w:val="auto"/>
                <w:sz w:val="32"/>
                <w:szCs w:val="24"/>
                <w:highlight w:val="none"/>
                <w:lang w:eastAsia="zh-CN"/>
              </w:rPr>
            </w:pPr>
            <w:r>
              <w:rPr>
                <w:rFonts w:hint="eastAsia" w:ascii="宋体" w:hAnsi="宋体" w:eastAsia="宋体" w:cs="宋体"/>
                <w:bCs/>
                <w:color w:val="auto"/>
                <w:sz w:val="32"/>
                <w:szCs w:val="24"/>
                <w:highlight w:val="none"/>
                <w:u w:val="single"/>
                <w:lang w:eastAsia="zh-CN"/>
              </w:rPr>
              <w:t>阳江开能环保能源有限公司</w:t>
            </w:r>
          </w:p>
        </w:tc>
      </w:tr>
      <w:tr w14:paraId="32A6F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vAlign w:val="center"/>
          </w:tcPr>
          <w:p w14:paraId="428DA4EB">
            <w:pPr>
              <w:spacing w:before="200"/>
              <w:jc w:val="both"/>
              <w:rPr>
                <w:rFonts w:hint="eastAsia" w:ascii="宋体" w:hAnsi="宋体" w:eastAsia="宋体" w:cs="宋体"/>
                <w:bCs/>
                <w:color w:val="auto"/>
                <w:sz w:val="32"/>
                <w:szCs w:val="24"/>
                <w:highlight w:val="none"/>
              </w:rPr>
            </w:pPr>
            <w:r>
              <w:rPr>
                <w:rFonts w:hint="eastAsia" w:ascii="宋体" w:hAnsi="宋体" w:eastAsia="宋体" w:cs="宋体"/>
                <w:bCs/>
                <w:color w:val="auto"/>
                <w:sz w:val="32"/>
                <w:szCs w:val="24"/>
                <w:highlight w:val="none"/>
              </w:rPr>
              <w:t>采购代理：</w:t>
            </w:r>
          </w:p>
        </w:tc>
        <w:tc>
          <w:tcPr>
            <w:tcW w:w="6203" w:type="dxa"/>
            <w:vAlign w:val="center"/>
          </w:tcPr>
          <w:p w14:paraId="23C288C3">
            <w:pPr>
              <w:spacing w:before="200"/>
              <w:jc w:val="both"/>
              <w:rPr>
                <w:rFonts w:hint="eastAsia" w:ascii="宋体" w:hAnsi="宋体" w:eastAsia="宋体" w:cs="宋体"/>
                <w:bCs/>
                <w:color w:val="auto"/>
                <w:sz w:val="32"/>
                <w:szCs w:val="24"/>
                <w:highlight w:val="none"/>
                <w:lang w:eastAsia="zh-CN"/>
              </w:rPr>
            </w:pPr>
            <w:r>
              <w:rPr>
                <w:rFonts w:hint="eastAsia" w:ascii="宋体" w:hAnsi="宋体" w:eastAsia="宋体" w:cs="宋体"/>
                <w:bCs/>
                <w:color w:val="auto"/>
                <w:sz w:val="32"/>
                <w:szCs w:val="24"/>
                <w:highlight w:val="none"/>
                <w:u w:val="single"/>
                <w:lang w:eastAsia="zh-CN"/>
              </w:rPr>
              <w:t>广东志合项目管理有限公司</w:t>
            </w:r>
          </w:p>
        </w:tc>
      </w:tr>
    </w:tbl>
    <w:p w14:paraId="01D18060">
      <w:pPr>
        <w:jc w:val="center"/>
        <w:rPr>
          <w:rFonts w:hint="eastAsia" w:ascii="宋体" w:hAnsi="宋体" w:eastAsia="宋体" w:cs="宋体"/>
          <w:color w:val="auto"/>
          <w:szCs w:val="21"/>
          <w:highlight w:val="none"/>
        </w:rPr>
      </w:pPr>
    </w:p>
    <w:p w14:paraId="7BFF4276">
      <w:pPr>
        <w:jc w:val="center"/>
        <w:rPr>
          <w:rFonts w:hint="eastAsia" w:ascii="宋体" w:hAnsi="宋体" w:eastAsia="宋体" w:cs="宋体"/>
          <w:color w:val="auto"/>
          <w:szCs w:val="21"/>
          <w:highlight w:val="none"/>
        </w:rPr>
      </w:pPr>
    </w:p>
    <w:p w14:paraId="6350F650">
      <w:pPr>
        <w:jc w:val="center"/>
        <w:rPr>
          <w:rFonts w:hint="eastAsia" w:ascii="宋体" w:hAnsi="宋体" w:eastAsia="宋体" w:cs="宋体"/>
          <w:color w:val="auto"/>
          <w:szCs w:val="21"/>
          <w:highlight w:val="none"/>
        </w:rPr>
      </w:pPr>
    </w:p>
    <w:p w14:paraId="06E3EFCF">
      <w:pPr>
        <w:pStyle w:val="48"/>
        <w:ind w:firstLine="400"/>
        <w:rPr>
          <w:rFonts w:hint="eastAsia" w:ascii="宋体" w:hAnsi="宋体" w:eastAsia="宋体" w:cs="宋体"/>
          <w:color w:val="auto"/>
          <w:highlight w:val="none"/>
        </w:rPr>
      </w:pPr>
    </w:p>
    <w:p w14:paraId="74AC7218">
      <w:pPr>
        <w:jc w:val="center"/>
        <w:rPr>
          <w:rFonts w:hint="eastAsia" w:ascii="宋体" w:hAnsi="宋体" w:eastAsia="宋体" w:cs="宋体"/>
          <w:color w:val="auto"/>
          <w:szCs w:val="21"/>
          <w:highlight w:val="none"/>
        </w:rPr>
      </w:pPr>
    </w:p>
    <w:p w14:paraId="68791680">
      <w:pPr>
        <w:jc w:val="center"/>
        <w:rPr>
          <w:rFonts w:hint="eastAsia" w:ascii="宋体" w:hAnsi="宋体" w:eastAsia="宋体" w:cs="宋体"/>
          <w:color w:val="auto"/>
          <w:szCs w:val="21"/>
          <w:highlight w:val="none"/>
        </w:rPr>
      </w:pPr>
    </w:p>
    <w:p w14:paraId="6F774179">
      <w:pPr>
        <w:spacing w:before="200"/>
        <w:jc w:val="center"/>
        <w:rPr>
          <w:rFonts w:hint="eastAsia" w:ascii="宋体" w:hAnsi="宋体" w:eastAsia="宋体" w:cs="宋体"/>
          <w:bCs/>
          <w:color w:val="auto"/>
          <w:sz w:val="32"/>
          <w:szCs w:val="24"/>
          <w:highlight w:val="none"/>
        </w:rPr>
      </w:pPr>
      <w:r>
        <w:rPr>
          <w:rFonts w:hint="eastAsia" w:ascii="宋体" w:hAnsi="宋体" w:eastAsia="宋体" w:cs="宋体"/>
          <w:bCs/>
          <w:color w:val="auto"/>
          <w:sz w:val="32"/>
          <w:szCs w:val="24"/>
          <w:highlight w:val="none"/>
        </w:rPr>
        <w:t>202</w:t>
      </w:r>
      <w:r>
        <w:rPr>
          <w:rFonts w:hint="eastAsia" w:ascii="宋体" w:hAnsi="宋体" w:eastAsia="宋体" w:cs="宋体"/>
          <w:bCs/>
          <w:color w:val="auto"/>
          <w:sz w:val="32"/>
          <w:szCs w:val="24"/>
          <w:highlight w:val="none"/>
          <w:lang w:val="en-US" w:eastAsia="zh-CN"/>
        </w:rPr>
        <w:t>4</w:t>
      </w:r>
      <w:r>
        <w:rPr>
          <w:rFonts w:hint="eastAsia" w:ascii="宋体" w:hAnsi="宋体" w:eastAsia="宋体" w:cs="宋体"/>
          <w:bCs/>
          <w:color w:val="auto"/>
          <w:sz w:val="32"/>
          <w:szCs w:val="24"/>
          <w:highlight w:val="none"/>
        </w:rPr>
        <w:t>年</w:t>
      </w:r>
      <w:r>
        <w:rPr>
          <w:rFonts w:hint="eastAsia" w:ascii="宋体" w:hAnsi="宋体" w:eastAsia="宋体" w:cs="宋体"/>
          <w:bCs/>
          <w:color w:val="auto"/>
          <w:sz w:val="32"/>
          <w:szCs w:val="24"/>
          <w:highlight w:val="none"/>
          <w:lang w:val="en-US" w:eastAsia="zh-CN"/>
        </w:rPr>
        <w:t xml:space="preserve">11 </w:t>
      </w:r>
      <w:r>
        <w:rPr>
          <w:rFonts w:hint="eastAsia" w:ascii="宋体" w:hAnsi="宋体" w:eastAsia="宋体" w:cs="宋体"/>
          <w:bCs/>
          <w:color w:val="auto"/>
          <w:sz w:val="32"/>
          <w:szCs w:val="24"/>
          <w:highlight w:val="none"/>
        </w:rPr>
        <w:t>月</w:t>
      </w:r>
    </w:p>
    <w:p w14:paraId="3CD1EF8A">
      <w:pPr>
        <w:rPr>
          <w:rFonts w:hint="eastAsia" w:ascii="宋体" w:hAnsi="宋体" w:eastAsia="宋体" w:cs="宋体"/>
          <w:color w:val="auto"/>
          <w:highlight w:val="none"/>
        </w:rPr>
        <w:sectPr>
          <w:footerReference r:id="rId8" w:type="first"/>
          <w:footerReference r:id="rId6" w:type="default"/>
          <w:headerReference r:id="rId5" w:type="even"/>
          <w:footerReference r:id="rId7" w:type="even"/>
          <w:pgSz w:w="11906" w:h="16838"/>
          <w:pgMar w:top="1440" w:right="1800" w:bottom="1440" w:left="1800" w:header="708" w:footer="708" w:gutter="0"/>
          <w:pgBorders>
            <w:top w:val="none" w:sz="0" w:space="0"/>
            <w:left w:val="none" w:sz="0" w:space="0"/>
            <w:bottom w:val="none" w:sz="0" w:space="0"/>
            <w:right w:val="none" w:sz="0" w:space="0"/>
          </w:pgBorders>
          <w:pgNumType w:start="1"/>
          <w:cols w:space="708" w:num="1"/>
          <w:titlePg/>
          <w:docGrid w:type="lines" w:linePitch="360" w:charSpace="0"/>
        </w:sectPr>
      </w:pPr>
    </w:p>
    <w:p w14:paraId="30309F04">
      <w:pPr>
        <w:pStyle w:val="30"/>
        <w:ind w:left="0" w:leftChars="0"/>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目录</w:t>
      </w:r>
    </w:p>
    <w:p w14:paraId="298021E9">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"1-4" \h \z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"_Toc21044"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第一部分投标邀请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_Toc21044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59C7647">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"_Toc8950"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投标邀请书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_Toc8950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124556D">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"_Toc20564"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第二部分相关资料表格</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_Toc20564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BDC1422">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"_Toc14333"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附表一：投标资料表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_Toc14333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57B805D">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"_Toc1445"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附表二：商务技术评分及价格权重表（满分100分）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_Toc1445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48FD4D9">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"_Toc21237"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第三部分用户需求书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_Toc21237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5128BA8">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"_Toc31595"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第四部分投标人须知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_Toc31595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CD59556">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"_Toc25201"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一、 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_Toc25201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97C0541">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"_Toc18690"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1. 适用范围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_Toc18690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0A21162">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"_Toc28435"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2. 定义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_Toc28435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01ECC53">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"_Toc10625"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3. 货物和服务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_Toc10625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7736D79">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"_Toc1673"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4. 投标费用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_Toc1673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C1EA75C">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"_Toc21477"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5. 知识产权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_Toc21477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5B6DC76">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"_Toc25122"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6. 关于联合体投标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_Toc25122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91124C8">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"_Toc10603"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7. 关于分支机构投标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_Toc10603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85E03DB">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"_Toc16068"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8. 踏勘现场</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_Toc16068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6B466B3">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"_Toc14732"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二、 采购文件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_Toc14732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7C47458">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"_Toc25451"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9. 采购文件的组成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_Toc25451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2E38338">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"_Toc30490"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10. 采购文件的澄清或修改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_Toc30490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01C6FD1">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"_Toc10333"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三、 投标文件的编制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_Toc10333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1C0EB34">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"_Toc12048"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11. 投标文件的语言及度量衡单位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_Toc12048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F21FDA1">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"_Toc27953"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12. 投标文件的组成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_Toc27953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9FD3CE7">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"_Toc5904"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13. 投标文件编制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_Toc5904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CAE43CA">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"_Toc7134"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14. 投标报价说明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_Toc7134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34884EA">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"_Toc14501"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15. 投标人所提供的服务或货物的证明文件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_Toc14501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2A8DF26">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"_Toc2409"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16. 投标有效期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_Toc2409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D33480E">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"_Toc26564"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17. 投标保证金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_Toc26564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BCA5C13">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"_Toc18672"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四、 投标文件的递交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_Toc18672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20AB374">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"_Toc9759"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18. 投标文件的装订，签署，密封和标记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_Toc9759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192433D">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"_Toc27686"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19. 迟交的投标文件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_Toc27686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47B082E">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"_Toc8776"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20. 投标样品（如需提交）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_Toc8776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47B9218">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"_Toc17522"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21. 投标截止期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_Toc17522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99CD398">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"_Toc14518"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22. 投标文件的补充、修改与撤回</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_Toc14518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73BCB85">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"_Toc4693"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五、 开标与评标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_Toc4693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1464E44">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"_Toc20009"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23. 开标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_Toc20009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9017B53">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"_Toc15560"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24. 评标委员会及评标方法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_Toc15560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E9397B5">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"_Toc22022"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25. 评审原则及评标过程的保密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_Toc22022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0E46C3A">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"_Toc14506"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26. 评标程序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_Toc14506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C9EFAF2">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"_Toc11415"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27. 商务、技术、价格评审（具体评审项目详见投标资料表）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_Toc11415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D6E6857">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"_Toc18550"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28. 纪律和保密事项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_Toc18550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92F9BE3">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"_Toc27738"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六、 授予合同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_Toc27738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B5991F1">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"_Toc16090"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29. 合同授予标准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_Toc16090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21799D7">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"_Toc24261"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30. 发布中标结果</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_Toc24261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01685E6">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"_Toc749"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31. 资格后审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_Toc749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275466F">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"_Toc27689"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32. 合同的签订与履行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_Toc27689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4CF4A69">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"_Toc19211"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33. 履约担保</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_Toc19211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3E369D7">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"_Toc19347"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34. 预付款保函（适用于预付款支付）</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_Toc19347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B7695DB">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"_Toc27556"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七、 异议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_Toc27556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942250C">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"_Toc31457"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35. 异议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_Toc31457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A50EF99">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"_Toc16776"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八、 其他</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_Toc16776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FCACF98">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"_Toc2155"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36. 采购文件的解释权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_Toc2155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BEDDF0A">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"_Toc15211"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第五部分  合同条款格式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_Toc15211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C98B290">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"_Toc17124"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第六部分附件－投标文件格式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_Toc17124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6167D64">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"_Toc25786"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投标文件目录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_Toc25786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D04FDE3">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"_Toc18792"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附件1.评分标准索引表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_Toc18792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AB85A68">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"_Toc9213"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价格文件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_Toc9213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BC1B0CA">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"_Toc1232"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附件2.开标一览表格式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_Toc1232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BE84D79">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"_Toc7358"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商务文件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_Toc7358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C81C61E">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"_Toc11732"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附件4.投标书格式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_Toc11732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B7FFC79">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"_Toc19972"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附件5. 法定代表人证明书格式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_Toc19972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1C6F627">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"_Toc19149"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附件6.法定代表人授权书格式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_Toc19149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4BA75B3">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"_Toc30038"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附件7.资格申明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_Toc30038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3BDA084">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"_Toc10305"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附件8.营业执照</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_Toc10305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434D962">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"_Toc30816"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附件9.相关资质证明文件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_Toc30816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034C585">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"_Toc3091"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附件10.在经营活动中没有重大违法记录的书面声明格式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_Toc3091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A9159B3">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"_Toc18616"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附件11.承诺书格式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_Toc18616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DAB4879">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"_Toc24507"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附件12.商务需求条款偏离表格式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_Toc24507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FE616CF">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"_Toc22347"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附件13.业绩表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_Toc22347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E5704DD">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"_Toc4222"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附件14.联合体协议书（如有）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_Toc4222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1F1A823">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"_Toc17454"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技术文件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_Toc17454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EB95843">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"_Toc3704"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附件15. 技术规格偏离表格式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_Toc3704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B625D33">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"_Toc13819"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附件16.项目实施方案格式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_Toc13819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AFB6F1D">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"_Toc23846"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附件17.实施本项目的有关人员资料表格式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_Toc23846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09C2D28">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"_Toc15162"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附件18.投标保证金汇入情况说明格式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_Toc15162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7AF083E">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"_Toc2801"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附件19.不可撤销履约保函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_Toc2801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529AC89">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"_Toc29098"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附件20.预付款保函（适用于预付款支付）</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_Toc29098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C808304">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"_Toc16601"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唱标信封</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_Toc16601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6BFD77C">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"_Toc31340"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附件21.唱标信封内装（内容务必与投标文件正本一致）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_Toc31340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F34C18A">
      <w:pPr>
        <w:pStyle w:val="30"/>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end"/>
      </w:r>
    </w:p>
    <w:p w14:paraId="6F1207C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421E4082">
      <w:pPr>
        <w:pStyle w:val="3"/>
        <w:spacing w:before="0" w:after="0" w:line="240" w:lineRule="auto"/>
        <w:rPr>
          <w:rFonts w:hint="eastAsia" w:ascii="宋体" w:hAnsi="宋体" w:eastAsia="宋体" w:cs="宋体"/>
          <w:color w:val="auto"/>
          <w:sz w:val="28"/>
          <w:szCs w:val="28"/>
          <w:highlight w:val="none"/>
        </w:rPr>
      </w:pPr>
      <w:bookmarkStart w:id="0" w:name="_Toc21044"/>
      <w:r>
        <w:rPr>
          <w:rFonts w:hint="eastAsia" w:ascii="宋体" w:hAnsi="宋体" w:eastAsia="宋体" w:cs="宋体"/>
          <w:color w:val="auto"/>
          <w:sz w:val="28"/>
          <w:szCs w:val="28"/>
          <w:highlight w:val="none"/>
        </w:rPr>
        <w:t>第一部分投标邀请</w:t>
      </w:r>
      <w:bookmarkEnd w:id="0"/>
    </w:p>
    <w:p w14:paraId="05462EFB">
      <w:pPr>
        <w:pStyle w:val="4"/>
        <w:spacing w:before="0" w:after="0" w:line="336" w:lineRule="auto"/>
        <w:jc w:val="center"/>
        <w:rPr>
          <w:rFonts w:hint="eastAsia" w:ascii="宋体" w:hAnsi="宋体" w:eastAsia="宋体" w:cs="宋体"/>
          <w:color w:val="auto"/>
          <w:highlight w:val="none"/>
        </w:rPr>
      </w:pPr>
      <w:bookmarkStart w:id="1" w:name="_Toc8950"/>
      <w:r>
        <w:rPr>
          <w:rFonts w:hint="eastAsia" w:ascii="宋体" w:hAnsi="宋体" w:eastAsia="宋体" w:cs="宋体"/>
          <w:color w:val="auto"/>
          <w:highlight w:val="none"/>
        </w:rPr>
        <w:t>投标邀请书</w:t>
      </w:r>
      <w:bookmarkEnd w:id="1"/>
    </w:p>
    <w:p w14:paraId="3A5A1D5B">
      <w:pPr>
        <w:spacing w:line="336"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u w:val="single"/>
          <w:lang w:eastAsia="zh-CN"/>
        </w:rPr>
        <w:t>广东志合项目管理有限公司</w:t>
      </w:r>
      <w:r>
        <w:rPr>
          <w:rFonts w:hint="eastAsia" w:ascii="宋体" w:hAnsi="宋体" w:eastAsia="宋体" w:cs="宋体"/>
          <w:color w:val="auto"/>
          <w:szCs w:val="21"/>
          <w:highlight w:val="none"/>
        </w:rPr>
        <w:t>（以下简称“采购代理机构”）受</w:t>
      </w:r>
      <w:r>
        <w:rPr>
          <w:rFonts w:hint="eastAsia" w:ascii="宋体" w:hAnsi="宋体" w:eastAsia="宋体" w:cs="宋体"/>
          <w:b/>
          <w:color w:val="auto"/>
          <w:szCs w:val="21"/>
          <w:highlight w:val="none"/>
          <w:u w:val="single"/>
          <w:lang w:eastAsia="zh-CN"/>
        </w:rPr>
        <w:t>阳江开能环保能源有限公司</w:t>
      </w:r>
      <w:r>
        <w:rPr>
          <w:rFonts w:hint="eastAsia" w:ascii="宋体" w:hAnsi="宋体" w:eastAsia="宋体" w:cs="宋体"/>
          <w:color w:val="auto"/>
          <w:szCs w:val="21"/>
          <w:highlight w:val="none"/>
        </w:rPr>
        <w:t>（以下简称“采购人”）委托，现就</w:t>
      </w:r>
      <w:r>
        <w:rPr>
          <w:rFonts w:hint="eastAsia" w:ascii="宋体" w:hAnsi="宋体" w:eastAsia="宋体" w:cs="宋体"/>
          <w:b/>
          <w:color w:val="auto"/>
          <w:szCs w:val="21"/>
          <w:highlight w:val="none"/>
          <w:u w:val="single"/>
          <w:lang w:eastAsia="zh-CN"/>
        </w:rPr>
        <w:t>阳江开能5-8#AOD余热锅炉技术改造项目施工</w:t>
      </w:r>
      <w:r>
        <w:rPr>
          <w:rFonts w:hint="eastAsia" w:ascii="宋体" w:hAnsi="宋体" w:eastAsia="宋体" w:cs="宋体"/>
          <w:color w:val="auto"/>
          <w:szCs w:val="21"/>
          <w:highlight w:val="none"/>
        </w:rPr>
        <w:t>（项目编号：</w:t>
      </w:r>
      <w:r>
        <w:rPr>
          <w:rFonts w:hint="eastAsia" w:ascii="宋体" w:hAnsi="宋体" w:eastAsia="宋体" w:cs="宋体"/>
          <w:b/>
          <w:bCs/>
          <w:color w:val="auto"/>
          <w:szCs w:val="21"/>
          <w:highlight w:val="none"/>
          <w:lang w:val="en-US" w:eastAsia="zh-CN"/>
        </w:rPr>
        <w:t>GDZHCG24063</w:t>
      </w:r>
      <w:r>
        <w:rPr>
          <w:rFonts w:hint="eastAsia" w:ascii="宋体" w:hAnsi="宋体" w:eastAsia="宋体" w:cs="宋体"/>
          <w:color w:val="auto"/>
          <w:szCs w:val="21"/>
          <w:highlight w:val="none"/>
        </w:rPr>
        <w:t>）进行国内公开采购，欢迎符合采购文件要求的国内投标人参加投标。有关事项如下：</w:t>
      </w:r>
    </w:p>
    <w:p w14:paraId="11CC12FF">
      <w:pPr>
        <w:spacing w:line="336" w:lineRule="auto"/>
        <w:ind w:firstLine="413" w:firstLineChars="196"/>
        <w:rPr>
          <w:rFonts w:hint="eastAsia" w:ascii="宋体" w:hAnsi="宋体" w:eastAsia="宋体" w:cs="宋体"/>
          <w:b/>
          <w:color w:val="auto"/>
          <w:szCs w:val="21"/>
          <w:highlight w:val="none"/>
        </w:rPr>
      </w:pPr>
    </w:p>
    <w:p w14:paraId="1440B3B9">
      <w:pPr>
        <w:spacing w:line="336" w:lineRule="auto"/>
        <w:ind w:firstLine="413"/>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一、采购项目概况</w:t>
      </w:r>
    </w:p>
    <w:p w14:paraId="3CA5A6C1">
      <w:pPr>
        <w:spacing w:line="336" w:lineRule="auto"/>
        <w:ind w:firstLine="420" w:firstLineChars="200"/>
        <w:jc w:val="both"/>
        <w:outlineLvl w:val="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1、采购项目名称：</w:t>
      </w:r>
      <w:r>
        <w:rPr>
          <w:rFonts w:hint="eastAsia" w:ascii="宋体" w:hAnsi="宋体" w:eastAsia="宋体" w:cs="宋体"/>
          <w:b/>
          <w:color w:val="auto"/>
          <w:szCs w:val="21"/>
          <w:highlight w:val="none"/>
          <w:u w:val="single"/>
          <w:lang w:eastAsia="zh-CN"/>
        </w:rPr>
        <w:t>阳江开能5-8#AOD余热锅炉技术改造项目施工</w:t>
      </w:r>
    </w:p>
    <w:p w14:paraId="35F01F4C">
      <w:pPr>
        <w:spacing w:line="336" w:lineRule="auto"/>
        <w:ind w:firstLine="420" w:firstLineChars="200"/>
        <w:jc w:val="both"/>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采购控制价：</w:t>
      </w:r>
      <w:r>
        <w:rPr>
          <w:rFonts w:hint="eastAsia" w:ascii="宋体" w:hAnsi="宋体" w:eastAsia="宋体" w:cs="宋体"/>
          <w:b w:val="0"/>
          <w:bCs w:val="0"/>
          <w:color w:val="auto"/>
          <w:szCs w:val="21"/>
          <w:highlight w:val="none"/>
          <w:lang w:val="en-US" w:eastAsia="zh-CN"/>
        </w:rPr>
        <w:t>¥</w:t>
      </w:r>
      <w:r>
        <w:rPr>
          <w:rFonts w:hint="eastAsia" w:ascii="宋体" w:hAnsi="宋体" w:eastAsia="宋体" w:cs="宋体"/>
          <w:b w:val="0"/>
          <w:bCs w:val="0"/>
          <w:color w:val="auto"/>
          <w:sz w:val="21"/>
          <w:szCs w:val="21"/>
          <w:highlight w:val="none"/>
          <w:lang w:eastAsia="zh-CN"/>
        </w:rPr>
        <w:t>3350000.00</w:t>
      </w:r>
      <w:r>
        <w:rPr>
          <w:rFonts w:hint="eastAsia" w:ascii="宋体" w:hAnsi="宋体" w:eastAsia="宋体" w:cs="宋体"/>
          <w:b w:val="0"/>
          <w:bCs w:val="0"/>
          <w:color w:val="auto"/>
          <w:szCs w:val="21"/>
          <w:highlight w:val="none"/>
          <w:lang w:val="en-US" w:eastAsia="zh-CN"/>
        </w:rPr>
        <w:t>元</w:t>
      </w:r>
      <w:r>
        <w:rPr>
          <w:rFonts w:hint="eastAsia" w:ascii="宋体" w:hAnsi="宋体" w:eastAsia="宋体" w:cs="宋体"/>
          <w:color w:val="auto"/>
          <w:szCs w:val="21"/>
          <w:highlight w:val="none"/>
          <w:lang w:val="en-US" w:eastAsia="zh-CN"/>
        </w:rPr>
        <w:t>（大写：人民币叁佰叁拾伍万元整）</w:t>
      </w:r>
    </w:p>
    <w:p w14:paraId="3D5584B5">
      <w:pPr>
        <w:spacing w:line="336" w:lineRule="auto"/>
        <w:ind w:firstLine="420" w:firstLineChars="200"/>
        <w:jc w:val="both"/>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、项目需求</w:t>
      </w:r>
    </w:p>
    <w:p w14:paraId="6AE62487">
      <w:pPr>
        <w:spacing w:line="33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详细内容请参阅采购文件第三部分《用户需求书》。</w:t>
      </w:r>
    </w:p>
    <w:p w14:paraId="4D6E6C6B">
      <w:pPr>
        <w:spacing w:line="336" w:lineRule="auto"/>
        <w:ind w:firstLine="413" w:firstLineChars="196"/>
        <w:rPr>
          <w:rFonts w:hint="eastAsia" w:ascii="宋体" w:hAnsi="宋体" w:eastAsia="宋体" w:cs="宋体"/>
          <w:b/>
          <w:color w:val="auto"/>
          <w:szCs w:val="21"/>
          <w:highlight w:val="none"/>
        </w:rPr>
      </w:pPr>
    </w:p>
    <w:p w14:paraId="320EB97A">
      <w:pPr>
        <w:spacing w:line="336" w:lineRule="auto"/>
        <w:ind w:firstLine="413" w:firstLineChars="196"/>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二、投标人资格要求</w:t>
      </w:r>
    </w:p>
    <w:p w14:paraId="61A50548">
      <w:pPr>
        <w:spacing w:line="336" w:lineRule="auto"/>
        <w:ind w:firstLine="411" w:firstLineChars="196"/>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1、一般要求：</w:t>
      </w:r>
    </w:p>
    <w:p w14:paraId="3AE35A91">
      <w:pPr>
        <w:spacing w:line="33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须为在中华人民共和国境内登记注册的具有独立承担民事责任能力的法人或其他组织【提供《营业执照》复印件（加盖公章）或《事业单位法人证书》复印件（加盖公章）或其他主体证书复印件（加盖公章）】。</w:t>
      </w:r>
    </w:p>
    <w:p w14:paraId="56F19A14">
      <w:pPr>
        <w:spacing w:line="33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（2）参加采购活动前三年内，在经营活动中没有重大违法记录（须提供书面声明）。重大违法记录，是指</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p>
    <w:p w14:paraId="71A60C88">
      <w:pPr>
        <w:spacing w:line="33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（3）投标人的单位负责人为同一人或者存在直接控股、管理关系的不同投标人，不得参加同一合同项下的采购活动。</w:t>
      </w:r>
    </w:p>
    <w:p w14:paraId="632F4133">
      <w:pPr>
        <w:spacing w:line="33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（4）未被列入“信用中国”网站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www.creditchina.gov.cn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“记录失信被执行人或</w:t>
      </w:r>
      <w:r>
        <w:rPr>
          <w:rFonts w:hint="eastAsia" w:ascii="宋体" w:hAnsi="宋体" w:eastAsia="宋体" w:cs="宋体"/>
          <w:color w:val="auto"/>
          <w:highlight w:val="none"/>
        </w:rPr>
        <w:t>重大税收违法失信主体</w:t>
      </w:r>
      <w:r>
        <w:rPr>
          <w:rFonts w:hint="eastAsia" w:ascii="宋体" w:hAnsi="宋体" w:eastAsia="宋体" w:cs="宋体"/>
          <w:color w:val="auto"/>
          <w:szCs w:val="21"/>
          <w:highlight w:val="none"/>
        </w:rPr>
        <w:t>或政府采购严重违法失信行为”记录名单。以代理机构于投标截止日当天在“信用中国”网站查询结果为准，如相关失信记录已失效，投标人需提供相关证明资料。</w:t>
      </w:r>
    </w:p>
    <w:p w14:paraId="3B27315C">
      <w:pPr>
        <w:spacing w:line="336"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投标人未被列入东实集团及下属企业工程建设领域黑名单【以东莞实业投资控股集团有限公司发文（东实通〔2021〕44号）、（东实通〔2021〕98号）、（东实通〔2022〕75号）、（东实通〔2023〕37号）为准，如有最新发文通知，按最新文件执行】。</w:t>
      </w:r>
      <w:bookmarkStart w:id="217" w:name="_GoBack"/>
      <w:bookmarkEnd w:id="217"/>
    </w:p>
    <w:p w14:paraId="40CB3634">
      <w:pPr>
        <w:spacing w:line="336" w:lineRule="auto"/>
        <w:ind w:firstLine="420" w:firstLineChars="200"/>
        <w:outlineLvl w:val="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2、其他要求</w:t>
      </w:r>
      <w:r>
        <w:rPr>
          <w:rFonts w:hint="eastAsia" w:ascii="宋体" w:hAnsi="宋体" w:eastAsia="宋体" w:cs="宋体"/>
          <w:color w:val="auto"/>
          <w:szCs w:val="21"/>
          <w:highlight w:val="none"/>
          <w:lang w:eastAsia="zh-CN"/>
        </w:rPr>
        <w:t>：</w:t>
      </w:r>
    </w:p>
    <w:p w14:paraId="137F9361">
      <w:pPr>
        <w:numPr>
          <w:ilvl w:val="-1"/>
          <w:numId w:val="0"/>
        </w:numPr>
        <w:adjustRightInd/>
        <w:spacing w:line="360" w:lineRule="auto"/>
        <w:ind w:right="53" w:firstLine="420" w:firstLineChars="200"/>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szCs w:val="21"/>
          <w:highlight w:val="none"/>
        </w:rPr>
        <w:t>（1）</w:t>
      </w:r>
      <w:r>
        <w:rPr>
          <w:rFonts w:hint="eastAsia" w:ascii="宋体" w:hAnsi="宋体" w:cs="宋体"/>
          <w:color w:val="auto"/>
          <w:kern w:val="2"/>
          <w:sz w:val="21"/>
          <w:szCs w:val="21"/>
          <w:highlight w:val="none"/>
          <w:lang w:eastAsia="zh-CN"/>
        </w:rPr>
        <w:t>投标人须具有有效的电力工程施工总承包叁级(或以上)证书</w:t>
      </w:r>
      <w:r>
        <w:rPr>
          <w:rFonts w:hint="eastAsia" w:ascii="宋体" w:hAnsi="宋体" w:eastAsia="宋体" w:cs="宋体"/>
          <w:color w:val="auto"/>
          <w:kern w:val="2"/>
          <w:sz w:val="21"/>
          <w:szCs w:val="21"/>
          <w:highlight w:val="none"/>
        </w:rPr>
        <w:t>。</w:t>
      </w:r>
    </w:p>
    <w:p w14:paraId="2C74C97B">
      <w:pPr>
        <w:numPr>
          <w:ilvl w:val="-1"/>
          <w:numId w:val="0"/>
        </w:numPr>
        <w:adjustRightInd/>
        <w:spacing w:line="360" w:lineRule="auto"/>
        <w:ind w:right="53" w:firstLine="420" w:firstLineChars="200"/>
        <w:textAlignment w:val="bottom"/>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kern w:val="2"/>
          <w:sz w:val="21"/>
          <w:szCs w:val="21"/>
          <w:highlight w:val="none"/>
        </w:rPr>
        <w:t>本项目不接受联合体投标</w:t>
      </w:r>
      <w:r>
        <w:rPr>
          <w:rFonts w:hint="eastAsia" w:ascii="宋体" w:hAnsi="宋体" w:eastAsia="宋体" w:cs="宋体"/>
          <w:color w:val="auto"/>
          <w:highlight w:val="none"/>
          <w:u w:val="none"/>
        </w:rPr>
        <w:t>。</w:t>
      </w:r>
    </w:p>
    <w:p w14:paraId="75FA01D5">
      <w:pPr>
        <w:spacing w:line="336" w:lineRule="auto"/>
        <w:ind w:firstLine="413" w:firstLineChars="196"/>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三、获取采购文件方式及要求：</w:t>
      </w:r>
    </w:p>
    <w:p w14:paraId="0C486326">
      <w:pPr>
        <w:wordWrap w:val="0"/>
        <w:spacing w:line="33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本项目不进行实名登记报名，拟参加投标的投标人可于投标截止时间前自行网上下载采购文件。采购文件下载地址</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中</w:t>
      </w:r>
      <w:r>
        <w:rPr>
          <w:rFonts w:hint="eastAsia" w:ascii="宋体" w:hAnsi="宋体" w:eastAsia="宋体" w:cs="宋体"/>
          <w:color w:val="auto"/>
          <w:szCs w:val="21"/>
          <w:highlight w:val="none"/>
          <w:u w:val="single"/>
        </w:rPr>
        <w:t>国招标投标公共服务平台（http://www.cebpubservice.com/）、东莞实业投资控股集团有限公司-招标采购栏目（http://www.dgsy.com.cn/）、</w:t>
      </w:r>
      <w:r>
        <w:rPr>
          <w:rFonts w:hint="eastAsia" w:ascii="宋体" w:hAnsi="宋体" w:eastAsia="宋体" w:cs="宋体"/>
          <w:color w:val="auto"/>
          <w:szCs w:val="21"/>
          <w:highlight w:val="none"/>
          <w:u w:val="single"/>
          <w:lang w:eastAsia="zh-CN"/>
        </w:rPr>
        <w:t>广东志合项目管理有限公司</w:t>
      </w:r>
      <w:r>
        <w:rPr>
          <w:rFonts w:hint="eastAsia" w:ascii="宋体" w:hAnsi="宋体" w:eastAsia="宋体" w:cs="宋体"/>
          <w:color w:val="auto"/>
          <w:szCs w:val="21"/>
          <w:highlight w:val="none"/>
          <w:u w:val="single"/>
        </w:rPr>
        <w:t>网站（</w:t>
      </w:r>
      <w:r>
        <w:rPr>
          <w:rFonts w:hint="eastAsia" w:ascii="宋体" w:hAnsi="宋体" w:eastAsia="宋体" w:cs="宋体"/>
          <w:color w:val="auto"/>
          <w:szCs w:val="21"/>
          <w:highlight w:val="none"/>
          <w:u w:val="single"/>
          <w:lang w:eastAsia="zh-CN"/>
        </w:rPr>
        <w:t>http://www.gdzhihe.cn/</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3A3BE856">
      <w:pPr>
        <w:spacing w:line="336" w:lineRule="auto"/>
        <w:rPr>
          <w:rFonts w:hint="eastAsia" w:ascii="宋体" w:hAnsi="宋体" w:eastAsia="宋体" w:cs="宋体"/>
          <w:color w:val="auto"/>
          <w:highlight w:val="none"/>
        </w:rPr>
      </w:pPr>
    </w:p>
    <w:p w14:paraId="3EDF41B6">
      <w:pPr>
        <w:spacing w:line="336" w:lineRule="auto"/>
        <w:ind w:firstLine="413" w:firstLineChars="196"/>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四、投标文件的递交</w:t>
      </w:r>
    </w:p>
    <w:p w14:paraId="411EB19E">
      <w:pPr>
        <w:spacing w:line="33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1、递交投标文件时间：</w:t>
      </w:r>
      <w:r>
        <w:rPr>
          <w:rFonts w:hint="eastAsia" w:ascii="宋体" w:hAnsi="宋体" w:eastAsia="宋体" w:cs="宋体"/>
          <w:color w:val="auto"/>
          <w:szCs w:val="21"/>
          <w:highlight w:val="none"/>
          <w:u w:val="single"/>
        </w:rPr>
        <w:t>20</w:t>
      </w:r>
      <w:r>
        <w:rPr>
          <w:rFonts w:hint="eastAsia" w:ascii="宋体" w:hAnsi="宋体" w:eastAsia="宋体" w:cs="宋体"/>
          <w:color w:val="auto"/>
          <w:szCs w:val="21"/>
          <w:highlight w:val="none"/>
          <w:u w:val="single"/>
          <w:lang w:val="en-US" w:eastAsia="zh-CN"/>
        </w:rPr>
        <w:t>24</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12</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19</w:t>
      </w:r>
      <w:r>
        <w:rPr>
          <w:rFonts w:hint="eastAsia" w:ascii="宋体" w:hAnsi="宋体" w:eastAsia="宋体" w:cs="宋体"/>
          <w:color w:val="auto"/>
          <w:szCs w:val="21"/>
          <w:highlight w:val="none"/>
        </w:rPr>
        <w:t>日（北京时间）</w:t>
      </w:r>
      <w:r>
        <w:rPr>
          <w:rFonts w:hint="eastAsia" w:ascii="宋体" w:hAnsi="宋体" w:eastAsia="宋体" w:cs="宋体"/>
          <w:color w:val="auto"/>
          <w:szCs w:val="21"/>
          <w:highlight w:val="none"/>
          <w:u w:val="single"/>
          <w:lang w:val="en-US" w:eastAsia="zh-CN"/>
        </w:rPr>
        <w:t>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00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rPr>
        <w:t>。</w:t>
      </w:r>
    </w:p>
    <w:p w14:paraId="1470F23A">
      <w:pPr>
        <w:spacing w:line="336"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2、递交投标文件截止及开标时间：</w:t>
      </w:r>
      <w:r>
        <w:rPr>
          <w:rFonts w:hint="eastAsia" w:ascii="宋体" w:hAnsi="宋体" w:eastAsia="宋体" w:cs="宋体"/>
          <w:color w:val="auto"/>
          <w:szCs w:val="21"/>
          <w:highlight w:val="none"/>
          <w:u w:val="single"/>
        </w:rPr>
        <w:t>20</w:t>
      </w:r>
      <w:r>
        <w:rPr>
          <w:rFonts w:hint="eastAsia" w:ascii="宋体" w:hAnsi="宋体" w:eastAsia="宋体" w:cs="宋体"/>
          <w:color w:val="auto"/>
          <w:szCs w:val="21"/>
          <w:highlight w:val="none"/>
          <w:u w:val="single"/>
          <w:lang w:val="en-US" w:eastAsia="zh-CN"/>
        </w:rPr>
        <w:t>24</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12</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19</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lang w:val="en-US" w:eastAsia="zh-CN"/>
        </w:rPr>
        <w:t>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rPr>
        <w:t>（北京时间），所有投标文件应于截止时间之前递交，迟交或以电报、传真形式的投标文件将拒绝接收。</w:t>
      </w:r>
    </w:p>
    <w:p w14:paraId="77A168C0">
      <w:pPr>
        <w:spacing w:line="33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3、开标地点：</w:t>
      </w:r>
      <w:r>
        <w:rPr>
          <w:rFonts w:hint="eastAsia" w:ascii="宋体" w:hAnsi="宋体" w:eastAsia="宋体" w:cs="宋体"/>
          <w:color w:val="auto"/>
          <w:szCs w:val="21"/>
          <w:highlight w:val="none"/>
          <w:u w:val="single"/>
          <w:lang w:eastAsia="zh-CN"/>
        </w:rPr>
        <w:t>广东省东莞市南城街道西平三路3号2栋11单元301室</w:t>
      </w:r>
      <w:r>
        <w:rPr>
          <w:rFonts w:hint="eastAsia" w:ascii="宋体" w:hAnsi="宋体" w:eastAsia="宋体" w:cs="宋体"/>
          <w:color w:val="auto"/>
          <w:szCs w:val="21"/>
          <w:highlight w:val="none"/>
          <w:u w:val="single"/>
        </w:rPr>
        <w:t>。</w:t>
      </w:r>
    </w:p>
    <w:p w14:paraId="2E456946">
      <w:pPr>
        <w:spacing w:line="336" w:lineRule="auto"/>
        <w:ind w:firstLine="411" w:firstLineChars="196"/>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4、开标事宜：</w:t>
      </w:r>
      <w:r>
        <w:rPr>
          <w:rFonts w:hint="eastAsia" w:ascii="宋体" w:hAnsi="宋体" w:eastAsia="宋体" w:cs="宋体"/>
          <w:b/>
          <w:bCs/>
          <w:color w:val="auto"/>
          <w:szCs w:val="21"/>
          <w:highlight w:val="none"/>
        </w:rPr>
        <w:t>届时请投标人的法定代表人或其授权代表务必携带有效身份证明出席开标会</w:t>
      </w:r>
      <w:r>
        <w:rPr>
          <w:rFonts w:hint="eastAsia" w:ascii="宋体" w:hAnsi="宋体" w:eastAsia="宋体" w:cs="宋体"/>
          <w:bCs/>
          <w:color w:val="auto"/>
          <w:szCs w:val="21"/>
          <w:highlight w:val="none"/>
        </w:rPr>
        <w:t>。</w:t>
      </w:r>
    </w:p>
    <w:p w14:paraId="5E04012D">
      <w:pPr>
        <w:pStyle w:val="48"/>
        <w:spacing w:line="33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5、出现以下情形时，采购代理机构不予接收投标（响应）文件：</w:t>
      </w:r>
    </w:p>
    <w:p w14:paraId="309BA9E2">
      <w:pPr>
        <w:pStyle w:val="48"/>
        <w:spacing w:line="33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（1）逾期送达或者未送达指定地点的；</w:t>
      </w:r>
    </w:p>
    <w:p w14:paraId="7E4B241B">
      <w:pPr>
        <w:pStyle w:val="48"/>
        <w:spacing w:line="33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（2）未按采购文件要求密封的。</w:t>
      </w:r>
    </w:p>
    <w:p w14:paraId="7C1F0385">
      <w:pPr>
        <w:pStyle w:val="48"/>
        <w:spacing w:line="336" w:lineRule="auto"/>
        <w:ind w:firstLine="400"/>
        <w:rPr>
          <w:rFonts w:hint="eastAsia" w:ascii="宋体" w:hAnsi="宋体" w:eastAsia="宋体" w:cs="宋体"/>
          <w:color w:val="auto"/>
          <w:highlight w:val="none"/>
        </w:rPr>
      </w:pPr>
    </w:p>
    <w:p w14:paraId="29E6BF15">
      <w:pPr>
        <w:pStyle w:val="48"/>
        <w:spacing w:line="336" w:lineRule="auto"/>
        <w:ind w:firstLine="422"/>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五、发布公告的媒介</w:t>
      </w:r>
    </w:p>
    <w:p w14:paraId="3EDC83BA">
      <w:pPr>
        <w:pStyle w:val="48"/>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1、采购公告发布媒介：</w:t>
      </w:r>
    </w:p>
    <w:p w14:paraId="5BF3590F">
      <w:pPr>
        <w:pStyle w:val="48"/>
        <w:spacing w:line="33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中国招标投标公共服务平台（http://www.cebpubservice.com/）、东莞实业投资控股集团有限公司（http://www.dgsy.com.cn/）、</w:t>
      </w:r>
      <w:r>
        <w:rPr>
          <w:rFonts w:hint="eastAsia" w:ascii="宋体" w:hAnsi="宋体" w:eastAsia="宋体" w:cs="宋体"/>
          <w:color w:val="auto"/>
          <w:sz w:val="21"/>
          <w:szCs w:val="21"/>
          <w:highlight w:val="none"/>
          <w:lang w:eastAsia="zh-CN"/>
        </w:rPr>
        <w:t>广东志合项目管理有限公司</w:t>
      </w:r>
      <w:r>
        <w:rPr>
          <w:rFonts w:hint="eastAsia" w:ascii="宋体" w:hAnsi="宋体" w:eastAsia="宋体" w:cs="宋体"/>
          <w:color w:val="auto"/>
          <w:sz w:val="21"/>
          <w:szCs w:val="21"/>
          <w:highlight w:val="none"/>
        </w:rPr>
        <w:t>网站（</w:t>
      </w:r>
      <w:r>
        <w:rPr>
          <w:rFonts w:hint="eastAsia" w:ascii="宋体" w:hAnsi="宋体" w:eastAsia="宋体" w:cs="宋体"/>
          <w:color w:val="auto"/>
          <w:sz w:val="21"/>
          <w:szCs w:val="21"/>
          <w:highlight w:val="none"/>
          <w:lang w:eastAsia="zh-CN"/>
        </w:rPr>
        <w:t>http://www.gdzhihe.cn/</w:t>
      </w:r>
      <w:r>
        <w:rPr>
          <w:rFonts w:hint="eastAsia" w:ascii="宋体" w:hAnsi="宋体" w:eastAsia="宋体" w:cs="宋体"/>
          <w:color w:val="auto"/>
          <w:sz w:val="21"/>
          <w:szCs w:val="21"/>
          <w:highlight w:val="none"/>
        </w:rPr>
        <w:t>）。</w:t>
      </w:r>
    </w:p>
    <w:p w14:paraId="29E42E36">
      <w:pPr>
        <w:pStyle w:val="48"/>
        <w:shd w:val="clea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2、结果公告发布媒介：</w:t>
      </w:r>
    </w:p>
    <w:p w14:paraId="7A731900">
      <w:pPr>
        <w:pStyle w:val="48"/>
        <w:spacing w:line="33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东莞实业投资控股集团有限公司-招标采购栏目（http://www.dgsy.com.cn/）。</w:t>
      </w:r>
    </w:p>
    <w:p w14:paraId="16AE8B30">
      <w:pPr>
        <w:spacing w:line="336" w:lineRule="auto"/>
        <w:ind w:firstLine="413" w:firstLineChars="196"/>
        <w:outlineLvl w:val="9"/>
        <w:rPr>
          <w:rFonts w:hint="eastAsia" w:ascii="宋体" w:hAnsi="宋体" w:eastAsia="宋体" w:cs="宋体"/>
          <w:b/>
          <w:color w:val="auto"/>
          <w:szCs w:val="21"/>
          <w:highlight w:val="none"/>
        </w:rPr>
      </w:pPr>
    </w:p>
    <w:p w14:paraId="590C0252">
      <w:pPr>
        <w:spacing w:line="336" w:lineRule="auto"/>
        <w:ind w:firstLine="413" w:firstLineChars="196"/>
        <w:outlineLvl w:val="1"/>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六、采购人及采购代理机构的名称、地址和联系方法：</w:t>
      </w:r>
    </w:p>
    <w:p w14:paraId="63612993">
      <w:pPr>
        <w:spacing w:line="336"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采购人名称：</w:t>
      </w:r>
      <w:r>
        <w:rPr>
          <w:rFonts w:hint="eastAsia" w:ascii="宋体" w:hAnsi="宋体" w:eastAsia="宋体" w:cs="宋体"/>
          <w:color w:val="auto"/>
          <w:szCs w:val="21"/>
          <w:highlight w:val="none"/>
          <w:lang w:eastAsia="zh-CN"/>
        </w:rPr>
        <w:t>阳江开能环保能源有限公司</w:t>
      </w:r>
    </w:p>
    <w:p w14:paraId="2F892DBF">
      <w:pPr>
        <w:spacing w:line="336"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采购人联系人：</w:t>
      </w:r>
      <w:r>
        <w:rPr>
          <w:rFonts w:hint="eastAsia" w:ascii="宋体" w:hAnsi="宋体" w:eastAsia="宋体" w:cs="宋体"/>
          <w:bCs/>
          <w:color w:val="auto"/>
          <w:szCs w:val="21"/>
          <w:highlight w:val="none"/>
          <w:lang w:eastAsia="zh-CN"/>
        </w:rPr>
        <w:t>吕工</w:t>
      </w:r>
    </w:p>
    <w:p w14:paraId="5DB514A3">
      <w:pPr>
        <w:spacing w:line="336"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采购人地址：东莞市东城区八一路机关二号大院9号楼</w:t>
      </w:r>
    </w:p>
    <w:p w14:paraId="1B28506D">
      <w:pPr>
        <w:spacing w:line="336"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采购人联系电话：</w:t>
      </w:r>
      <w:r>
        <w:rPr>
          <w:rFonts w:hint="eastAsia" w:ascii="宋体" w:hAnsi="宋体" w:eastAsia="宋体" w:cs="宋体"/>
          <w:bCs/>
          <w:color w:val="auto"/>
          <w:szCs w:val="21"/>
          <w:highlight w:val="none"/>
          <w:lang w:eastAsia="zh-CN"/>
        </w:rPr>
        <w:t>0769-22001739</w:t>
      </w:r>
    </w:p>
    <w:p w14:paraId="14E449DD">
      <w:pPr>
        <w:spacing w:line="336" w:lineRule="auto"/>
        <w:ind w:firstLine="420" w:firstLineChars="200"/>
        <w:rPr>
          <w:rFonts w:hint="eastAsia" w:ascii="宋体" w:hAnsi="宋体" w:eastAsia="宋体" w:cs="宋体"/>
          <w:color w:val="auto"/>
          <w:szCs w:val="21"/>
          <w:highlight w:val="none"/>
        </w:rPr>
      </w:pPr>
    </w:p>
    <w:p w14:paraId="16DF7915">
      <w:pPr>
        <w:spacing w:line="336"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采购代理机构名称：</w:t>
      </w:r>
      <w:r>
        <w:rPr>
          <w:rFonts w:hint="eastAsia" w:ascii="宋体" w:hAnsi="宋体" w:eastAsia="宋体" w:cs="宋体"/>
          <w:color w:val="auto"/>
          <w:szCs w:val="21"/>
          <w:highlight w:val="none"/>
          <w:lang w:eastAsia="zh-CN"/>
        </w:rPr>
        <w:t>广东志合项目管理有限公司</w:t>
      </w:r>
    </w:p>
    <w:p w14:paraId="4EEECADD">
      <w:pPr>
        <w:spacing w:line="336"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采购代理机构地址：</w:t>
      </w:r>
      <w:r>
        <w:rPr>
          <w:rFonts w:hint="eastAsia" w:ascii="宋体" w:hAnsi="宋体" w:eastAsia="宋体" w:cs="宋体"/>
          <w:color w:val="auto"/>
          <w:szCs w:val="21"/>
          <w:highlight w:val="none"/>
          <w:lang w:eastAsia="zh-CN"/>
        </w:rPr>
        <w:t>广东省东莞市南城街道西平三路3号2栋11单元301室</w:t>
      </w:r>
    </w:p>
    <w:p w14:paraId="39991B4D">
      <w:pPr>
        <w:spacing w:line="336"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采购代理机构联系人：</w:t>
      </w:r>
      <w:r>
        <w:rPr>
          <w:rFonts w:hint="eastAsia" w:ascii="宋体" w:hAnsi="宋体" w:eastAsia="宋体" w:cs="宋体"/>
          <w:color w:val="auto"/>
          <w:szCs w:val="21"/>
          <w:highlight w:val="none"/>
          <w:lang w:eastAsia="zh-CN"/>
        </w:rPr>
        <w:t>周先生</w:t>
      </w:r>
    </w:p>
    <w:p w14:paraId="7250EEB7">
      <w:pPr>
        <w:spacing w:line="336"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采购代理机构联系电话：</w:t>
      </w:r>
      <w:r>
        <w:rPr>
          <w:rFonts w:hint="eastAsia" w:ascii="宋体" w:hAnsi="宋体" w:eastAsia="宋体" w:cs="宋体"/>
          <w:color w:val="auto"/>
          <w:szCs w:val="21"/>
          <w:highlight w:val="none"/>
          <w:lang w:eastAsia="zh-CN"/>
        </w:rPr>
        <w:t>0769-22333556</w:t>
      </w:r>
    </w:p>
    <w:p w14:paraId="5AE02765">
      <w:pPr>
        <w:spacing w:line="336"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采购代理机构邮箱：</w:t>
      </w:r>
      <w:r>
        <w:rPr>
          <w:rFonts w:hint="eastAsia" w:ascii="宋体" w:hAnsi="宋体" w:eastAsia="宋体" w:cs="宋体"/>
          <w:color w:val="auto"/>
          <w:szCs w:val="21"/>
          <w:highlight w:val="none"/>
          <w:lang w:eastAsia="zh-CN"/>
        </w:rPr>
        <w:t>48463673@qq.com</w:t>
      </w:r>
    </w:p>
    <w:p w14:paraId="1474A015">
      <w:pPr>
        <w:spacing w:line="336" w:lineRule="auto"/>
        <w:ind w:firstLine="420" w:firstLineChars="200"/>
        <w:rPr>
          <w:rFonts w:hint="eastAsia" w:ascii="宋体" w:hAnsi="宋体" w:eastAsia="宋体" w:cs="宋体"/>
          <w:color w:val="auto"/>
          <w:highlight w:val="none"/>
        </w:rPr>
      </w:pPr>
    </w:p>
    <w:p w14:paraId="5A560D72">
      <w:pPr>
        <w:spacing w:line="336" w:lineRule="auto"/>
        <w:ind w:right="752" w:rightChars="358"/>
        <w:jc w:val="righ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阳江开能环保能源有限公司</w:t>
      </w:r>
    </w:p>
    <w:p w14:paraId="4B408FCE">
      <w:pPr>
        <w:spacing w:line="336" w:lineRule="auto"/>
        <w:ind w:right="752" w:rightChars="358"/>
        <w:jc w:val="righ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广东志合项目管理有限公司</w:t>
      </w:r>
    </w:p>
    <w:p w14:paraId="51AB9B7B">
      <w:pPr>
        <w:spacing w:line="336" w:lineRule="auto"/>
        <w:ind w:right="752" w:rightChars="358"/>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日</w:t>
      </w:r>
    </w:p>
    <w:p w14:paraId="3F4DDC6F">
      <w:pPr>
        <w:ind w:left="6205" w:leftChars="2755" w:hanging="420" w:hangingChars="200"/>
        <w:rPr>
          <w:rFonts w:hint="eastAsia" w:ascii="宋体" w:hAnsi="宋体" w:eastAsia="宋体" w:cs="宋体"/>
          <w:color w:val="auto"/>
          <w:highlight w:val="none"/>
        </w:rPr>
      </w:pPr>
      <w:r>
        <w:rPr>
          <w:rFonts w:hint="eastAsia" w:ascii="宋体" w:hAnsi="宋体" w:eastAsia="宋体" w:cs="宋体"/>
          <w:color w:val="auto"/>
          <w:szCs w:val="21"/>
          <w:highlight w:val="none"/>
        </w:rPr>
        <w:br w:type="page"/>
      </w:r>
    </w:p>
    <w:p w14:paraId="6C712900">
      <w:pPr>
        <w:pStyle w:val="3"/>
        <w:spacing w:before="0" w:after="0" w:line="240" w:lineRule="auto"/>
        <w:rPr>
          <w:rFonts w:hint="eastAsia" w:ascii="宋体" w:hAnsi="宋体" w:eastAsia="宋体" w:cs="宋体"/>
          <w:color w:val="auto"/>
          <w:sz w:val="28"/>
          <w:szCs w:val="28"/>
          <w:highlight w:val="none"/>
        </w:rPr>
      </w:pPr>
      <w:bookmarkStart w:id="2" w:name="_Toc20564"/>
      <w:r>
        <w:rPr>
          <w:rFonts w:hint="eastAsia" w:ascii="宋体" w:hAnsi="宋体" w:eastAsia="宋体" w:cs="宋体"/>
          <w:color w:val="auto"/>
          <w:sz w:val="28"/>
          <w:szCs w:val="28"/>
          <w:highlight w:val="none"/>
        </w:rPr>
        <w:t>第二部分相关资料表格</w:t>
      </w:r>
      <w:bookmarkEnd w:id="2"/>
    </w:p>
    <w:p w14:paraId="4185852E">
      <w:pPr>
        <w:pStyle w:val="4"/>
        <w:spacing w:before="0" w:after="0" w:line="240" w:lineRule="auto"/>
        <w:jc w:val="center"/>
        <w:rPr>
          <w:rFonts w:hint="eastAsia" w:ascii="宋体" w:hAnsi="宋体" w:eastAsia="宋体" w:cs="宋体"/>
          <w:color w:val="auto"/>
          <w:sz w:val="24"/>
          <w:szCs w:val="24"/>
          <w:highlight w:val="none"/>
        </w:rPr>
      </w:pPr>
      <w:bookmarkStart w:id="3" w:name="_Toc14333"/>
      <w:r>
        <w:rPr>
          <w:rFonts w:hint="eastAsia" w:ascii="宋体" w:hAnsi="宋体" w:eastAsia="宋体" w:cs="宋体"/>
          <w:color w:val="auto"/>
          <w:sz w:val="24"/>
          <w:szCs w:val="24"/>
          <w:highlight w:val="none"/>
        </w:rPr>
        <w:t>附表一：投标资料表</w:t>
      </w:r>
      <w:bookmarkEnd w:id="3"/>
    </w:p>
    <w:tbl>
      <w:tblPr>
        <w:tblStyle w:val="36"/>
        <w:tblW w:w="841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4924"/>
      </w:tblGrid>
      <w:tr w14:paraId="3DAFF0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878" w:type="dxa"/>
            <w:tcBorders>
              <w:tl2br w:val="nil"/>
              <w:tr2bl w:val="nil"/>
            </w:tcBorders>
            <w:vAlign w:val="center"/>
          </w:tcPr>
          <w:p w14:paraId="466D057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7532" w:type="dxa"/>
            <w:gridSpan w:val="2"/>
            <w:tcBorders>
              <w:tl2br w:val="nil"/>
              <w:tr2bl w:val="nil"/>
            </w:tcBorders>
            <w:vAlign w:val="center"/>
          </w:tcPr>
          <w:p w14:paraId="605E8603">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r>
      <w:tr w14:paraId="518FA2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551" w:hRule="atLeast"/>
          <w:jc w:val="center"/>
        </w:trPr>
        <w:tc>
          <w:tcPr>
            <w:tcW w:w="8410" w:type="dxa"/>
            <w:gridSpan w:val="3"/>
            <w:tcBorders>
              <w:tl2br w:val="nil"/>
              <w:tr2bl w:val="nil"/>
            </w:tcBorders>
            <w:vAlign w:val="center"/>
          </w:tcPr>
          <w:p w14:paraId="2FCF64E8">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一、说明</w:t>
            </w:r>
          </w:p>
        </w:tc>
      </w:tr>
      <w:tr w14:paraId="50CFCC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61E64FE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532" w:type="dxa"/>
            <w:gridSpan w:val="2"/>
            <w:tcBorders>
              <w:tl2br w:val="nil"/>
              <w:tr2bl w:val="nil"/>
            </w:tcBorders>
            <w:vAlign w:val="center"/>
          </w:tcPr>
          <w:p w14:paraId="0A2A15F3">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项目最高限价（</w:t>
            </w:r>
            <w:r>
              <w:rPr>
                <w:rFonts w:hint="eastAsia" w:ascii="宋体" w:hAnsi="宋体" w:eastAsia="宋体" w:cs="宋体"/>
                <w:b/>
                <w:bCs/>
                <w:color w:val="auto"/>
                <w:szCs w:val="21"/>
                <w:highlight w:val="none"/>
                <w:u w:val="single"/>
              </w:rPr>
              <w:t>单位：元</w:t>
            </w:r>
            <w:r>
              <w:rPr>
                <w:rFonts w:hint="eastAsia" w:ascii="宋体" w:hAnsi="宋体" w:eastAsia="宋体" w:cs="宋体"/>
                <w:b/>
                <w:bCs/>
                <w:color w:val="auto"/>
                <w:szCs w:val="21"/>
                <w:highlight w:val="none"/>
              </w:rPr>
              <w:t>）</w:t>
            </w:r>
          </w:p>
        </w:tc>
      </w:tr>
      <w:tr w14:paraId="79F3F9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45E21953">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1CEB31B4">
            <w:pPr>
              <w:rPr>
                <w:rFonts w:hint="eastAsia" w:ascii="宋体" w:hAnsi="宋体" w:eastAsia="宋体" w:cs="宋体"/>
                <w:b/>
                <w:bCs/>
                <w:color w:val="auto"/>
                <w:szCs w:val="21"/>
                <w:highlight w:val="none"/>
                <w:lang w:eastAsia="zh-CN"/>
              </w:rPr>
            </w:pPr>
            <w:r>
              <w:rPr>
                <w:rFonts w:hint="eastAsia" w:ascii="宋体" w:hAnsi="宋体" w:eastAsia="宋体" w:cs="宋体"/>
                <w:b w:val="0"/>
                <w:bCs w:val="0"/>
                <w:color w:val="auto"/>
                <w:szCs w:val="21"/>
                <w:highlight w:val="none"/>
                <w:lang w:val="en-US" w:eastAsia="zh-CN"/>
              </w:rPr>
              <w:t>¥</w:t>
            </w:r>
            <w:r>
              <w:rPr>
                <w:rFonts w:hint="eastAsia" w:ascii="宋体" w:hAnsi="宋体" w:eastAsia="宋体" w:cs="宋体"/>
                <w:b w:val="0"/>
                <w:bCs w:val="0"/>
                <w:color w:val="auto"/>
                <w:sz w:val="21"/>
                <w:szCs w:val="21"/>
                <w:highlight w:val="none"/>
                <w:lang w:eastAsia="zh-CN"/>
              </w:rPr>
              <w:t>3350000.00</w:t>
            </w:r>
            <w:r>
              <w:rPr>
                <w:rFonts w:hint="eastAsia" w:ascii="宋体" w:hAnsi="宋体" w:eastAsia="宋体" w:cs="宋体"/>
                <w:b w:val="0"/>
                <w:bCs w:val="0"/>
                <w:color w:val="auto"/>
                <w:szCs w:val="21"/>
                <w:highlight w:val="none"/>
                <w:lang w:val="en-US" w:eastAsia="zh-CN"/>
              </w:rPr>
              <w:t>元</w:t>
            </w:r>
            <w:r>
              <w:rPr>
                <w:rFonts w:hint="eastAsia" w:ascii="宋体" w:hAnsi="宋体" w:eastAsia="宋体" w:cs="宋体"/>
                <w:color w:val="auto"/>
                <w:szCs w:val="21"/>
                <w:highlight w:val="none"/>
                <w:lang w:val="en-US" w:eastAsia="zh-CN"/>
              </w:rPr>
              <w:t>（大写：人民币叁佰叁拾伍万元整）</w:t>
            </w:r>
            <w:r>
              <w:rPr>
                <w:rFonts w:hint="eastAsia" w:ascii="宋体" w:hAnsi="宋体" w:eastAsia="宋体" w:cs="宋体"/>
                <w:b/>
                <w:bCs/>
                <w:color w:val="auto"/>
                <w:szCs w:val="21"/>
                <w:highlight w:val="none"/>
                <w:lang w:eastAsia="zh-CN"/>
              </w:rPr>
              <w:t>。</w:t>
            </w:r>
          </w:p>
        </w:tc>
      </w:tr>
      <w:tr w14:paraId="0AF789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restart"/>
            <w:tcBorders>
              <w:tl2br w:val="nil"/>
              <w:tr2bl w:val="nil"/>
            </w:tcBorders>
            <w:vAlign w:val="center"/>
          </w:tcPr>
          <w:p w14:paraId="5BCE7EC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7532" w:type="dxa"/>
            <w:gridSpan w:val="2"/>
            <w:tcBorders>
              <w:tl2br w:val="nil"/>
              <w:tr2bl w:val="nil"/>
            </w:tcBorders>
            <w:vAlign w:val="center"/>
          </w:tcPr>
          <w:p w14:paraId="116ABC47">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发包方式</w:t>
            </w:r>
          </w:p>
        </w:tc>
      </w:tr>
      <w:tr w14:paraId="281D08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5AF625BF">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59FD8DB6">
            <w:pPr>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lang w:eastAsia="zh-CN"/>
              </w:rPr>
              <w:t>☑</w:t>
            </w:r>
            <w:r>
              <w:rPr>
                <w:rFonts w:hint="eastAsia" w:ascii="宋体" w:hAnsi="宋体" w:eastAsia="宋体" w:cs="宋体"/>
                <w:b/>
                <w:bCs/>
                <w:color w:val="auto"/>
                <w:szCs w:val="21"/>
                <w:highlight w:val="none"/>
              </w:rPr>
              <w:t>固定总价包干；</w:t>
            </w:r>
          </w:p>
          <w:p w14:paraId="5645332F">
            <w:pPr>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
                <w:bCs/>
                <w:color w:val="auto"/>
                <w:szCs w:val="21"/>
                <w:highlight w:val="none"/>
              </w:rPr>
              <w:t>固定单价暂定总价包干；</w:t>
            </w:r>
          </w:p>
          <w:p w14:paraId="1CDB9826">
            <w:pPr>
              <w:rPr>
                <w:rFonts w:hint="eastAsia" w:ascii="宋体" w:hAnsi="宋体" w:eastAsia="宋体" w:cs="宋体"/>
                <w:b/>
                <w:bCs/>
                <w:color w:val="auto"/>
                <w:szCs w:val="21"/>
                <w:highlight w:val="none"/>
                <w:u w:val="single"/>
              </w:rPr>
            </w:pPr>
            <w:r>
              <w:rPr>
                <w:rFonts w:hint="eastAsia" w:ascii="宋体" w:hAnsi="宋体" w:eastAsia="宋体" w:cs="宋体"/>
                <w:bCs/>
                <w:color w:val="auto"/>
                <w:szCs w:val="21"/>
                <w:highlight w:val="none"/>
                <w:lang w:eastAsia="zh-CN"/>
              </w:rPr>
              <w:t>□</w:t>
            </w:r>
            <w:r>
              <w:rPr>
                <w:rFonts w:hint="eastAsia" w:ascii="宋体" w:hAnsi="宋体" w:eastAsia="宋体" w:cs="宋体"/>
                <w:b/>
                <w:bCs/>
                <w:color w:val="auto"/>
                <w:szCs w:val="21"/>
                <w:highlight w:val="none"/>
              </w:rPr>
              <w:t>费率</w:t>
            </w:r>
            <w:r>
              <w:rPr>
                <w:rFonts w:hint="eastAsia" w:ascii="宋体" w:hAnsi="宋体" w:eastAsia="宋体" w:cs="宋体"/>
                <w:b/>
                <w:bCs/>
                <w:color w:val="auto"/>
                <w:szCs w:val="21"/>
                <w:highlight w:val="none"/>
                <w:u w:val="single"/>
              </w:rPr>
              <w:t>；</w:t>
            </w:r>
          </w:p>
          <w:p w14:paraId="33B4746C">
            <w:pPr>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
                <w:bCs/>
                <w:color w:val="auto"/>
                <w:szCs w:val="21"/>
                <w:highlight w:val="none"/>
              </w:rPr>
              <w:t>其他</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rPr>
              <w:t>；</w:t>
            </w:r>
          </w:p>
        </w:tc>
      </w:tr>
      <w:tr w14:paraId="696F86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restart"/>
            <w:tcBorders>
              <w:tl2br w:val="nil"/>
              <w:tr2bl w:val="nil"/>
            </w:tcBorders>
            <w:vAlign w:val="center"/>
          </w:tcPr>
          <w:p w14:paraId="3FDBEBA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7532" w:type="dxa"/>
            <w:gridSpan w:val="2"/>
            <w:tcBorders>
              <w:tl2br w:val="nil"/>
              <w:tr2bl w:val="nil"/>
            </w:tcBorders>
            <w:vAlign w:val="center"/>
          </w:tcPr>
          <w:p w14:paraId="08D8EA23">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是否接受联合体投标</w:t>
            </w:r>
          </w:p>
        </w:tc>
      </w:tr>
      <w:tr w14:paraId="66F566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2E66F05B">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150A067C">
            <w:pPr>
              <w:pStyle w:val="51"/>
              <w:ind w:firstLine="0" w:firstLineChars="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是，联合体投标的，应满足下列要求：</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C34A439">
            <w:pPr>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lang w:eastAsia="zh-CN"/>
              </w:rPr>
              <w:t>☑</w:t>
            </w:r>
            <w:r>
              <w:rPr>
                <w:rFonts w:hint="eastAsia" w:ascii="宋体" w:hAnsi="宋体" w:eastAsia="宋体" w:cs="宋体"/>
                <w:color w:val="auto"/>
                <w:szCs w:val="21"/>
                <w:highlight w:val="none"/>
              </w:rPr>
              <w:t>否；</w:t>
            </w:r>
          </w:p>
        </w:tc>
      </w:tr>
      <w:tr w14:paraId="058826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5DEF5DF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7532" w:type="dxa"/>
            <w:gridSpan w:val="2"/>
            <w:tcBorders>
              <w:tl2br w:val="nil"/>
              <w:tr2bl w:val="nil"/>
            </w:tcBorders>
            <w:vAlign w:val="center"/>
          </w:tcPr>
          <w:p w14:paraId="796B3196">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资金来源</w:t>
            </w:r>
          </w:p>
        </w:tc>
      </w:tr>
      <w:tr w14:paraId="17727C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5C354A9F">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0606325F">
            <w:pP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u w:val="single"/>
              </w:rPr>
              <w:t>自筹资金。</w:t>
            </w:r>
          </w:p>
        </w:tc>
      </w:tr>
      <w:tr w14:paraId="6225C8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64FFB87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7532" w:type="dxa"/>
            <w:gridSpan w:val="2"/>
            <w:tcBorders>
              <w:tl2br w:val="nil"/>
              <w:tr2bl w:val="nil"/>
            </w:tcBorders>
            <w:vAlign w:val="center"/>
          </w:tcPr>
          <w:p w14:paraId="18C5DE65">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踏勘现场</w:t>
            </w:r>
          </w:p>
        </w:tc>
      </w:tr>
      <w:tr w14:paraId="186C9F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01FE0547">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6CE0248A">
            <w:pPr>
              <w:spacing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不组织</w:t>
            </w:r>
            <w:r>
              <w:rPr>
                <w:rFonts w:hint="eastAsia" w:ascii="宋体" w:hAnsi="宋体" w:eastAsia="宋体" w:cs="宋体"/>
                <w:bCs/>
                <w:color w:val="auto"/>
                <w:szCs w:val="21"/>
                <w:highlight w:val="none"/>
                <w:lang w:eastAsia="zh-CN"/>
              </w:rPr>
              <w:t>：</w:t>
            </w:r>
          </w:p>
          <w:p w14:paraId="5AAABA53">
            <w:pPr>
              <w:spacing w:line="360" w:lineRule="auto"/>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采购人不集中组织，投标人必须自行踏勘现场并保留经采购人盖章签字确认的《投标人参与现场踏勘确认函回执》，此项作为投标响应必要条件，并投标文件的商务文件中</w:t>
            </w:r>
            <w:r>
              <w:rPr>
                <w:rFonts w:hint="eastAsia" w:ascii="宋体" w:hAnsi="宋体" w:cs="宋体"/>
                <w:b/>
                <w:bCs/>
                <w:color w:val="auto"/>
                <w:kern w:val="2"/>
                <w:sz w:val="21"/>
                <w:szCs w:val="21"/>
                <w:highlight w:val="none"/>
                <w:lang w:val="zh-CN"/>
              </w:rPr>
              <w:t>（</w:t>
            </w:r>
            <w:r>
              <w:rPr>
                <w:rFonts w:hint="eastAsia" w:ascii="宋体" w:hAnsi="宋体" w:cs="宋体"/>
                <w:b/>
                <w:bCs/>
                <w:color w:val="auto"/>
                <w:kern w:val="2"/>
                <w:sz w:val="21"/>
                <w:szCs w:val="21"/>
                <w:highlight w:val="none"/>
                <w:lang w:val="en-US" w:eastAsia="zh-CN"/>
              </w:rPr>
              <w:t>详见附件六</w:t>
            </w:r>
            <w:r>
              <w:rPr>
                <w:rFonts w:hint="eastAsia" w:ascii="宋体" w:hAnsi="宋体" w:cs="宋体"/>
                <w:b/>
                <w:bCs/>
                <w:color w:val="auto"/>
                <w:kern w:val="2"/>
                <w:sz w:val="21"/>
                <w:szCs w:val="21"/>
                <w:highlight w:val="none"/>
                <w:lang w:val="zh-CN"/>
              </w:rPr>
              <w:t>）</w:t>
            </w:r>
            <w:r>
              <w:rPr>
                <w:rFonts w:hint="eastAsia" w:ascii="宋体" w:hAnsi="宋体" w:eastAsia="宋体" w:cs="宋体"/>
                <w:b/>
                <w:bCs/>
                <w:color w:val="auto"/>
                <w:kern w:val="2"/>
                <w:sz w:val="21"/>
                <w:szCs w:val="21"/>
                <w:highlight w:val="none"/>
                <w:lang w:val="zh-CN"/>
              </w:rPr>
              <w:t>。</w:t>
            </w:r>
          </w:p>
          <w:p w14:paraId="2AA7A64E">
            <w:pPr>
              <w:spacing w:line="360" w:lineRule="auto"/>
              <w:rPr>
                <w:rFonts w:hint="eastAsia" w:ascii="宋体" w:hAnsi="宋体" w:eastAsia="宋体" w:cs="宋体"/>
                <w:b/>
                <w:bCs/>
                <w:color w:val="auto"/>
                <w:kern w:val="2"/>
                <w:sz w:val="21"/>
                <w:szCs w:val="21"/>
                <w:highlight w:val="none"/>
                <w:lang w:eastAsia="zh-CN"/>
              </w:rPr>
            </w:pPr>
            <w:r>
              <w:rPr>
                <w:rFonts w:hint="eastAsia" w:ascii="宋体" w:hAnsi="宋体" w:eastAsia="宋体" w:cs="宋体"/>
                <w:b/>
                <w:bCs/>
                <w:color w:val="auto"/>
                <w:kern w:val="2"/>
                <w:sz w:val="21"/>
                <w:szCs w:val="21"/>
                <w:highlight w:val="none"/>
                <w:lang w:eastAsia="zh-CN"/>
              </w:rPr>
              <w:t>踏勘时间：自</w:t>
            </w:r>
            <w:r>
              <w:rPr>
                <w:rFonts w:hint="eastAsia" w:ascii="宋体" w:hAnsi="宋体" w:cs="宋体"/>
                <w:b/>
                <w:bCs/>
                <w:color w:val="auto"/>
                <w:kern w:val="2"/>
                <w:sz w:val="21"/>
                <w:szCs w:val="21"/>
                <w:highlight w:val="none"/>
                <w:lang w:eastAsia="zh-CN"/>
              </w:rPr>
              <w:t>采购</w:t>
            </w:r>
            <w:r>
              <w:rPr>
                <w:rFonts w:hint="eastAsia" w:ascii="宋体" w:hAnsi="宋体" w:eastAsia="宋体" w:cs="宋体"/>
                <w:b/>
                <w:bCs/>
                <w:color w:val="auto"/>
                <w:kern w:val="2"/>
                <w:sz w:val="21"/>
                <w:szCs w:val="21"/>
                <w:highlight w:val="none"/>
                <w:lang w:eastAsia="zh-CN"/>
              </w:rPr>
              <w:t>公告发布之日起至投标截止；</w:t>
            </w:r>
          </w:p>
          <w:p w14:paraId="0CCD8C6E">
            <w:pPr>
              <w:rPr>
                <w:rFonts w:hint="eastAsia" w:ascii="宋体" w:hAnsi="宋体" w:eastAsia="宋体" w:cs="宋体"/>
                <w:b/>
                <w:bCs/>
                <w:color w:val="auto"/>
                <w:kern w:val="2"/>
                <w:sz w:val="21"/>
                <w:szCs w:val="21"/>
                <w:highlight w:val="none"/>
                <w:lang w:eastAsia="zh-CN"/>
              </w:rPr>
            </w:pPr>
            <w:r>
              <w:rPr>
                <w:rFonts w:hint="eastAsia" w:ascii="宋体" w:hAnsi="宋体" w:eastAsia="宋体" w:cs="宋体"/>
                <w:b/>
                <w:bCs/>
                <w:color w:val="auto"/>
                <w:kern w:val="2"/>
                <w:sz w:val="21"/>
                <w:szCs w:val="21"/>
                <w:highlight w:val="none"/>
                <w:lang w:eastAsia="zh-CN"/>
              </w:rPr>
              <w:t>踏勘地点：广东省阳江市高新区港口工业区海港二横路一号阳江开能环保能源有限公司</w:t>
            </w:r>
          </w:p>
          <w:p w14:paraId="6AE6AE71">
            <w:pPr>
              <w:rPr>
                <w:rFonts w:hint="eastAsia" w:ascii="宋体" w:hAnsi="宋体" w:eastAsia="宋体" w:cs="宋体"/>
                <w:b/>
                <w:bCs/>
                <w:color w:val="auto"/>
                <w:kern w:val="2"/>
                <w:sz w:val="21"/>
                <w:szCs w:val="21"/>
                <w:highlight w:val="none"/>
                <w:lang w:eastAsia="zh-CN"/>
              </w:rPr>
            </w:pPr>
            <w:r>
              <w:rPr>
                <w:rFonts w:hint="eastAsia" w:ascii="宋体" w:hAnsi="宋体" w:eastAsia="宋体" w:cs="宋体"/>
                <w:b/>
                <w:bCs/>
                <w:color w:val="auto"/>
                <w:kern w:val="2"/>
                <w:sz w:val="21"/>
                <w:szCs w:val="21"/>
                <w:highlight w:val="none"/>
                <w:lang w:eastAsia="zh-CN"/>
              </w:rPr>
              <w:t>联系人：晏平（13412837881）</w:t>
            </w:r>
          </w:p>
          <w:p w14:paraId="335BD640">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组织，踏勘现场时间、地点：</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 </w:t>
            </w:r>
          </w:p>
        </w:tc>
      </w:tr>
      <w:tr w14:paraId="47BA8E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629" w:hRule="atLeast"/>
          <w:jc w:val="center"/>
        </w:trPr>
        <w:tc>
          <w:tcPr>
            <w:tcW w:w="8410" w:type="dxa"/>
            <w:gridSpan w:val="3"/>
            <w:tcBorders>
              <w:tl2br w:val="nil"/>
              <w:tr2bl w:val="nil"/>
            </w:tcBorders>
            <w:vAlign w:val="center"/>
          </w:tcPr>
          <w:p w14:paraId="541ED87B">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二、投标文件的编制</w:t>
            </w:r>
          </w:p>
        </w:tc>
      </w:tr>
      <w:tr w14:paraId="1EE958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0CBD619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7532" w:type="dxa"/>
            <w:gridSpan w:val="2"/>
            <w:tcBorders>
              <w:tl2br w:val="nil"/>
              <w:tr2bl w:val="nil"/>
            </w:tcBorders>
            <w:vAlign w:val="center"/>
          </w:tcPr>
          <w:p w14:paraId="7F3829C3">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投标语言</w:t>
            </w:r>
          </w:p>
        </w:tc>
      </w:tr>
      <w:tr w14:paraId="7B38DB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052F5DB6">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6D2FB7FF">
            <w:pP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中文。</w:t>
            </w:r>
          </w:p>
        </w:tc>
      </w:tr>
      <w:tr w14:paraId="3C4EAD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43B76D6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7532" w:type="dxa"/>
            <w:gridSpan w:val="2"/>
            <w:tcBorders>
              <w:tl2br w:val="nil"/>
              <w:tr2bl w:val="nil"/>
            </w:tcBorders>
            <w:vAlign w:val="center"/>
          </w:tcPr>
          <w:p w14:paraId="5B9669E3">
            <w:pPr>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投标报价</w:t>
            </w:r>
          </w:p>
        </w:tc>
      </w:tr>
      <w:tr w14:paraId="1D37F7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265F42A0">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2D79E710">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详见投标人须知。</w:t>
            </w:r>
          </w:p>
        </w:tc>
      </w:tr>
      <w:tr w14:paraId="485714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0" w:hRule="atLeast"/>
          <w:jc w:val="center"/>
        </w:trPr>
        <w:tc>
          <w:tcPr>
            <w:tcW w:w="878" w:type="dxa"/>
            <w:vMerge w:val="restart"/>
            <w:tcBorders>
              <w:tl2br w:val="nil"/>
              <w:tr2bl w:val="nil"/>
            </w:tcBorders>
            <w:vAlign w:val="center"/>
          </w:tcPr>
          <w:p w14:paraId="364919E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7532" w:type="dxa"/>
            <w:gridSpan w:val="2"/>
            <w:tcBorders>
              <w:tl2br w:val="nil"/>
              <w:tr2bl w:val="nil"/>
            </w:tcBorders>
            <w:vAlign w:val="center"/>
          </w:tcPr>
          <w:p w14:paraId="6C61C056">
            <w:pPr>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投标保证金</w:t>
            </w:r>
          </w:p>
        </w:tc>
      </w:tr>
      <w:tr w14:paraId="2CEF7E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0" w:hRule="atLeast"/>
          <w:jc w:val="center"/>
        </w:trPr>
        <w:tc>
          <w:tcPr>
            <w:tcW w:w="878" w:type="dxa"/>
            <w:vMerge w:val="continue"/>
            <w:tcBorders>
              <w:tl2br w:val="nil"/>
              <w:tr2bl w:val="nil"/>
            </w:tcBorders>
            <w:vAlign w:val="center"/>
          </w:tcPr>
          <w:p w14:paraId="0F2AA6E2">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1DEBF199">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（1）投标保证金金额：人民币</w:t>
            </w:r>
            <w:r>
              <w:rPr>
                <w:rFonts w:hint="eastAsia" w:ascii="宋体" w:hAnsi="宋体" w:eastAsia="宋体" w:cs="宋体"/>
                <w:b/>
                <w:color w:val="auto"/>
                <w:szCs w:val="21"/>
                <w:highlight w:val="none"/>
              </w:rPr>
              <w:t>（大写）</w:t>
            </w:r>
            <w:r>
              <w:rPr>
                <w:rFonts w:hint="eastAsia" w:ascii="宋体" w:hAnsi="宋体" w:eastAsia="宋体" w:cs="宋体"/>
                <w:b/>
                <w:color w:val="auto"/>
                <w:szCs w:val="21"/>
                <w:highlight w:val="none"/>
                <w:u w:val="single"/>
                <w:lang w:val="en-US" w:eastAsia="zh-CN"/>
              </w:rPr>
              <w:t>叁万元整</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3</w:t>
            </w:r>
            <w:r>
              <w:rPr>
                <w:rFonts w:hint="eastAsia" w:ascii="宋体" w:hAnsi="宋体" w:eastAsia="宋体" w:cs="宋体"/>
                <w:b/>
                <w:color w:val="auto"/>
                <w:szCs w:val="21"/>
                <w:highlight w:val="none"/>
                <w:u w:val="single"/>
                <w:lang w:val="en-US" w:eastAsia="zh-CN"/>
              </w:rPr>
              <w:t>0,000.00</w:t>
            </w:r>
            <w:r>
              <w:rPr>
                <w:rFonts w:hint="eastAsia" w:ascii="宋体" w:hAnsi="宋体" w:eastAsia="宋体" w:cs="宋体"/>
                <w:b/>
                <w:color w:val="auto"/>
                <w:szCs w:val="21"/>
                <w:highlight w:val="none"/>
                <w:u w:val="single"/>
              </w:rPr>
              <w:t>元</w:t>
            </w:r>
            <w:r>
              <w:rPr>
                <w:rFonts w:hint="eastAsia" w:ascii="宋体" w:hAnsi="宋体" w:eastAsia="宋体" w:cs="宋体"/>
                <w:color w:val="auto"/>
                <w:szCs w:val="21"/>
                <w:highlight w:val="none"/>
              </w:rPr>
              <w:t>）。</w:t>
            </w:r>
          </w:p>
        </w:tc>
      </w:tr>
      <w:tr w14:paraId="2EE6F4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273" w:hRule="atLeast"/>
          <w:jc w:val="center"/>
        </w:trPr>
        <w:tc>
          <w:tcPr>
            <w:tcW w:w="878" w:type="dxa"/>
            <w:vMerge w:val="continue"/>
            <w:tcBorders>
              <w:tl2br w:val="nil"/>
              <w:tr2bl w:val="nil"/>
            </w:tcBorders>
            <w:vAlign w:val="center"/>
          </w:tcPr>
          <w:p w14:paraId="1BE98917">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68B9F6BA">
            <w:pPr>
              <w:tabs>
                <w:tab w:val="left" w:pos="567"/>
              </w:tabs>
              <w:jc w:val="both"/>
              <w:rPr>
                <w:rFonts w:hint="eastAsia" w:ascii="宋体" w:hAnsi="宋体" w:eastAsia="宋体" w:cs="宋体"/>
                <w:color w:val="auto"/>
                <w:kern w:val="2"/>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kern w:val="2"/>
                <w:szCs w:val="21"/>
                <w:highlight w:val="none"/>
                <w:lang w:val="zh-CN"/>
              </w:rPr>
              <w:t>投标保证金采用转帐、电汇方式提交，应符合以下要求：采用银行转账、电汇方式提交的，保证金汇入以下投标保证金专用账户，不接收由以投标人分支机构、私人帐户和其他单位转入的保证金。投标保证金必须在投标文件递交截止前到账，投标保证金未按规定时间到达指定账户或提交金额不足的，将被视为无效投标。且在备注或用途中注明本项目的项目编号。</w:t>
            </w:r>
          </w:p>
          <w:p w14:paraId="3BFD5B27">
            <w:pPr>
              <w:tabs>
                <w:tab w:val="left" w:pos="567"/>
              </w:tabs>
              <w:ind w:left="567" w:hanging="567"/>
              <w:jc w:val="both"/>
              <w:rPr>
                <w:rFonts w:hint="eastAsia" w:ascii="宋体" w:hAnsi="宋体" w:eastAsia="宋体" w:cs="宋体"/>
                <w:color w:val="auto"/>
                <w:kern w:val="2"/>
                <w:szCs w:val="21"/>
                <w:highlight w:val="none"/>
                <w:lang w:val="zh-CN"/>
              </w:rPr>
            </w:pPr>
            <w:r>
              <w:rPr>
                <w:rFonts w:hint="eastAsia" w:ascii="宋体" w:hAnsi="宋体" w:eastAsia="宋体" w:cs="宋体"/>
                <w:color w:val="auto"/>
                <w:kern w:val="2"/>
                <w:szCs w:val="21"/>
                <w:highlight w:val="none"/>
                <w:lang w:val="zh-CN"/>
              </w:rPr>
              <w:t>投标保证金专用账户如下：</w:t>
            </w:r>
          </w:p>
          <w:p w14:paraId="1F95C106">
            <w:pPr>
              <w:tabs>
                <w:tab w:val="left" w:pos="567"/>
              </w:tabs>
              <w:ind w:firstLine="420" w:firstLineChars="200"/>
              <w:jc w:val="both"/>
              <w:rPr>
                <w:rFonts w:hint="eastAsia" w:ascii="宋体" w:hAnsi="宋体" w:eastAsia="宋体" w:cs="宋体"/>
                <w:color w:val="auto"/>
                <w:kern w:val="2"/>
                <w:szCs w:val="21"/>
                <w:highlight w:val="none"/>
                <w:lang w:val="zh-CN"/>
              </w:rPr>
            </w:pPr>
            <w:r>
              <w:rPr>
                <w:rFonts w:hint="eastAsia" w:ascii="宋体" w:hAnsi="宋体" w:eastAsia="宋体" w:cs="宋体"/>
                <w:color w:val="auto"/>
                <w:kern w:val="2"/>
                <w:szCs w:val="21"/>
                <w:highlight w:val="none"/>
                <w:lang w:val="zh-CN"/>
              </w:rPr>
              <w:t>账户名称：广东志合项目管理有限公司</w:t>
            </w:r>
          </w:p>
          <w:p w14:paraId="1A204180">
            <w:pPr>
              <w:tabs>
                <w:tab w:val="left" w:pos="567"/>
              </w:tabs>
              <w:ind w:firstLine="420" w:firstLineChars="200"/>
              <w:jc w:val="both"/>
              <w:rPr>
                <w:rFonts w:hint="eastAsia" w:ascii="宋体" w:hAnsi="宋体" w:eastAsia="宋体" w:cs="宋体"/>
                <w:color w:val="auto"/>
                <w:kern w:val="2"/>
                <w:szCs w:val="21"/>
                <w:highlight w:val="none"/>
                <w:lang w:val="zh-CN"/>
              </w:rPr>
            </w:pPr>
            <w:r>
              <w:rPr>
                <w:rFonts w:hint="eastAsia" w:ascii="宋体" w:hAnsi="宋体" w:eastAsia="宋体" w:cs="宋体"/>
                <w:color w:val="auto"/>
                <w:kern w:val="2"/>
                <w:szCs w:val="21"/>
                <w:highlight w:val="none"/>
                <w:lang w:val="zh-CN"/>
              </w:rPr>
              <w:t>账    号：550000111010087</w:t>
            </w:r>
          </w:p>
          <w:p w14:paraId="05E0E131">
            <w:pPr>
              <w:tabs>
                <w:tab w:val="left" w:pos="567"/>
              </w:tabs>
              <w:ind w:firstLine="420" w:firstLineChars="200"/>
              <w:jc w:val="both"/>
              <w:rPr>
                <w:rFonts w:hint="eastAsia" w:ascii="宋体" w:hAnsi="宋体" w:eastAsia="宋体" w:cs="宋体"/>
                <w:color w:val="auto"/>
                <w:kern w:val="2"/>
                <w:szCs w:val="21"/>
                <w:highlight w:val="none"/>
                <w:lang w:val="zh-CN"/>
              </w:rPr>
            </w:pPr>
            <w:r>
              <w:rPr>
                <w:rFonts w:hint="eastAsia" w:ascii="宋体" w:hAnsi="宋体" w:eastAsia="宋体" w:cs="宋体"/>
                <w:color w:val="auto"/>
                <w:kern w:val="2"/>
                <w:szCs w:val="21"/>
                <w:highlight w:val="none"/>
                <w:lang w:val="zh-CN"/>
              </w:rPr>
              <w:t>开 户 行： 东莞银行股份有限公司中心区时代支行</w:t>
            </w:r>
          </w:p>
          <w:p w14:paraId="6F3C7C62">
            <w:pPr>
              <w:tabs>
                <w:tab w:val="left" w:pos="567"/>
              </w:tabs>
              <w:ind w:firstLine="422" w:firstLineChars="200"/>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（注：各投标人在转帐或电汇时须在用途栏上备注项目编号，及项目名称，如有字数限制项目名称可简写。）</w:t>
            </w:r>
          </w:p>
        </w:tc>
      </w:tr>
      <w:tr w14:paraId="42626B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20" w:hRule="atLeast"/>
          <w:jc w:val="center"/>
        </w:trPr>
        <w:tc>
          <w:tcPr>
            <w:tcW w:w="878" w:type="dxa"/>
            <w:vMerge w:val="restart"/>
            <w:tcBorders>
              <w:tl2br w:val="nil"/>
              <w:tr2bl w:val="nil"/>
            </w:tcBorders>
            <w:vAlign w:val="center"/>
          </w:tcPr>
          <w:p w14:paraId="6A9F092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7532" w:type="dxa"/>
            <w:gridSpan w:val="2"/>
            <w:tcBorders>
              <w:tl2br w:val="nil"/>
              <w:tr2bl w:val="nil"/>
            </w:tcBorders>
            <w:vAlign w:val="center"/>
          </w:tcPr>
          <w:p w14:paraId="0539E466">
            <w:pPr>
              <w:jc w:val="both"/>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投标保证金退还</w:t>
            </w:r>
          </w:p>
        </w:tc>
      </w:tr>
      <w:tr w14:paraId="0E5F6F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1535" w:hRule="atLeast"/>
          <w:jc w:val="center"/>
        </w:trPr>
        <w:tc>
          <w:tcPr>
            <w:tcW w:w="878" w:type="dxa"/>
            <w:vMerge w:val="continue"/>
            <w:tcBorders>
              <w:tl2br w:val="nil"/>
              <w:tr2bl w:val="nil"/>
            </w:tcBorders>
            <w:vAlign w:val="center"/>
          </w:tcPr>
          <w:p w14:paraId="33D52D39">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731A0729">
            <w:pPr>
              <w:jc w:val="both"/>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）未中标的投标人的保证金应当在中标通知书发出后退还，中标</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zh-CN"/>
              </w:rPr>
              <w:t>投标人的保证金应当在采购合同签订</w:t>
            </w:r>
            <w:r>
              <w:rPr>
                <w:rFonts w:hint="eastAsia" w:ascii="宋体" w:hAnsi="宋体" w:eastAsia="宋体" w:cs="宋体"/>
                <w:color w:val="auto"/>
                <w:szCs w:val="21"/>
                <w:highlight w:val="none"/>
              </w:rPr>
              <w:t>并缴纳履约保证金</w:t>
            </w:r>
            <w:r>
              <w:rPr>
                <w:rFonts w:hint="eastAsia" w:ascii="宋体" w:hAnsi="宋体" w:eastAsia="宋体" w:cs="宋体"/>
                <w:color w:val="auto"/>
                <w:szCs w:val="21"/>
                <w:highlight w:val="none"/>
                <w:lang w:val="zh-CN"/>
              </w:rPr>
              <w:t>后退还。</w:t>
            </w:r>
          </w:p>
          <w:p w14:paraId="633AFB93">
            <w:pPr>
              <w:jc w:val="both"/>
              <w:rPr>
                <w:rFonts w:hint="eastAsia" w:ascii="宋体" w:hAnsi="宋体" w:eastAsia="宋体" w:cs="宋体"/>
                <w:color w:val="auto"/>
                <w:highlight w:val="none"/>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）为方便退还未中标的投标人的保证金，投标人应制作《投标保证金汇入情况说明》随唱标信封一并递交。</w:t>
            </w:r>
          </w:p>
        </w:tc>
      </w:tr>
      <w:tr w14:paraId="182B2A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31EA36C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7532" w:type="dxa"/>
            <w:gridSpan w:val="2"/>
            <w:tcBorders>
              <w:tl2br w:val="nil"/>
              <w:tr2bl w:val="nil"/>
            </w:tcBorders>
            <w:vAlign w:val="center"/>
          </w:tcPr>
          <w:p w14:paraId="57F5EF49">
            <w:pPr>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投标有效期</w:t>
            </w:r>
          </w:p>
        </w:tc>
      </w:tr>
      <w:tr w14:paraId="6D6CF5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168E30FA">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3CB4B4BF">
            <w:pPr>
              <w:jc w:val="both"/>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九十天。</w:t>
            </w:r>
          </w:p>
        </w:tc>
      </w:tr>
      <w:tr w14:paraId="18F65A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restart"/>
            <w:tcBorders>
              <w:tl2br w:val="nil"/>
              <w:tr2bl w:val="nil"/>
            </w:tcBorders>
            <w:vAlign w:val="center"/>
          </w:tcPr>
          <w:p w14:paraId="250CAA1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7532" w:type="dxa"/>
            <w:gridSpan w:val="2"/>
            <w:tcBorders>
              <w:tl2br w:val="nil"/>
              <w:tr2bl w:val="nil"/>
            </w:tcBorders>
            <w:vAlign w:val="center"/>
          </w:tcPr>
          <w:p w14:paraId="7B9709C2">
            <w:pPr>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应提交以下投标文件（投标文件由唱标信封、价格文件、商务文件、技术文件、电子文档五部分组成；价格文件、商务文件、技术文件分别单独装订成册，电子文档装入唱标信封一同封装；具体编制和封装要求详见第四部分投标人须知）</w:t>
            </w:r>
          </w:p>
        </w:tc>
      </w:tr>
      <w:tr w14:paraId="0B0A90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continue"/>
            <w:tcBorders>
              <w:tl2br w:val="nil"/>
              <w:tr2bl w:val="nil"/>
            </w:tcBorders>
            <w:vAlign w:val="center"/>
          </w:tcPr>
          <w:p w14:paraId="521D8868">
            <w:pPr>
              <w:jc w:val="center"/>
              <w:rPr>
                <w:rFonts w:hint="eastAsia" w:ascii="宋体" w:hAnsi="宋体" w:eastAsia="宋体" w:cs="宋体"/>
                <w:color w:val="auto"/>
                <w:szCs w:val="21"/>
                <w:highlight w:val="none"/>
              </w:rPr>
            </w:pPr>
          </w:p>
        </w:tc>
        <w:tc>
          <w:tcPr>
            <w:tcW w:w="2608" w:type="dxa"/>
            <w:tcBorders>
              <w:tl2br w:val="nil"/>
              <w:tr2bl w:val="nil"/>
            </w:tcBorders>
            <w:vAlign w:val="center"/>
          </w:tcPr>
          <w:p w14:paraId="3883170E">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投标文件类型</w:t>
            </w:r>
          </w:p>
        </w:tc>
        <w:tc>
          <w:tcPr>
            <w:tcW w:w="4924" w:type="dxa"/>
            <w:tcBorders>
              <w:tl2br w:val="nil"/>
              <w:tr2bl w:val="nil"/>
            </w:tcBorders>
            <w:vAlign w:val="center"/>
          </w:tcPr>
          <w:p w14:paraId="4707D39E">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份数</w:t>
            </w:r>
          </w:p>
        </w:tc>
      </w:tr>
      <w:tr w14:paraId="7C37C2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continue"/>
            <w:tcBorders>
              <w:tl2br w:val="nil"/>
              <w:tr2bl w:val="nil"/>
            </w:tcBorders>
            <w:vAlign w:val="center"/>
          </w:tcPr>
          <w:p w14:paraId="7C8FE260">
            <w:pPr>
              <w:jc w:val="center"/>
              <w:rPr>
                <w:rFonts w:hint="eastAsia" w:ascii="宋体" w:hAnsi="宋体" w:eastAsia="宋体" w:cs="宋体"/>
                <w:color w:val="auto"/>
                <w:szCs w:val="21"/>
                <w:highlight w:val="none"/>
              </w:rPr>
            </w:pPr>
          </w:p>
        </w:tc>
        <w:tc>
          <w:tcPr>
            <w:tcW w:w="2608" w:type="dxa"/>
            <w:tcBorders>
              <w:tl2br w:val="nil"/>
              <w:tr2bl w:val="nil"/>
            </w:tcBorders>
            <w:vAlign w:val="center"/>
          </w:tcPr>
          <w:p w14:paraId="5318F7DE">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唱标信封</w:t>
            </w:r>
          </w:p>
        </w:tc>
        <w:tc>
          <w:tcPr>
            <w:tcW w:w="4924" w:type="dxa"/>
            <w:tcBorders>
              <w:tl2br w:val="nil"/>
              <w:tr2bl w:val="nil"/>
            </w:tcBorders>
            <w:vAlign w:val="center"/>
          </w:tcPr>
          <w:p w14:paraId="14B43587">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p>
        </w:tc>
      </w:tr>
      <w:tr w14:paraId="340F56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continue"/>
            <w:tcBorders>
              <w:tl2br w:val="nil"/>
              <w:tr2bl w:val="nil"/>
            </w:tcBorders>
            <w:vAlign w:val="center"/>
          </w:tcPr>
          <w:p w14:paraId="7B54B0EB">
            <w:pPr>
              <w:jc w:val="center"/>
              <w:rPr>
                <w:rFonts w:hint="eastAsia" w:ascii="宋体" w:hAnsi="宋体" w:eastAsia="宋体" w:cs="宋体"/>
                <w:color w:val="auto"/>
                <w:szCs w:val="21"/>
                <w:highlight w:val="none"/>
              </w:rPr>
            </w:pPr>
          </w:p>
        </w:tc>
        <w:tc>
          <w:tcPr>
            <w:tcW w:w="2608" w:type="dxa"/>
            <w:tcBorders>
              <w:tl2br w:val="nil"/>
              <w:tr2bl w:val="nil"/>
            </w:tcBorders>
            <w:vAlign w:val="center"/>
          </w:tcPr>
          <w:p w14:paraId="11260BAC">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投标文件正本</w:t>
            </w:r>
          </w:p>
        </w:tc>
        <w:tc>
          <w:tcPr>
            <w:tcW w:w="4924" w:type="dxa"/>
            <w:tcBorders>
              <w:tl2br w:val="nil"/>
              <w:tr2bl w:val="nil"/>
            </w:tcBorders>
            <w:vAlign w:val="center"/>
          </w:tcPr>
          <w:p w14:paraId="2594FB8F">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p>
        </w:tc>
      </w:tr>
      <w:tr w14:paraId="2FB7E4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878" w:type="dxa"/>
            <w:vMerge w:val="continue"/>
            <w:tcBorders>
              <w:tl2br w:val="nil"/>
              <w:tr2bl w:val="nil"/>
            </w:tcBorders>
            <w:vAlign w:val="center"/>
          </w:tcPr>
          <w:p w14:paraId="15E14820">
            <w:pPr>
              <w:jc w:val="center"/>
              <w:rPr>
                <w:rFonts w:hint="eastAsia" w:ascii="宋体" w:hAnsi="宋体" w:eastAsia="宋体" w:cs="宋体"/>
                <w:color w:val="auto"/>
                <w:szCs w:val="21"/>
                <w:highlight w:val="none"/>
              </w:rPr>
            </w:pPr>
          </w:p>
        </w:tc>
        <w:tc>
          <w:tcPr>
            <w:tcW w:w="2608" w:type="dxa"/>
            <w:tcBorders>
              <w:tl2br w:val="nil"/>
              <w:tr2bl w:val="nil"/>
            </w:tcBorders>
            <w:vAlign w:val="center"/>
          </w:tcPr>
          <w:p w14:paraId="3044A74B">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投标文件副本</w:t>
            </w:r>
          </w:p>
        </w:tc>
        <w:tc>
          <w:tcPr>
            <w:tcW w:w="4924" w:type="dxa"/>
            <w:tcBorders>
              <w:tl2br w:val="nil"/>
              <w:tr2bl w:val="nil"/>
            </w:tcBorders>
            <w:vAlign w:val="center"/>
          </w:tcPr>
          <w:p w14:paraId="4C93214F">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sym w:font="Wingdings 2" w:char="0052"/>
            </w:r>
            <w:r>
              <w:rPr>
                <w:rFonts w:hint="eastAsia" w:ascii="宋体" w:hAnsi="宋体" w:eastAsia="宋体" w:cs="宋体"/>
                <w:b/>
                <w:color w:val="auto"/>
                <w:szCs w:val="21"/>
                <w:highlight w:val="none"/>
              </w:rPr>
              <w:t xml:space="preserve">5  </w:t>
            </w:r>
            <w:r>
              <w:rPr>
                <w:rFonts w:hint="eastAsia" w:ascii="宋体" w:hAnsi="宋体" w:eastAsia="宋体" w:cs="宋体"/>
                <w:b/>
                <w:color w:val="auto"/>
                <w:szCs w:val="21"/>
                <w:highlight w:val="none"/>
                <w:lang w:eastAsia="zh-CN"/>
              </w:rPr>
              <w:sym w:font="Wingdings 2" w:char="00A3"/>
            </w:r>
            <w:r>
              <w:rPr>
                <w:rFonts w:hint="eastAsia" w:ascii="宋体" w:hAnsi="宋体" w:eastAsia="宋体" w:cs="宋体"/>
                <w:b/>
                <w:color w:val="auto"/>
                <w:szCs w:val="21"/>
                <w:highlight w:val="none"/>
              </w:rPr>
              <w:t>7</w:t>
            </w:r>
          </w:p>
        </w:tc>
      </w:tr>
      <w:tr w14:paraId="4A1D67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continue"/>
            <w:tcBorders>
              <w:tl2br w:val="nil"/>
              <w:tr2bl w:val="nil"/>
            </w:tcBorders>
            <w:vAlign w:val="center"/>
          </w:tcPr>
          <w:p w14:paraId="3C3B484D">
            <w:pPr>
              <w:jc w:val="center"/>
              <w:rPr>
                <w:rFonts w:hint="eastAsia" w:ascii="宋体" w:hAnsi="宋体" w:eastAsia="宋体" w:cs="宋体"/>
                <w:color w:val="auto"/>
                <w:szCs w:val="21"/>
                <w:highlight w:val="none"/>
              </w:rPr>
            </w:pPr>
          </w:p>
        </w:tc>
        <w:tc>
          <w:tcPr>
            <w:tcW w:w="2608" w:type="dxa"/>
            <w:vMerge w:val="restart"/>
            <w:tcBorders>
              <w:tl2br w:val="nil"/>
              <w:tr2bl w:val="nil"/>
            </w:tcBorders>
            <w:vAlign w:val="center"/>
          </w:tcPr>
          <w:p w14:paraId="4807D72C">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电子文档</w:t>
            </w:r>
          </w:p>
        </w:tc>
        <w:tc>
          <w:tcPr>
            <w:tcW w:w="4924" w:type="dxa"/>
            <w:tcBorders>
              <w:tl2br w:val="nil"/>
              <w:tr2bl w:val="nil"/>
            </w:tcBorders>
            <w:vAlign w:val="center"/>
          </w:tcPr>
          <w:p w14:paraId="5D1F5BD8">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p>
        </w:tc>
      </w:tr>
      <w:tr w14:paraId="5E0E78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continue"/>
            <w:tcBorders>
              <w:tl2br w:val="nil"/>
              <w:tr2bl w:val="nil"/>
            </w:tcBorders>
            <w:vAlign w:val="center"/>
          </w:tcPr>
          <w:p w14:paraId="5624A70C">
            <w:pPr>
              <w:jc w:val="center"/>
              <w:rPr>
                <w:rFonts w:hint="eastAsia" w:ascii="宋体" w:hAnsi="宋体" w:eastAsia="宋体" w:cs="宋体"/>
                <w:color w:val="auto"/>
                <w:szCs w:val="21"/>
                <w:highlight w:val="none"/>
              </w:rPr>
            </w:pPr>
          </w:p>
        </w:tc>
        <w:tc>
          <w:tcPr>
            <w:tcW w:w="2608" w:type="dxa"/>
            <w:vMerge w:val="continue"/>
            <w:tcBorders>
              <w:tl2br w:val="nil"/>
              <w:tr2bl w:val="nil"/>
            </w:tcBorders>
            <w:vAlign w:val="center"/>
          </w:tcPr>
          <w:p w14:paraId="217A2BB4">
            <w:pPr>
              <w:jc w:val="center"/>
              <w:rPr>
                <w:rFonts w:hint="eastAsia" w:ascii="宋体" w:hAnsi="宋体" w:eastAsia="宋体" w:cs="宋体"/>
                <w:b/>
                <w:color w:val="auto"/>
                <w:szCs w:val="21"/>
                <w:highlight w:val="none"/>
              </w:rPr>
            </w:pPr>
          </w:p>
        </w:tc>
        <w:tc>
          <w:tcPr>
            <w:tcW w:w="4924" w:type="dxa"/>
            <w:tcBorders>
              <w:tl2br w:val="nil"/>
              <w:tr2bl w:val="nil"/>
            </w:tcBorders>
            <w:vAlign w:val="center"/>
          </w:tcPr>
          <w:p w14:paraId="33EC5A15">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U盘，须含盖章版PDF投标文件和WORD版投标文件各一版，文字采用WORD文档，计算表格采用 EXCEL文档。</w:t>
            </w:r>
          </w:p>
        </w:tc>
      </w:tr>
      <w:tr w14:paraId="524A21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857" w:hRule="atLeast"/>
          <w:jc w:val="center"/>
        </w:trPr>
        <w:tc>
          <w:tcPr>
            <w:tcW w:w="8410" w:type="dxa"/>
            <w:gridSpan w:val="3"/>
            <w:tcBorders>
              <w:tl2br w:val="nil"/>
              <w:tr2bl w:val="nil"/>
            </w:tcBorders>
            <w:vAlign w:val="center"/>
          </w:tcPr>
          <w:p w14:paraId="3323DFBB">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三、开标与评标</w:t>
            </w:r>
          </w:p>
        </w:tc>
      </w:tr>
      <w:tr w14:paraId="072460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6D608FF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7532" w:type="dxa"/>
            <w:gridSpan w:val="2"/>
            <w:tcBorders>
              <w:tl2br w:val="nil"/>
              <w:tr2bl w:val="nil"/>
            </w:tcBorders>
            <w:vAlign w:val="center"/>
          </w:tcPr>
          <w:p w14:paraId="45CE8704">
            <w:pPr>
              <w:jc w:val="both"/>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本项目评标方法</w:t>
            </w:r>
          </w:p>
        </w:tc>
      </w:tr>
      <w:tr w14:paraId="7DE864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4B916166">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6E2F605B">
            <w:pPr>
              <w:jc w:val="both"/>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综合评分法。</w:t>
            </w:r>
          </w:p>
        </w:tc>
      </w:tr>
      <w:tr w14:paraId="6F94E7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7B38E4C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7532" w:type="dxa"/>
            <w:gridSpan w:val="2"/>
            <w:tcBorders>
              <w:tl2br w:val="nil"/>
              <w:tr2bl w:val="nil"/>
            </w:tcBorders>
            <w:vAlign w:val="center"/>
          </w:tcPr>
          <w:p w14:paraId="665096E7">
            <w:pPr>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综合评分法评分因素和权重分值</w:t>
            </w:r>
          </w:p>
        </w:tc>
      </w:tr>
      <w:tr w14:paraId="73A34F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00E63A5A">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28EE3E0C">
            <w:pPr>
              <w:jc w:val="both"/>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见附表二。</w:t>
            </w:r>
          </w:p>
        </w:tc>
      </w:tr>
      <w:tr w14:paraId="5871E6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restart"/>
            <w:tcBorders>
              <w:tl2br w:val="nil"/>
              <w:tr2bl w:val="nil"/>
            </w:tcBorders>
            <w:vAlign w:val="center"/>
          </w:tcPr>
          <w:p w14:paraId="121BA74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7532" w:type="dxa"/>
            <w:gridSpan w:val="2"/>
            <w:tcBorders>
              <w:tl2br w:val="nil"/>
              <w:tr2bl w:val="nil"/>
            </w:tcBorders>
            <w:vAlign w:val="center"/>
          </w:tcPr>
          <w:p w14:paraId="7E026569">
            <w:pPr>
              <w:jc w:val="both"/>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评标委员会</w:t>
            </w:r>
          </w:p>
        </w:tc>
      </w:tr>
      <w:tr w14:paraId="1B21BA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7996656A">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03B044E5">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评标委员会成员共</w:t>
            </w:r>
            <w:r>
              <w:rPr>
                <w:rFonts w:hint="eastAsia" w:ascii="宋体" w:hAnsi="宋体" w:eastAsia="宋体" w:cs="宋体"/>
                <w:color w:val="auto"/>
                <w:szCs w:val="21"/>
                <w:highlight w:val="none"/>
                <w:u w:val="single"/>
                <w:lang w:val="en-US" w:eastAsia="zh-CN"/>
              </w:rPr>
              <w:t xml:space="preserve"> 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val="zh-CN"/>
              </w:rPr>
              <w:t>评标委员会由采购人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zh-CN"/>
              </w:rPr>
              <w:t>代表和</w:t>
            </w:r>
            <w:r>
              <w:rPr>
                <w:rFonts w:hint="eastAsia" w:ascii="宋体" w:hAnsi="宋体" w:eastAsia="宋体" w:cs="宋体"/>
                <w:color w:val="auto"/>
                <w:szCs w:val="21"/>
                <w:highlight w:val="none"/>
              </w:rPr>
              <w:t>有关方面的</w:t>
            </w:r>
            <w:r>
              <w:rPr>
                <w:rFonts w:hint="eastAsia" w:ascii="宋体" w:hAnsi="宋体" w:eastAsia="宋体" w:cs="宋体"/>
                <w:color w:val="auto"/>
                <w:szCs w:val="21"/>
                <w:highlight w:val="none"/>
                <w:lang w:val="zh-CN"/>
              </w:rPr>
              <w:t>专家组成，</w:t>
            </w:r>
            <w:r>
              <w:rPr>
                <w:rFonts w:hint="eastAsia" w:ascii="宋体" w:hAnsi="宋体" w:eastAsia="宋体" w:cs="宋体"/>
                <w:color w:val="auto"/>
                <w:szCs w:val="21"/>
                <w:highlight w:val="none"/>
              </w:rPr>
              <w:t>成员人数为五人或五人以上单数</w:t>
            </w:r>
            <w:r>
              <w:rPr>
                <w:rFonts w:hint="eastAsia" w:ascii="宋体" w:hAnsi="宋体" w:eastAsia="宋体" w:cs="宋体"/>
                <w:color w:val="auto"/>
                <w:szCs w:val="21"/>
                <w:highlight w:val="none"/>
                <w:lang w:val="zh-CN"/>
              </w:rPr>
              <w:t>，其中专家不得少于成员总数的三分之二。</w:t>
            </w:r>
          </w:p>
        </w:tc>
      </w:tr>
      <w:tr w14:paraId="14F5B0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748" w:hRule="atLeast"/>
          <w:jc w:val="center"/>
        </w:trPr>
        <w:tc>
          <w:tcPr>
            <w:tcW w:w="8410" w:type="dxa"/>
            <w:gridSpan w:val="3"/>
            <w:tcBorders>
              <w:tl2br w:val="nil"/>
              <w:tr2bl w:val="nil"/>
            </w:tcBorders>
            <w:vAlign w:val="center"/>
          </w:tcPr>
          <w:p w14:paraId="7016138A">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四、授予合同</w:t>
            </w:r>
          </w:p>
        </w:tc>
      </w:tr>
      <w:tr w14:paraId="1A96D3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878" w:type="dxa"/>
            <w:vMerge w:val="restart"/>
            <w:tcBorders>
              <w:tl2br w:val="nil"/>
              <w:tr2bl w:val="nil"/>
            </w:tcBorders>
            <w:vAlign w:val="center"/>
          </w:tcPr>
          <w:p w14:paraId="42FF6E7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7532" w:type="dxa"/>
            <w:gridSpan w:val="2"/>
            <w:tcBorders>
              <w:tl2br w:val="nil"/>
              <w:tr2bl w:val="nil"/>
            </w:tcBorders>
            <w:shd w:val="clear" w:color="auto" w:fill="auto"/>
            <w:vAlign w:val="center"/>
          </w:tcPr>
          <w:p w14:paraId="3A659F12">
            <w:pPr>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履约担保</w:t>
            </w:r>
          </w:p>
        </w:tc>
      </w:tr>
      <w:tr w14:paraId="646CA6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40" w:hRule="atLeast"/>
          <w:jc w:val="center"/>
        </w:trPr>
        <w:tc>
          <w:tcPr>
            <w:tcW w:w="878" w:type="dxa"/>
            <w:vMerge w:val="continue"/>
            <w:tcBorders>
              <w:tl2br w:val="nil"/>
              <w:tr2bl w:val="nil"/>
            </w:tcBorders>
            <w:vAlign w:val="center"/>
          </w:tcPr>
          <w:p w14:paraId="63F1862F">
            <w:pPr>
              <w:jc w:val="center"/>
              <w:rPr>
                <w:rFonts w:hint="eastAsia" w:ascii="宋体" w:hAnsi="宋体" w:eastAsia="宋体" w:cs="宋体"/>
                <w:color w:val="auto"/>
                <w:szCs w:val="21"/>
                <w:highlight w:val="none"/>
              </w:rPr>
            </w:pPr>
          </w:p>
        </w:tc>
        <w:tc>
          <w:tcPr>
            <w:tcW w:w="7532" w:type="dxa"/>
            <w:gridSpan w:val="2"/>
            <w:tcBorders>
              <w:tl2br w:val="nil"/>
              <w:tr2bl w:val="nil"/>
            </w:tcBorders>
            <w:shd w:val="clear" w:color="auto" w:fill="auto"/>
            <w:vAlign w:val="center"/>
          </w:tcPr>
          <w:p w14:paraId="3BDA0839">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1.履约担保金额为：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暂定</w:t>
            </w:r>
            <w:r>
              <w:rPr>
                <w:rFonts w:hint="eastAsia" w:ascii="宋体" w:hAnsi="宋体" w:eastAsia="宋体" w:cs="宋体"/>
                <w:color w:val="auto"/>
                <w:szCs w:val="21"/>
                <w:highlight w:val="none"/>
                <w:u w:val="single"/>
              </w:rPr>
              <w:t>合同金额的10%    。</w:t>
            </w:r>
          </w:p>
          <w:p w14:paraId="61E3C673">
            <w:pPr>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2.履约保证金账户信息：</w:t>
            </w:r>
            <w:r>
              <w:rPr>
                <w:rFonts w:hint="eastAsia" w:ascii="宋体" w:hAnsi="宋体" w:eastAsia="宋体" w:cs="宋体"/>
                <w:color w:val="auto"/>
                <w:szCs w:val="21"/>
                <w:highlight w:val="none"/>
                <w:lang w:eastAsia="zh-CN"/>
              </w:rPr>
              <w:t>（中标后提供</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w:t>
            </w:r>
          </w:p>
          <w:p w14:paraId="252C6306">
            <w:pPr>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账户名称：</w:t>
            </w:r>
            <w:r>
              <w:rPr>
                <w:rFonts w:hint="eastAsia" w:ascii="宋体" w:hAnsi="宋体" w:eastAsia="宋体" w:cs="宋体"/>
                <w:color w:val="auto"/>
                <w:kern w:val="2"/>
                <w:szCs w:val="21"/>
                <w:highlight w:val="none"/>
                <w:u w:val="single"/>
                <w:lang w:eastAsia="zh-CN"/>
              </w:rPr>
              <w:t>阳江开能环保能源有限公司</w:t>
            </w:r>
            <w:r>
              <w:rPr>
                <w:rFonts w:hint="eastAsia" w:ascii="宋体" w:hAnsi="宋体" w:eastAsia="宋体" w:cs="宋体"/>
                <w:color w:val="auto"/>
                <w:kern w:val="2"/>
                <w:szCs w:val="21"/>
                <w:highlight w:val="none"/>
                <w:lang w:val="zh-CN"/>
              </w:rPr>
              <w:t>；</w:t>
            </w:r>
          </w:p>
          <w:p w14:paraId="406B1952">
            <w:pPr>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kern w:val="2"/>
                <w:szCs w:val="21"/>
                <w:highlight w:val="none"/>
                <w:lang w:val="zh-CN"/>
              </w:rPr>
              <w:t>；</w:t>
            </w:r>
          </w:p>
          <w:p w14:paraId="3CB324CD">
            <w:pPr>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w:t>
            </w:r>
            <w:r>
              <w:rPr>
                <w:rFonts w:hint="eastAsia" w:ascii="宋体" w:hAnsi="宋体" w:eastAsia="宋体" w:cs="宋体"/>
                <w:color w:val="auto"/>
                <w:kern w:val="2"/>
                <w:szCs w:val="21"/>
                <w:highlight w:val="none"/>
                <w:u w:val="single"/>
                <w:lang w:val="en-US" w:eastAsia="zh-CN"/>
              </w:rPr>
              <w:t xml:space="preserve">                           </w:t>
            </w:r>
            <w:r>
              <w:rPr>
                <w:rFonts w:hint="eastAsia" w:ascii="宋体" w:hAnsi="宋体" w:eastAsia="宋体" w:cs="宋体"/>
                <w:color w:val="auto"/>
                <w:kern w:val="2"/>
                <w:szCs w:val="21"/>
                <w:highlight w:val="none"/>
                <w:lang w:val="zh-CN"/>
              </w:rPr>
              <w:t>；</w:t>
            </w:r>
          </w:p>
          <w:p w14:paraId="63AF9191">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在采购（合同签署）时提交履约担保，履约担保金额不超过成交合同金额的10%，如果中标人提交的履约保函的有效期先于合同要求的履约保函有效期到达，中标人应在原提交的履约保函有效期满前15天，无条件办理保函延期手续。否则，视为中标人违约，采购人可在保函到期前将保函金额转为现金存入履约保证金帐户。</w:t>
            </w:r>
          </w:p>
          <w:p w14:paraId="06D195B1">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4.履约担保期限从合同签订之日起至项目完工验收合格并结算完毕后，经双方签字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天内保持有效。</w:t>
            </w:r>
          </w:p>
          <w:p w14:paraId="375FE618">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5、履约担保要求：</w:t>
            </w:r>
          </w:p>
          <w:p w14:paraId="5D5A8805">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（1）履约保函</w:t>
            </w:r>
          </w:p>
          <w:p w14:paraId="2A390285">
            <w:pPr>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如果中标人的履约担保是以</w:t>
            </w:r>
            <w:r>
              <w:rPr>
                <w:rFonts w:hint="eastAsia" w:ascii="宋体" w:hAnsi="宋体" w:eastAsia="宋体" w:cs="宋体"/>
                <w:b/>
                <w:bCs/>
                <w:color w:val="auto"/>
                <w:szCs w:val="21"/>
                <w:highlight w:val="none"/>
              </w:rPr>
              <w:t>银行保函</w:t>
            </w:r>
            <w:r>
              <w:rPr>
                <w:rFonts w:hint="eastAsia" w:ascii="宋体" w:hAnsi="宋体" w:eastAsia="宋体" w:cs="宋体"/>
                <w:color w:val="auto"/>
                <w:szCs w:val="21"/>
                <w:highlight w:val="none"/>
              </w:rPr>
              <w:t>形式提供的，则该银行保函应：</w:t>
            </w:r>
          </w:p>
          <w:p w14:paraId="518A826D">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①保函应由银行支行或以上银行机构开具。</w:t>
            </w:r>
          </w:p>
          <w:p w14:paraId="56E62B81">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②保函的格式参考投标文件附件中提供的无条件不可撤销履约保函格式，保函担保期内若项目未能按期竣工，保函必须延期，办理延期手续时在银行方面所产生费用由中标人负责。</w:t>
            </w:r>
          </w:p>
          <w:p w14:paraId="3B6A50DB">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③履约保函必须打印，手写、涂改无效。</w:t>
            </w:r>
          </w:p>
          <w:p w14:paraId="452ED9CE">
            <w:pPr>
              <w:numPr>
                <w:ilvl w:val="0"/>
                <w:numId w:val="1"/>
              </w:num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p w14:paraId="4278F1A4">
            <w:pPr>
              <w:numPr>
                <w:ilvl w:val="0"/>
                <w:numId w:val="0"/>
              </w:numPr>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可采用电汇、银行汇票等银行转帐方式提交，但不可以采用现金方式提交。中标人必须保证履约保证金以中标人名称在签订合同前提交至采购人指定账户。</w:t>
            </w:r>
          </w:p>
          <w:p w14:paraId="78373819">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若中标人不能按本采购文件的规定提交履约保证金的，采购人将有权取消中标人的中标资格（采购人可以按照评标委员会提出的中标候选人名单排序依次确定其他中标候选人为中标人，也可以重新采购），投标保证金不予退还，给采购人造成的损失如果超过投标保证金数额的，还应当对超过部分予以赔偿。</w:t>
            </w:r>
          </w:p>
          <w:p w14:paraId="04E3ED58">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（4）为取得履约担保所需的费用，由中标人承担；若工期延误，履约担保时间延长，延长费用由中标人承担。</w:t>
            </w:r>
          </w:p>
          <w:p w14:paraId="556E4558">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若中标人在合同履行过程中出现项目质量事故、工期拖延、欠付工人工资、欠付材料款等情况，采购人在经核查属实后，有权将履约保函金额转为现金存入履约保证金账户；中标人造成采购人损失的，采购人有权立即没收其履约担保，若造成损失超过履约担保的，还应当对超过部分予以赔偿。</w:t>
            </w:r>
          </w:p>
          <w:p w14:paraId="2E59F129">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（6）下列任何情况发生时，采购人有权行使享有的担保权利：</w:t>
            </w:r>
          </w:p>
          <w:p w14:paraId="46D57B56">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①中标人将本项目转让给他人，或者在投标文件中未说明，且未经采购人同意，将中标项目分包给他人的；</w:t>
            </w:r>
          </w:p>
          <w:p w14:paraId="27518E9D">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②中标人在履行采购合同期间，违反有关法律法规的规定及合同约定的条款，损害了采购人的利益。</w:t>
            </w:r>
          </w:p>
          <w:p w14:paraId="7D42FC1B">
            <w:pPr>
              <w:jc w:val="both"/>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（7）在整个项目验收合格后，中标人向采购人提交退回履约担保的申请，采购人办理履约担保退还手续。</w:t>
            </w:r>
          </w:p>
        </w:tc>
      </w:tr>
      <w:tr w14:paraId="3B9B2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878" w:type="dxa"/>
            <w:vMerge w:val="restart"/>
            <w:tcBorders>
              <w:tl2br w:val="nil"/>
              <w:tr2bl w:val="nil"/>
            </w:tcBorders>
            <w:vAlign w:val="center"/>
          </w:tcPr>
          <w:p w14:paraId="7D72B22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7532" w:type="dxa"/>
            <w:gridSpan w:val="2"/>
            <w:tcBorders>
              <w:tl2br w:val="nil"/>
              <w:tr2bl w:val="nil"/>
            </w:tcBorders>
            <w:vAlign w:val="center"/>
          </w:tcPr>
          <w:p w14:paraId="0626C410">
            <w:pPr>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中标服务费</w:t>
            </w:r>
          </w:p>
        </w:tc>
      </w:tr>
      <w:tr w14:paraId="0D84E3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878" w:type="dxa"/>
            <w:vMerge w:val="continue"/>
            <w:tcBorders>
              <w:tl2br w:val="nil"/>
              <w:tr2bl w:val="nil"/>
            </w:tcBorders>
            <w:vAlign w:val="center"/>
          </w:tcPr>
          <w:p w14:paraId="5C2B31FB">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67A3799E">
            <w:pPr>
              <w:widowControl w:val="0"/>
              <w:tabs>
                <w:tab w:val="left" w:pos="907"/>
              </w:tabs>
              <w:adjustRightInd/>
              <w:snapToGrid/>
              <w:spacing w:line="360" w:lineRule="exact"/>
              <w:jc w:val="both"/>
              <w:rPr>
                <w:rFonts w:hint="eastAsia" w:ascii="宋体" w:hAnsi="宋体" w:eastAsia="宋体" w:cs="宋体"/>
                <w:color w:val="auto"/>
                <w:szCs w:val="21"/>
                <w:highlight w:val="none"/>
                <w:lang w:val="en-US" w:eastAsia="zh-CN"/>
              </w:rPr>
            </w:pPr>
            <w:r>
              <w:rPr>
                <w:rFonts w:hint="eastAsia" w:ascii="宋体" w:hAnsi="宋体" w:eastAsia="宋体" w:cs="宋体"/>
                <w:b/>
                <w:color w:val="auto"/>
                <w:szCs w:val="21"/>
                <w:highlight w:val="none"/>
              </w:rPr>
              <w:t>中标服务费</w:t>
            </w:r>
            <w:r>
              <w:rPr>
                <w:rFonts w:hint="eastAsia" w:ascii="宋体" w:hAnsi="宋体" w:eastAsia="宋体" w:cs="宋体"/>
                <w:b/>
                <w:color w:val="auto"/>
                <w:szCs w:val="21"/>
                <w:highlight w:val="none"/>
                <w:lang w:val="en-US" w:eastAsia="zh-CN"/>
              </w:rPr>
              <w:t>由采购人支付。</w:t>
            </w:r>
          </w:p>
        </w:tc>
      </w:tr>
      <w:tr w14:paraId="4F4B63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820" w:hRule="atLeast"/>
          <w:jc w:val="center"/>
        </w:trPr>
        <w:tc>
          <w:tcPr>
            <w:tcW w:w="8410" w:type="dxa"/>
            <w:gridSpan w:val="3"/>
            <w:tcBorders>
              <w:tl2br w:val="nil"/>
              <w:tr2bl w:val="nil"/>
            </w:tcBorders>
            <w:vAlign w:val="center"/>
          </w:tcPr>
          <w:p w14:paraId="16A289CF">
            <w:pPr>
              <w:widowControl w:val="0"/>
              <w:tabs>
                <w:tab w:val="left" w:pos="907"/>
              </w:tabs>
              <w:adjustRightInd/>
              <w:snapToGrid/>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注：本表关于要采购项目的具体资料，是对投标人须知的具体补充和修改，如有矛盾，应以本资料表为准。不满足采购文件中 “★”条款的投标文件将作无效投标处理。</w:t>
            </w:r>
          </w:p>
        </w:tc>
      </w:tr>
    </w:tbl>
    <w:p w14:paraId="79DC3700">
      <w:pPr>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899585D">
      <w:pPr>
        <w:pStyle w:val="4"/>
        <w:spacing w:before="0" w:after="0" w:line="240" w:lineRule="auto"/>
        <w:jc w:val="center"/>
        <w:rPr>
          <w:rFonts w:hint="eastAsia" w:ascii="宋体" w:hAnsi="宋体" w:eastAsia="宋体" w:cs="宋体"/>
          <w:color w:val="auto"/>
          <w:sz w:val="21"/>
          <w:szCs w:val="21"/>
          <w:highlight w:val="none"/>
        </w:rPr>
      </w:pPr>
      <w:bookmarkStart w:id="4" w:name="_Toc1445"/>
      <w:r>
        <w:rPr>
          <w:rFonts w:hint="eastAsia" w:ascii="宋体" w:hAnsi="宋体" w:eastAsia="宋体" w:cs="宋体"/>
          <w:color w:val="auto"/>
          <w:sz w:val="24"/>
          <w:szCs w:val="24"/>
          <w:highlight w:val="none"/>
        </w:rPr>
        <w:t>附表二：商务技术评分及价格权重表（满分100分）</w:t>
      </w:r>
      <w:bookmarkEnd w:id="4"/>
    </w:p>
    <w:tbl>
      <w:tblPr>
        <w:tblStyle w:val="3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9"/>
        <w:gridCol w:w="900"/>
        <w:gridCol w:w="73"/>
        <w:gridCol w:w="5250"/>
      </w:tblGrid>
      <w:tr w14:paraId="5F2D7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FF576B4">
            <w:pPr>
              <w:pStyle w:val="54"/>
              <w:spacing w:line="360" w:lineRule="auto"/>
              <w:ind w:firstLine="0" w:firstLineChars="0"/>
              <w:jc w:val="center"/>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序号</w:t>
            </w:r>
          </w:p>
        </w:tc>
        <w:tc>
          <w:tcPr>
            <w:tcW w:w="1609" w:type="dxa"/>
            <w:tcBorders>
              <w:top w:val="single" w:color="auto" w:sz="4" w:space="0"/>
              <w:left w:val="single" w:color="auto" w:sz="4" w:space="0"/>
              <w:bottom w:val="single" w:color="auto" w:sz="4" w:space="0"/>
              <w:right w:val="single" w:color="auto" w:sz="4" w:space="0"/>
            </w:tcBorders>
            <w:vAlign w:val="center"/>
          </w:tcPr>
          <w:p w14:paraId="0FA3B2C3">
            <w:pPr>
              <w:pStyle w:val="54"/>
              <w:spacing w:line="360" w:lineRule="auto"/>
              <w:ind w:firstLine="0" w:firstLineChars="0"/>
              <w:jc w:val="center"/>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评审项目</w:t>
            </w:r>
          </w:p>
        </w:tc>
        <w:tc>
          <w:tcPr>
            <w:tcW w:w="900" w:type="dxa"/>
            <w:tcBorders>
              <w:top w:val="single" w:color="auto" w:sz="4" w:space="0"/>
              <w:left w:val="single" w:color="auto" w:sz="4" w:space="0"/>
              <w:bottom w:val="single" w:color="auto" w:sz="4" w:space="0"/>
              <w:right w:val="single" w:color="auto" w:sz="4" w:space="0"/>
            </w:tcBorders>
            <w:vAlign w:val="center"/>
          </w:tcPr>
          <w:p w14:paraId="133959FA">
            <w:pPr>
              <w:pStyle w:val="54"/>
              <w:spacing w:line="360" w:lineRule="auto"/>
              <w:ind w:firstLine="0" w:firstLineChars="0"/>
              <w:jc w:val="center"/>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分值</w:t>
            </w:r>
          </w:p>
        </w:tc>
        <w:tc>
          <w:tcPr>
            <w:tcW w:w="5323" w:type="dxa"/>
            <w:gridSpan w:val="2"/>
            <w:tcBorders>
              <w:top w:val="single" w:color="auto" w:sz="4" w:space="0"/>
              <w:left w:val="single" w:color="auto" w:sz="4" w:space="0"/>
              <w:bottom w:val="single" w:color="auto" w:sz="4" w:space="0"/>
              <w:right w:val="single" w:color="auto" w:sz="4" w:space="0"/>
            </w:tcBorders>
            <w:vAlign w:val="center"/>
          </w:tcPr>
          <w:p w14:paraId="6D608DBB">
            <w:pPr>
              <w:pStyle w:val="54"/>
              <w:spacing w:line="360" w:lineRule="auto"/>
              <w:ind w:firstLine="0" w:firstLineChars="0"/>
              <w:jc w:val="center"/>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评审细则</w:t>
            </w:r>
          </w:p>
        </w:tc>
      </w:tr>
      <w:tr w14:paraId="299C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14:paraId="605BF7EC">
            <w:pPr>
              <w:pStyle w:val="54"/>
              <w:spacing w:line="360" w:lineRule="auto"/>
              <w:ind w:firstLine="0" w:firstLineChars="0"/>
              <w:jc w:val="center"/>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商务评审（</w:t>
            </w:r>
            <w:r>
              <w:rPr>
                <w:rFonts w:hint="eastAsia" w:ascii="宋体" w:hAnsi="宋体" w:eastAsia="宋体" w:cs="宋体"/>
                <w:b/>
                <w:bCs/>
                <w:color w:val="auto"/>
                <w:sz w:val="21"/>
                <w:szCs w:val="21"/>
                <w:highlight w:val="none"/>
                <w:u w:val="none"/>
                <w:lang w:val="en-US" w:eastAsia="zh-CN"/>
              </w:rPr>
              <w:t>10</w:t>
            </w:r>
            <w:r>
              <w:rPr>
                <w:rFonts w:hint="eastAsia" w:ascii="宋体" w:hAnsi="宋体" w:eastAsia="宋体" w:cs="宋体"/>
                <w:b/>
                <w:bCs/>
                <w:color w:val="auto"/>
                <w:sz w:val="21"/>
                <w:szCs w:val="21"/>
                <w:highlight w:val="none"/>
                <w:u w:val="none"/>
              </w:rPr>
              <w:t>分）</w:t>
            </w:r>
          </w:p>
        </w:tc>
      </w:tr>
      <w:tr w14:paraId="5D2D1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tcBorders>
              <w:top w:val="single" w:color="auto" w:sz="4" w:space="0"/>
              <w:left w:val="single" w:color="auto" w:sz="4" w:space="0"/>
              <w:right w:val="single" w:color="auto" w:sz="4" w:space="0"/>
            </w:tcBorders>
            <w:vAlign w:val="center"/>
          </w:tcPr>
          <w:p w14:paraId="2C7D747E">
            <w:pPr>
              <w:pStyle w:val="54"/>
              <w:spacing w:line="360" w:lineRule="auto"/>
              <w:ind w:firstLine="0" w:firstLineChars="0"/>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w:t>
            </w:r>
          </w:p>
        </w:tc>
        <w:tc>
          <w:tcPr>
            <w:tcW w:w="1609" w:type="dxa"/>
            <w:tcBorders>
              <w:top w:val="single" w:color="auto" w:sz="4" w:space="0"/>
              <w:left w:val="single" w:color="auto" w:sz="4" w:space="0"/>
              <w:right w:val="single" w:color="auto" w:sz="4" w:space="0"/>
            </w:tcBorders>
            <w:vAlign w:val="center"/>
          </w:tcPr>
          <w:p w14:paraId="7A34C8B6">
            <w:pPr>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投标人实力</w:t>
            </w:r>
          </w:p>
        </w:tc>
        <w:tc>
          <w:tcPr>
            <w:tcW w:w="900" w:type="dxa"/>
            <w:tcBorders>
              <w:top w:val="single" w:color="auto" w:sz="4" w:space="0"/>
              <w:left w:val="single" w:color="auto" w:sz="4" w:space="0"/>
              <w:bottom w:val="single" w:color="auto" w:sz="4" w:space="0"/>
              <w:right w:val="single" w:color="auto" w:sz="4" w:space="0"/>
            </w:tcBorders>
            <w:vAlign w:val="center"/>
          </w:tcPr>
          <w:p w14:paraId="5C131A01">
            <w:pPr>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5323" w:type="dxa"/>
            <w:gridSpan w:val="2"/>
            <w:tcBorders>
              <w:top w:val="single" w:color="auto" w:sz="4" w:space="0"/>
              <w:left w:val="single" w:color="auto" w:sz="4" w:space="0"/>
              <w:bottom w:val="single" w:color="auto" w:sz="4" w:space="0"/>
              <w:right w:val="single" w:color="auto" w:sz="4" w:space="0"/>
            </w:tcBorders>
            <w:vAlign w:val="center"/>
          </w:tcPr>
          <w:p w14:paraId="32C8447C">
            <w:pP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根据投标人具有国家认证认可监督管理部门批准设立的认证机构颁发的以下证书进行评审：</w:t>
            </w:r>
          </w:p>
          <w:p w14:paraId="6C1B8A72">
            <w:pP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①质量管理体系认证证书</w:t>
            </w:r>
          </w:p>
          <w:p w14:paraId="4C3880ED">
            <w:pP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②职业健康安全管理体系认证证书</w:t>
            </w:r>
          </w:p>
          <w:p w14:paraId="4AE75975">
            <w:pP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③环境管理体系认证证书</w:t>
            </w:r>
          </w:p>
          <w:p w14:paraId="594F2C6A">
            <w:pP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每提供一个证书得0.5分，最高得1.5分。</w:t>
            </w:r>
          </w:p>
          <w:p w14:paraId="2B4B9929">
            <w:pP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注：须同时提供有效证书复印件及中国国家认证认可监督管理委员会官方网站（http：//www.cnca.gov.cn/）查询的信息截图加盖投标人公章。</w:t>
            </w:r>
          </w:p>
        </w:tc>
      </w:tr>
      <w:tr w14:paraId="50624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13BEAF2E">
            <w:pPr>
              <w:pStyle w:val="54"/>
              <w:spacing w:line="360" w:lineRule="auto"/>
              <w:ind w:firstLine="0" w:firstLineChars="0"/>
              <w:jc w:val="center"/>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val="en-US" w:eastAsia="zh-CN"/>
              </w:rPr>
              <w:t>2</w:t>
            </w:r>
          </w:p>
        </w:tc>
        <w:tc>
          <w:tcPr>
            <w:tcW w:w="1609" w:type="dxa"/>
            <w:tcBorders>
              <w:top w:val="single" w:color="auto" w:sz="4" w:space="0"/>
              <w:left w:val="single" w:color="auto" w:sz="4" w:space="0"/>
              <w:bottom w:val="single" w:color="auto" w:sz="4" w:space="0"/>
              <w:right w:val="single" w:color="auto" w:sz="4" w:space="0"/>
            </w:tcBorders>
            <w:vAlign w:val="center"/>
          </w:tcPr>
          <w:p w14:paraId="7D451EE4">
            <w:pPr>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业绩</w:t>
            </w:r>
          </w:p>
        </w:tc>
        <w:tc>
          <w:tcPr>
            <w:tcW w:w="900" w:type="dxa"/>
            <w:tcBorders>
              <w:top w:val="single" w:color="auto" w:sz="4" w:space="0"/>
              <w:left w:val="single" w:color="auto" w:sz="4" w:space="0"/>
              <w:bottom w:val="single" w:color="auto" w:sz="4" w:space="0"/>
              <w:right w:val="single" w:color="auto" w:sz="4" w:space="0"/>
            </w:tcBorders>
            <w:vAlign w:val="center"/>
          </w:tcPr>
          <w:p w14:paraId="4263397A">
            <w:pPr>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5323" w:type="dxa"/>
            <w:gridSpan w:val="2"/>
            <w:tcBorders>
              <w:top w:val="single" w:color="auto" w:sz="4" w:space="0"/>
              <w:left w:val="single" w:color="auto" w:sz="4" w:space="0"/>
              <w:bottom w:val="single" w:color="auto" w:sz="4" w:space="0"/>
              <w:right w:val="single" w:color="auto" w:sz="4" w:space="0"/>
            </w:tcBorders>
            <w:vAlign w:val="center"/>
          </w:tcPr>
          <w:p w14:paraId="1B8CF738">
            <w:pP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投标人2019年1月1日（以合同签订时间为准）以来承接过包含有单机容量不低于12MW的机组（包含锅炉、汽轮发电机组）安装或检修业绩，每个得2分，最高6分。未提供的不得分。</w:t>
            </w:r>
          </w:p>
          <w:p w14:paraId="25CAF199">
            <w:pP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注：①提供合同、发票扫描件加盖公章（合同卖方为投标人，合同期内任意一期发票），否则不得分；②若提供的合同文件（含技术协议）无法反映是否符合本项目评分要求的业绩，须提供购买方出具的书面补充说明文件复印件作为证明资料（复印件能显示购买方公章），否则不得分；③未按上述要求提供证明材料的业绩，或所附材料无法证明填报项目符合本项评分要求的业绩，在评标时将不予考虑。</w:t>
            </w:r>
          </w:p>
        </w:tc>
      </w:tr>
      <w:tr w14:paraId="7D61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B7D9DD0">
            <w:pPr>
              <w:pStyle w:val="54"/>
              <w:spacing w:line="360" w:lineRule="auto"/>
              <w:ind w:firstLine="0" w:firstLineChars="0"/>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w:t>
            </w:r>
          </w:p>
        </w:tc>
        <w:tc>
          <w:tcPr>
            <w:tcW w:w="1609" w:type="dxa"/>
            <w:tcBorders>
              <w:top w:val="single" w:color="auto" w:sz="4" w:space="0"/>
              <w:left w:val="single" w:color="auto" w:sz="4" w:space="0"/>
              <w:bottom w:val="single" w:color="auto" w:sz="4" w:space="0"/>
              <w:right w:val="single" w:color="auto" w:sz="4" w:space="0"/>
            </w:tcBorders>
            <w:vAlign w:val="center"/>
          </w:tcPr>
          <w:p w14:paraId="20AE49BF">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拟</w:t>
            </w:r>
            <w:r>
              <w:rPr>
                <w:rFonts w:hint="eastAsia" w:ascii="宋体" w:hAnsi="宋体" w:eastAsia="宋体" w:cs="宋体"/>
                <w:color w:val="auto"/>
                <w:sz w:val="21"/>
                <w:szCs w:val="21"/>
                <w:highlight w:val="none"/>
              </w:rPr>
              <w:t>投入人员</w:t>
            </w:r>
          </w:p>
        </w:tc>
        <w:tc>
          <w:tcPr>
            <w:tcW w:w="900" w:type="dxa"/>
            <w:tcBorders>
              <w:top w:val="single" w:color="auto" w:sz="4" w:space="0"/>
              <w:left w:val="single" w:color="auto" w:sz="4" w:space="0"/>
              <w:bottom w:val="single" w:color="auto" w:sz="4" w:space="0"/>
              <w:right w:val="single" w:color="auto" w:sz="4" w:space="0"/>
            </w:tcBorders>
            <w:vAlign w:val="center"/>
          </w:tcPr>
          <w:p w14:paraId="28526B8B">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2.5分</w:t>
            </w:r>
          </w:p>
        </w:tc>
        <w:tc>
          <w:tcPr>
            <w:tcW w:w="5323" w:type="dxa"/>
            <w:gridSpan w:val="2"/>
            <w:tcBorders>
              <w:top w:val="single" w:color="auto" w:sz="4" w:space="0"/>
              <w:left w:val="single" w:color="auto" w:sz="4" w:space="0"/>
              <w:bottom w:val="single" w:color="auto" w:sz="4" w:space="0"/>
              <w:right w:val="single" w:color="auto" w:sz="4" w:space="0"/>
            </w:tcBorders>
            <w:vAlign w:val="center"/>
          </w:tcPr>
          <w:p w14:paraId="5FFF60DE">
            <w:pP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1、拟投入本项目的项目经理具有二级或以上建造师执业资格的，得1.5分。</w:t>
            </w:r>
          </w:p>
          <w:p w14:paraId="41A010E4">
            <w:pP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2、拟投入本项目的技术负责人具有中级或以上职称的，得1分。</w:t>
            </w:r>
          </w:p>
          <w:p w14:paraId="1A4C2304">
            <w:pP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注：须提供以上人员证书及开标前6个月（不含开标当月）投标人为其缴纳的社保证明复印件(加盖投标人公章)。</w:t>
            </w:r>
          </w:p>
        </w:tc>
      </w:tr>
      <w:tr w14:paraId="104E4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14:paraId="5695A07A">
            <w:pPr>
              <w:pStyle w:val="54"/>
              <w:spacing w:line="360" w:lineRule="auto"/>
              <w:ind w:firstLine="0" w:firstLineChars="0"/>
              <w:jc w:val="center"/>
              <w:rPr>
                <w:rFonts w:hint="eastAsia" w:ascii="宋体" w:hAnsi="宋体" w:eastAsia="宋体" w:cs="宋体"/>
                <w:color w:val="auto"/>
                <w:sz w:val="21"/>
                <w:szCs w:val="21"/>
                <w:highlight w:val="none"/>
                <w:u w:val="none"/>
              </w:rPr>
            </w:pPr>
            <w:r>
              <w:rPr>
                <w:rFonts w:hint="eastAsia" w:ascii="宋体" w:hAnsi="宋体" w:eastAsia="宋体" w:cs="宋体"/>
                <w:b/>
                <w:bCs/>
                <w:color w:val="auto"/>
                <w:sz w:val="21"/>
                <w:szCs w:val="21"/>
                <w:highlight w:val="none"/>
                <w:u w:val="none"/>
              </w:rPr>
              <w:t>技术评审（</w:t>
            </w:r>
            <w:r>
              <w:rPr>
                <w:rFonts w:hint="eastAsia" w:ascii="宋体" w:hAnsi="宋体" w:eastAsia="宋体" w:cs="宋体"/>
                <w:b/>
                <w:bCs/>
                <w:color w:val="auto"/>
                <w:sz w:val="21"/>
                <w:szCs w:val="21"/>
                <w:highlight w:val="none"/>
                <w:u w:val="none"/>
                <w:lang w:val="en-US" w:eastAsia="zh-CN"/>
              </w:rPr>
              <w:t>30</w:t>
            </w:r>
            <w:r>
              <w:rPr>
                <w:rFonts w:hint="eastAsia" w:ascii="宋体" w:hAnsi="宋体" w:eastAsia="宋体" w:cs="宋体"/>
                <w:b/>
                <w:bCs/>
                <w:color w:val="auto"/>
                <w:sz w:val="21"/>
                <w:szCs w:val="21"/>
                <w:highlight w:val="none"/>
                <w:u w:val="none"/>
              </w:rPr>
              <w:t>分）</w:t>
            </w:r>
          </w:p>
        </w:tc>
      </w:tr>
      <w:tr w14:paraId="38B24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1B6A160">
            <w:pPr>
              <w:pStyle w:val="54"/>
              <w:spacing w:line="360" w:lineRule="auto"/>
              <w:ind w:firstLine="0" w:firstLineChars="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w:t>
            </w:r>
          </w:p>
        </w:tc>
        <w:tc>
          <w:tcPr>
            <w:tcW w:w="1609" w:type="dxa"/>
            <w:tcBorders>
              <w:top w:val="single" w:color="auto" w:sz="4" w:space="0"/>
              <w:left w:val="single" w:color="auto" w:sz="4" w:space="0"/>
              <w:bottom w:val="single" w:color="auto" w:sz="4" w:space="0"/>
              <w:right w:val="single" w:color="auto" w:sz="4" w:space="0"/>
            </w:tcBorders>
            <w:vAlign w:val="center"/>
          </w:tcPr>
          <w:p w14:paraId="3D78F7E3">
            <w:pP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施工组织设计</w:t>
            </w:r>
          </w:p>
        </w:tc>
        <w:tc>
          <w:tcPr>
            <w:tcW w:w="900" w:type="dxa"/>
            <w:tcBorders>
              <w:top w:val="single" w:color="auto" w:sz="4" w:space="0"/>
              <w:left w:val="single" w:color="auto" w:sz="4" w:space="0"/>
              <w:bottom w:val="single" w:color="auto" w:sz="4" w:space="0"/>
              <w:right w:val="single" w:color="auto" w:sz="4" w:space="0"/>
            </w:tcBorders>
            <w:vAlign w:val="center"/>
          </w:tcPr>
          <w:p w14:paraId="5DAEFBF0">
            <w:pP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15分</w:t>
            </w:r>
          </w:p>
        </w:tc>
        <w:tc>
          <w:tcPr>
            <w:tcW w:w="5323" w:type="dxa"/>
            <w:gridSpan w:val="2"/>
            <w:tcBorders>
              <w:top w:val="single" w:color="auto" w:sz="4" w:space="0"/>
              <w:left w:val="single" w:color="auto" w:sz="4" w:space="0"/>
              <w:bottom w:val="single" w:color="auto" w:sz="4" w:space="0"/>
              <w:right w:val="single" w:color="auto" w:sz="4" w:space="0"/>
            </w:tcBorders>
            <w:vAlign w:val="center"/>
          </w:tcPr>
          <w:p w14:paraId="42D9F7CE">
            <w:pP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根据各投标人提供的施工组织设计的科学性、安全性、可行性、完整性等综合评审：</w:t>
            </w:r>
          </w:p>
          <w:p w14:paraId="7E75F8B6">
            <w:pP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优：施工组织设计非常详细、完整，可行、有针对性，有利于项目实施的得15分；</w:t>
            </w:r>
          </w:p>
          <w:p w14:paraId="680A5692">
            <w:pP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良：施工组织设计比较详细完整、可行，较利于项目实施的得10分；</w:t>
            </w:r>
          </w:p>
          <w:p w14:paraId="5C193CF9">
            <w:pP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中：施工组织设计基本可行，基本满足项目实施需要的得5分；</w:t>
            </w:r>
          </w:p>
          <w:p w14:paraId="0C86C9BD">
            <w:pP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差：施工组织设计不完整，可行性低，得1分；</w:t>
            </w:r>
          </w:p>
          <w:p w14:paraId="7B665FFA">
            <w:pP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没有提供项目组织方案的不得分。</w:t>
            </w:r>
          </w:p>
        </w:tc>
      </w:tr>
      <w:tr w14:paraId="3C90B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5B77AE11">
            <w:pPr>
              <w:pStyle w:val="54"/>
              <w:spacing w:line="360" w:lineRule="auto"/>
              <w:ind w:firstLine="0" w:firstLineChars="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w:t>
            </w:r>
          </w:p>
        </w:tc>
        <w:tc>
          <w:tcPr>
            <w:tcW w:w="1609" w:type="dxa"/>
            <w:tcBorders>
              <w:top w:val="single" w:color="auto" w:sz="4" w:space="0"/>
              <w:left w:val="single" w:color="auto" w:sz="4" w:space="0"/>
              <w:bottom w:val="single" w:color="auto" w:sz="4" w:space="0"/>
              <w:right w:val="single" w:color="auto" w:sz="4" w:space="0"/>
            </w:tcBorders>
            <w:vAlign w:val="center"/>
          </w:tcPr>
          <w:p w14:paraId="6E8D4808">
            <w:pP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突发事故响应措施保障方案</w:t>
            </w:r>
          </w:p>
        </w:tc>
        <w:tc>
          <w:tcPr>
            <w:tcW w:w="900" w:type="dxa"/>
            <w:tcBorders>
              <w:top w:val="single" w:color="auto" w:sz="4" w:space="0"/>
              <w:left w:val="single" w:color="auto" w:sz="4" w:space="0"/>
              <w:bottom w:val="single" w:color="auto" w:sz="4" w:space="0"/>
              <w:right w:val="single" w:color="auto" w:sz="4" w:space="0"/>
            </w:tcBorders>
            <w:vAlign w:val="center"/>
          </w:tcPr>
          <w:p w14:paraId="4B63B612">
            <w:pP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5分</w:t>
            </w:r>
          </w:p>
        </w:tc>
        <w:tc>
          <w:tcPr>
            <w:tcW w:w="5323" w:type="dxa"/>
            <w:gridSpan w:val="2"/>
            <w:tcBorders>
              <w:top w:val="single" w:color="auto" w:sz="4" w:space="0"/>
              <w:left w:val="single" w:color="auto" w:sz="4" w:space="0"/>
              <w:bottom w:val="single" w:color="auto" w:sz="4" w:space="0"/>
              <w:right w:val="single" w:color="auto" w:sz="4" w:space="0"/>
            </w:tcBorders>
            <w:vAlign w:val="center"/>
          </w:tcPr>
          <w:p w14:paraId="764A35B1">
            <w:pP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根据投标人针对本项目突发事故所拟定的响应措施保障方案进行评审：</w:t>
            </w:r>
          </w:p>
          <w:p w14:paraId="255F352C">
            <w:pP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优：应急保障措施完善，突发应急预案非常全面，非常有利于项目实施的得5分；</w:t>
            </w:r>
          </w:p>
          <w:p w14:paraId="28A339E1">
            <w:pP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良：应急保障措施较好，能处理大多数突发应急情况，有利于项目实施的得3分；</w:t>
            </w:r>
          </w:p>
          <w:p w14:paraId="31C82C55">
            <w:pP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差：应急保障措施基本可行，能处理少数突发应急情况，基本满足项目需求的得1分；</w:t>
            </w:r>
          </w:p>
          <w:p w14:paraId="33F8D45E">
            <w:pP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en-US" w:eastAsia="zh-CN" w:bidi="ar-SA"/>
              </w:rPr>
              <w:t>无对应方案不得分。</w:t>
            </w:r>
          </w:p>
        </w:tc>
      </w:tr>
      <w:tr w14:paraId="4F19A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58E6E032">
            <w:pPr>
              <w:pStyle w:val="54"/>
              <w:spacing w:line="360" w:lineRule="auto"/>
              <w:ind w:firstLine="0" w:firstLineChars="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w:t>
            </w:r>
          </w:p>
        </w:tc>
        <w:tc>
          <w:tcPr>
            <w:tcW w:w="1609" w:type="dxa"/>
            <w:tcBorders>
              <w:top w:val="single" w:color="auto" w:sz="4" w:space="0"/>
              <w:left w:val="single" w:color="auto" w:sz="4" w:space="0"/>
              <w:bottom w:val="single" w:color="auto" w:sz="4" w:space="0"/>
              <w:right w:val="single" w:color="auto" w:sz="4" w:space="0"/>
            </w:tcBorders>
            <w:vAlign w:val="center"/>
          </w:tcPr>
          <w:p w14:paraId="7C47B97A">
            <w:pP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工期保证措施</w:t>
            </w:r>
          </w:p>
        </w:tc>
        <w:tc>
          <w:tcPr>
            <w:tcW w:w="900" w:type="dxa"/>
            <w:tcBorders>
              <w:top w:val="single" w:color="auto" w:sz="4" w:space="0"/>
              <w:left w:val="single" w:color="auto" w:sz="4" w:space="0"/>
              <w:bottom w:val="single" w:color="auto" w:sz="4" w:space="0"/>
              <w:right w:val="single" w:color="auto" w:sz="4" w:space="0"/>
            </w:tcBorders>
            <w:vAlign w:val="center"/>
          </w:tcPr>
          <w:p w14:paraId="34B1356E">
            <w:pP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5分</w:t>
            </w:r>
          </w:p>
        </w:tc>
        <w:tc>
          <w:tcPr>
            <w:tcW w:w="5323" w:type="dxa"/>
            <w:gridSpan w:val="2"/>
            <w:tcBorders>
              <w:top w:val="single" w:color="auto" w:sz="4" w:space="0"/>
              <w:left w:val="single" w:color="auto" w:sz="4" w:space="0"/>
              <w:bottom w:val="single" w:color="auto" w:sz="4" w:space="0"/>
              <w:right w:val="single" w:color="auto" w:sz="4" w:space="0"/>
            </w:tcBorders>
            <w:vAlign w:val="center"/>
          </w:tcPr>
          <w:p w14:paraId="36F3A3BC">
            <w:pP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根据投标人所提供工期保证措施进行评审：</w:t>
            </w:r>
          </w:p>
          <w:p w14:paraId="1E529050">
            <w:pP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优：工期保证措施齐全、到位、完善，得5分；</w:t>
            </w:r>
          </w:p>
          <w:p w14:paraId="7EB247C3">
            <w:pP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良：工期保证措施基本齐全、到位、完善，得3分；</w:t>
            </w:r>
          </w:p>
          <w:p w14:paraId="60FE6DD3">
            <w:pP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差：工期保证措施不齐全、到位、完善，得 1分；</w:t>
            </w:r>
          </w:p>
          <w:p w14:paraId="1D2BA479">
            <w:pP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en-US" w:eastAsia="zh-CN" w:bidi="ar-SA"/>
              </w:rPr>
              <w:t>未提供相应方案的，不得分。</w:t>
            </w:r>
          </w:p>
        </w:tc>
      </w:tr>
      <w:tr w14:paraId="7F8C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4D990715">
            <w:pPr>
              <w:pStyle w:val="54"/>
              <w:spacing w:line="360" w:lineRule="auto"/>
              <w:ind w:firstLine="0" w:firstLineChars="0"/>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4</w:t>
            </w:r>
          </w:p>
        </w:tc>
        <w:tc>
          <w:tcPr>
            <w:tcW w:w="1609" w:type="dxa"/>
            <w:tcBorders>
              <w:top w:val="single" w:color="auto" w:sz="4" w:space="0"/>
              <w:left w:val="single" w:color="auto" w:sz="4" w:space="0"/>
              <w:bottom w:val="single" w:color="auto" w:sz="4" w:space="0"/>
              <w:right w:val="single" w:color="auto" w:sz="4" w:space="0"/>
            </w:tcBorders>
            <w:vAlign w:val="center"/>
          </w:tcPr>
          <w:p w14:paraId="217C6565">
            <w:pP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安全文明施工措施</w:t>
            </w:r>
          </w:p>
        </w:tc>
        <w:tc>
          <w:tcPr>
            <w:tcW w:w="900" w:type="dxa"/>
            <w:tcBorders>
              <w:top w:val="single" w:color="auto" w:sz="4" w:space="0"/>
              <w:left w:val="single" w:color="auto" w:sz="4" w:space="0"/>
              <w:bottom w:val="single" w:color="auto" w:sz="4" w:space="0"/>
              <w:right w:val="single" w:color="auto" w:sz="4" w:space="0"/>
            </w:tcBorders>
            <w:vAlign w:val="center"/>
          </w:tcPr>
          <w:p w14:paraId="550EE161">
            <w:pP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5分</w:t>
            </w:r>
          </w:p>
        </w:tc>
        <w:tc>
          <w:tcPr>
            <w:tcW w:w="5323" w:type="dxa"/>
            <w:gridSpan w:val="2"/>
            <w:tcBorders>
              <w:top w:val="single" w:color="auto" w:sz="4" w:space="0"/>
              <w:left w:val="single" w:color="auto" w:sz="4" w:space="0"/>
              <w:bottom w:val="single" w:color="auto" w:sz="4" w:space="0"/>
              <w:right w:val="single" w:color="auto" w:sz="4" w:space="0"/>
            </w:tcBorders>
            <w:vAlign w:val="center"/>
          </w:tcPr>
          <w:p w14:paraId="0FAAE01D">
            <w:pP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根据投标人所提供安全文明措施(包括不限于吊装、焊接等专项措施）进行评审：</w:t>
            </w:r>
          </w:p>
          <w:p w14:paraId="7C889134">
            <w:pP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优：安全措施到位、安全设施齐全，制度完善，文明措施建立实施的，得5分；</w:t>
            </w:r>
          </w:p>
          <w:p w14:paraId="2B7F5AA5">
            <w:pP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良：安全措施基本到位、安全设施基本齐全，制度基本完善、文明措施建立实施的，得3分；</w:t>
            </w:r>
          </w:p>
          <w:p w14:paraId="61600060">
            <w:pP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差：安全措施不到位、安全设施不齐全，制度不完善的，得 1分；</w:t>
            </w:r>
          </w:p>
          <w:p w14:paraId="51720A50">
            <w:pP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未提供相应方案的，不得分。</w:t>
            </w:r>
          </w:p>
        </w:tc>
      </w:tr>
      <w:tr w14:paraId="4486A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14:paraId="545C9B81">
            <w:pPr>
              <w:pStyle w:val="54"/>
              <w:spacing w:line="360" w:lineRule="auto"/>
              <w:ind w:firstLine="0" w:firstLineChars="0"/>
              <w:jc w:val="center"/>
              <w:rPr>
                <w:rFonts w:hint="eastAsia" w:ascii="宋体" w:hAnsi="宋体" w:eastAsia="宋体" w:cs="宋体"/>
                <w:color w:val="auto"/>
                <w:sz w:val="21"/>
                <w:szCs w:val="21"/>
                <w:highlight w:val="none"/>
                <w:u w:val="none"/>
                <w:lang w:val="zh-CN"/>
              </w:rPr>
            </w:pPr>
            <w:r>
              <w:rPr>
                <w:rFonts w:hint="eastAsia" w:ascii="宋体" w:hAnsi="宋体" w:eastAsia="宋体" w:cs="宋体"/>
                <w:b/>
                <w:bCs/>
                <w:color w:val="auto"/>
                <w:sz w:val="21"/>
                <w:szCs w:val="21"/>
                <w:highlight w:val="none"/>
                <w:u w:val="none"/>
              </w:rPr>
              <w:t>价格评审（</w:t>
            </w:r>
            <w:r>
              <w:rPr>
                <w:rFonts w:hint="eastAsia" w:ascii="宋体" w:hAnsi="宋体" w:eastAsia="宋体" w:cs="宋体"/>
                <w:b/>
                <w:bCs/>
                <w:color w:val="auto"/>
                <w:sz w:val="21"/>
                <w:szCs w:val="21"/>
                <w:highlight w:val="none"/>
                <w:u w:val="none"/>
                <w:lang w:val="en-US" w:eastAsia="zh-CN"/>
              </w:rPr>
              <w:t>60</w:t>
            </w:r>
            <w:r>
              <w:rPr>
                <w:rFonts w:hint="eastAsia" w:ascii="宋体" w:hAnsi="宋体" w:eastAsia="宋体" w:cs="宋体"/>
                <w:b/>
                <w:bCs/>
                <w:color w:val="auto"/>
                <w:sz w:val="21"/>
                <w:szCs w:val="21"/>
                <w:highlight w:val="none"/>
                <w:u w:val="none"/>
              </w:rPr>
              <w:t>分）</w:t>
            </w:r>
          </w:p>
        </w:tc>
      </w:tr>
      <w:tr w14:paraId="0E5D2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7F494962">
            <w:pPr>
              <w:pStyle w:val="54"/>
              <w:spacing w:line="360" w:lineRule="auto"/>
              <w:ind w:firstLine="0" w:firstLineChars="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w:t>
            </w:r>
          </w:p>
        </w:tc>
        <w:tc>
          <w:tcPr>
            <w:tcW w:w="1609" w:type="dxa"/>
            <w:tcBorders>
              <w:top w:val="single" w:color="auto" w:sz="4" w:space="0"/>
              <w:left w:val="single" w:color="auto" w:sz="4" w:space="0"/>
              <w:bottom w:val="single" w:color="auto" w:sz="4" w:space="0"/>
              <w:right w:val="single" w:color="auto" w:sz="4" w:space="0"/>
            </w:tcBorders>
            <w:vAlign w:val="center"/>
          </w:tcPr>
          <w:p w14:paraId="07B8A28E">
            <w:pPr>
              <w:widowControl w:val="0"/>
              <w:adjustRightInd/>
              <w:snapToGrid/>
              <w:jc w:val="center"/>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rPr>
              <w:t>投标总价</w:t>
            </w:r>
          </w:p>
        </w:tc>
        <w:tc>
          <w:tcPr>
            <w:tcW w:w="973" w:type="dxa"/>
            <w:gridSpan w:val="2"/>
            <w:tcBorders>
              <w:top w:val="single" w:color="auto" w:sz="4" w:space="0"/>
              <w:left w:val="single" w:color="auto" w:sz="4" w:space="0"/>
              <w:bottom w:val="single" w:color="auto" w:sz="4" w:space="0"/>
              <w:right w:val="single" w:color="auto" w:sz="4" w:space="0"/>
            </w:tcBorders>
            <w:vAlign w:val="center"/>
          </w:tcPr>
          <w:p w14:paraId="4E565B00">
            <w:pPr>
              <w:widowControl w:val="0"/>
              <w:adjustRightInd/>
              <w:snapToGrid/>
              <w:jc w:val="center"/>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lang w:val="en-US" w:eastAsia="zh-CN"/>
              </w:rPr>
              <w:t>60</w:t>
            </w:r>
            <w:r>
              <w:rPr>
                <w:rFonts w:hint="eastAsia" w:ascii="宋体" w:hAnsi="宋体" w:eastAsia="宋体" w:cs="宋体"/>
                <w:color w:val="auto"/>
                <w:kern w:val="2"/>
                <w:sz w:val="21"/>
                <w:szCs w:val="21"/>
                <w:highlight w:val="none"/>
                <w:u w:val="none"/>
              </w:rPr>
              <w:t>分</w:t>
            </w:r>
          </w:p>
        </w:tc>
        <w:tc>
          <w:tcPr>
            <w:tcW w:w="5250" w:type="dxa"/>
            <w:tcBorders>
              <w:top w:val="single" w:color="auto" w:sz="4" w:space="0"/>
              <w:left w:val="single" w:color="auto" w:sz="4" w:space="0"/>
              <w:bottom w:val="single" w:color="auto" w:sz="4" w:space="0"/>
              <w:right w:val="single" w:color="auto" w:sz="4" w:space="0"/>
            </w:tcBorders>
            <w:vAlign w:val="center"/>
          </w:tcPr>
          <w:p w14:paraId="3AE835A1">
            <w:pPr>
              <w:widowControl w:val="0"/>
              <w:adjustRightInd/>
              <w:snapToGrid/>
              <w:ind w:firstLine="420" w:firstLineChars="200"/>
              <w:rPr>
                <w:rFonts w:hint="eastAsia" w:ascii="宋体" w:hAnsi="宋体" w:eastAsia="宋体" w:cs="宋体"/>
                <w:color w:val="auto"/>
                <w:kern w:val="2"/>
                <w:sz w:val="21"/>
                <w:szCs w:val="21"/>
                <w:highlight w:val="none"/>
                <w:u w:val="none"/>
                <w:lang w:eastAsia="zh-CN"/>
              </w:rPr>
            </w:pPr>
            <w:r>
              <w:rPr>
                <w:rFonts w:hint="eastAsia" w:ascii="宋体" w:hAnsi="宋体" w:eastAsia="宋体" w:cs="宋体"/>
                <w:color w:val="auto"/>
                <w:sz w:val="21"/>
                <w:szCs w:val="21"/>
                <w:highlight w:val="none"/>
                <w:u w:val="none"/>
              </w:rPr>
              <w:t>价格分计算方法：满足投标文件要求且投标价格（含税报价）最低的投标报价为评标基准价，其价格分为满分。其他投标人的价格分统一按照下列公式计算：投标报价得分=</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评标基准价／投标报价</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×价格权重×100。</w:t>
            </w:r>
          </w:p>
        </w:tc>
      </w:tr>
    </w:tbl>
    <w:p w14:paraId="4EF782C1">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评标委员会评委按评标标准独立对技术标进行评审，得出技术标评分。当评标委员会为五人时，在所有评委对同一份投标文件技术标评审的总评分中，去掉一个最高分和一个最低分，计算剩余总评分的算术平均值即为该投标人技术标的最终综合得分；当评标委员会为七人及以上单数时，在各评委的打分中，同一评委的最高评分减去最低评分，去掉分差最大评委的所有技术标评分（当一位或两位评委评分差值最大时均取消其评委评分，当多于两位评分差值均最大时，不取消任一评委评分），在所有剩余评委对同一份投标文件技术部分评审的总评分中，去掉一个最高分和一个最低分，计算剩余总评分的算术平均值即为该投标人技术部分的最终综合得分。</w:t>
      </w:r>
      <w:r>
        <w:rPr>
          <w:rFonts w:hint="eastAsia" w:ascii="宋体" w:hAnsi="宋体" w:eastAsia="宋体" w:cs="宋体"/>
          <w:color w:val="auto"/>
          <w:highlight w:val="none"/>
        </w:rPr>
        <w:br w:type="page"/>
      </w:r>
    </w:p>
    <w:p w14:paraId="43C82DC7">
      <w:pPr>
        <w:pStyle w:val="3"/>
        <w:spacing w:before="0" w:after="0" w:line="240" w:lineRule="auto"/>
        <w:rPr>
          <w:rFonts w:hint="eastAsia" w:ascii="宋体" w:hAnsi="宋体" w:eastAsia="宋体" w:cs="宋体"/>
          <w:color w:val="auto"/>
          <w:sz w:val="36"/>
          <w:szCs w:val="36"/>
          <w:highlight w:val="none"/>
        </w:rPr>
      </w:pPr>
      <w:bookmarkStart w:id="5" w:name="_Toc21237"/>
      <w:r>
        <w:rPr>
          <w:rFonts w:hint="eastAsia" w:ascii="宋体" w:hAnsi="宋体" w:eastAsia="宋体" w:cs="宋体"/>
          <w:color w:val="auto"/>
          <w:sz w:val="28"/>
          <w:szCs w:val="28"/>
          <w:highlight w:val="none"/>
        </w:rPr>
        <w:t>第三部分用户需求书</w:t>
      </w:r>
      <w:bookmarkEnd w:id="5"/>
    </w:p>
    <w:p w14:paraId="02E337EA">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1"/>
        <w:rPr>
          <w:rFonts w:hint="eastAsia" w:ascii="宋体" w:hAnsi="宋体" w:eastAsia="宋体" w:cs="宋体"/>
          <w:b/>
          <w:color w:val="auto"/>
          <w:sz w:val="21"/>
          <w:szCs w:val="21"/>
          <w:highlight w:val="none"/>
        </w:rPr>
      </w:pPr>
      <w:bookmarkStart w:id="6" w:name="_Toc31278"/>
      <w:bookmarkStart w:id="7" w:name="_Toc27540"/>
      <w:bookmarkStart w:id="8" w:name="_Toc308786493"/>
      <w:bookmarkStart w:id="9" w:name="_Toc22599"/>
      <w:bookmarkStart w:id="10" w:name="_Toc13112"/>
      <w:bookmarkStart w:id="11" w:name="_Toc16069"/>
      <w:bookmarkStart w:id="12" w:name="_Toc1593"/>
      <w:bookmarkStart w:id="13" w:name="_Toc388458956"/>
      <w:bookmarkStart w:id="14" w:name="_Toc15266"/>
      <w:bookmarkStart w:id="15" w:name="_Toc60995813"/>
      <w:bookmarkStart w:id="16" w:name="_Toc26545"/>
      <w:bookmarkStart w:id="17" w:name="_Toc308786492"/>
      <w:bookmarkStart w:id="18" w:name="_Toc14462"/>
      <w:bookmarkStart w:id="19" w:name="_Toc24679"/>
      <w:r>
        <w:rPr>
          <w:rFonts w:hint="eastAsia" w:ascii="宋体" w:hAnsi="宋体" w:eastAsia="宋体" w:cs="宋体"/>
          <w:b/>
          <w:color w:val="auto"/>
          <w:sz w:val="21"/>
          <w:szCs w:val="21"/>
          <w:highlight w:val="none"/>
        </w:rPr>
        <w:t>第一部分 商务需求书</w:t>
      </w:r>
    </w:p>
    <w:tbl>
      <w:tblPr>
        <w:tblStyle w:val="36"/>
        <w:tblW w:w="4999"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841"/>
        <w:gridCol w:w="1766"/>
        <w:gridCol w:w="7672"/>
      </w:tblGrid>
      <w:tr w14:paraId="0552E48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409" w:type="pct"/>
            <w:vAlign w:val="center"/>
          </w:tcPr>
          <w:p w14:paraId="47E5630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859" w:type="pct"/>
            <w:vAlign w:val="center"/>
          </w:tcPr>
          <w:p w14:paraId="406DA42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条款名称</w:t>
            </w:r>
          </w:p>
        </w:tc>
        <w:tc>
          <w:tcPr>
            <w:tcW w:w="3731" w:type="pct"/>
            <w:vAlign w:val="center"/>
          </w:tcPr>
          <w:p w14:paraId="621291F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  明</w:t>
            </w:r>
          </w:p>
        </w:tc>
      </w:tr>
      <w:tr w14:paraId="53809F6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409" w:type="pct"/>
            <w:vAlign w:val="center"/>
          </w:tcPr>
          <w:p w14:paraId="70BF184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59" w:type="pct"/>
            <w:vAlign w:val="center"/>
          </w:tcPr>
          <w:p w14:paraId="32132F1D">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合格</w:t>
            </w:r>
            <w:r>
              <w:rPr>
                <w:rFonts w:hint="eastAsia" w:ascii="宋体" w:hAnsi="宋体" w:eastAsia="宋体" w:cs="宋体"/>
                <w:color w:val="auto"/>
                <w:sz w:val="21"/>
                <w:szCs w:val="21"/>
                <w:highlight w:val="none"/>
                <w:lang w:eastAsia="zh-CN"/>
              </w:rPr>
              <w:t>投标人</w:t>
            </w:r>
          </w:p>
        </w:tc>
        <w:tc>
          <w:tcPr>
            <w:tcW w:w="3731" w:type="pct"/>
            <w:vAlign w:val="center"/>
          </w:tcPr>
          <w:p w14:paraId="75D9E10A">
            <w:pPr>
              <w:pStyle w:val="80"/>
              <w:spacing w:line="360" w:lineRule="auto"/>
              <w:ind w:left="210" w:hanging="210" w:hangingChars="1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详见第一篇 第一篇投标邀请书</w:t>
            </w:r>
          </w:p>
        </w:tc>
      </w:tr>
      <w:tr w14:paraId="17E710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352" w:hRule="atLeast"/>
          <w:jc w:val="center"/>
        </w:trPr>
        <w:tc>
          <w:tcPr>
            <w:tcW w:w="409" w:type="pct"/>
            <w:vAlign w:val="center"/>
          </w:tcPr>
          <w:p w14:paraId="6A7198A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59" w:type="pct"/>
            <w:vAlign w:val="center"/>
          </w:tcPr>
          <w:p w14:paraId="288B5FC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工期</w:t>
            </w:r>
          </w:p>
        </w:tc>
        <w:tc>
          <w:tcPr>
            <w:tcW w:w="3731" w:type="pct"/>
            <w:vAlign w:val="center"/>
          </w:tcPr>
          <w:p w14:paraId="12826A9F">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（1）7#、8#余热锅炉汽化烟道Ⅰ段施工总工期为10天，预计施工时间为2025年1月5日-2025年1月14日（具体开工时间以采购人发出的开工通知为准）；</w:t>
            </w:r>
          </w:p>
          <w:p w14:paraId="5F500284">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（2）5#、6#余热锅炉汽化烟道Ⅰ段施工总工期为10天，预计施工时间为2025年1月17日-2025年1月26日（具体开工时间以采购人发出的开工通知为准）；</w:t>
            </w:r>
          </w:p>
          <w:p w14:paraId="76E28F4D">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eastAsia="zh-CN"/>
              </w:rPr>
              <w:t>投标人</w:t>
            </w:r>
            <w:r>
              <w:rPr>
                <w:rFonts w:hint="eastAsia" w:ascii="宋体" w:hAnsi="宋体" w:eastAsia="宋体" w:cs="宋体"/>
                <w:b/>
                <w:bCs/>
                <w:color w:val="auto"/>
                <w:sz w:val="21"/>
                <w:szCs w:val="21"/>
                <w:highlight w:val="none"/>
                <w:lang w:eastAsia="zh-CN"/>
              </w:rPr>
              <w:t>需考虑可能有部分工作在春节期间施工，</w:t>
            </w:r>
            <w:r>
              <w:rPr>
                <w:rFonts w:hint="eastAsia" w:ascii="宋体" w:hAnsi="宋体" w:eastAsia="宋体" w:cs="宋体"/>
                <w:b/>
                <w:bCs/>
                <w:color w:val="auto"/>
                <w:sz w:val="21"/>
                <w:szCs w:val="21"/>
                <w:highlight w:val="none"/>
                <w:lang w:val="en-US" w:eastAsia="zh-CN"/>
              </w:rPr>
              <w:t>具体可见技术规范书相关描述。</w:t>
            </w:r>
          </w:p>
        </w:tc>
      </w:tr>
      <w:tr w14:paraId="3BF45FC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409" w:type="pct"/>
            <w:vAlign w:val="center"/>
          </w:tcPr>
          <w:p w14:paraId="474C1A9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59" w:type="pct"/>
            <w:vAlign w:val="center"/>
          </w:tcPr>
          <w:p w14:paraId="0797D14E">
            <w:pPr>
              <w:tabs>
                <w:tab w:val="left" w:pos="-28"/>
              </w:tabs>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付款方式</w:t>
            </w:r>
          </w:p>
        </w:tc>
        <w:tc>
          <w:tcPr>
            <w:tcW w:w="3731" w:type="pct"/>
            <w:vAlign w:val="center"/>
          </w:tcPr>
          <w:p w14:paraId="0059D6B3">
            <w:pPr>
              <w:spacing w:line="360" w:lineRule="auto"/>
              <w:ind w:left="0"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（1）预付款：</w:t>
            </w:r>
            <w:r>
              <w:rPr>
                <w:rFonts w:hint="eastAsia" w:ascii="宋体" w:hAnsi="宋体" w:eastAsia="宋体" w:cs="宋体"/>
                <w:b w:val="0"/>
                <w:bCs w:val="0"/>
                <w:color w:val="auto"/>
                <w:sz w:val="21"/>
                <w:szCs w:val="21"/>
                <w:highlight w:val="none"/>
                <w:lang w:val="en-US" w:eastAsia="zh-CN"/>
              </w:rPr>
              <w:t>合同签订后，中标人向</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lang w:val="en-US" w:eastAsia="zh-CN"/>
              </w:rPr>
              <w:t>人提供付款申请及履约保函后，</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lang w:val="en-US" w:eastAsia="zh-CN"/>
              </w:rPr>
              <w:t>人在10个工作日内支付合同</w:t>
            </w:r>
            <w:r>
              <w:rPr>
                <w:rFonts w:hint="eastAsia" w:ascii="宋体" w:hAnsi="宋体" w:cs="宋体"/>
                <w:b w:val="0"/>
                <w:bCs w:val="0"/>
                <w:color w:val="auto"/>
                <w:sz w:val="21"/>
                <w:szCs w:val="21"/>
                <w:highlight w:val="none"/>
                <w:lang w:val="en-US" w:eastAsia="zh-CN"/>
              </w:rPr>
              <w:t>包干</w:t>
            </w:r>
            <w:r>
              <w:rPr>
                <w:rFonts w:hint="eastAsia" w:ascii="宋体" w:hAnsi="宋体" w:eastAsia="宋体" w:cs="宋体"/>
                <w:b w:val="0"/>
                <w:bCs w:val="0"/>
                <w:color w:val="auto"/>
                <w:sz w:val="21"/>
                <w:szCs w:val="21"/>
                <w:highlight w:val="none"/>
                <w:lang w:val="en-US" w:eastAsia="zh-CN"/>
              </w:rPr>
              <w:t>总价</w:t>
            </w:r>
            <w:r>
              <w:rPr>
                <w:rFonts w:hint="eastAsia" w:ascii="宋体" w:hAnsi="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lang w:val="en-US" w:eastAsia="zh-CN"/>
              </w:rPr>
              <w:t>30%作为预付款</w:t>
            </w:r>
            <w:r>
              <w:rPr>
                <w:rFonts w:hint="eastAsia" w:ascii="宋体" w:hAnsi="宋体" w:eastAsia="宋体" w:cs="宋体"/>
                <w:b w:val="0"/>
                <w:bCs w:val="0"/>
                <w:color w:val="auto"/>
                <w:sz w:val="21"/>
                <w:szCs w:val="21"/>
                <w:highlight w:val="none"/>
              </w:rPr>
              <w:t>。</w:t>
            </w:r>
          </w:p>
          <w:p w14:paraId="257C924D">
            <w:pPr>
              <w:spacing w:line="360" w:lineRule="auto"/>
              <w:ind w:left="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进度</w:t>
            </w:r>
            <w:r>
              <w:rPr>
                <w:rFonts w:hint="eastAsia" w:ascii="宋体" w:hAnsi="宋体" w:eastAsia="宋体" w:cs="宋体"/>
                <w:b w:val="0"/>
                <w:bCs w:val="0"/>
                <w:color w:val="auto"/>
                <w:sz w:val="21"/>
                <w:szCs w:val="21"/>
                <w:highlight w:val="none"/>
              </w:rPr>
              <w:t>款</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中标人完成</w:t>
            </w:r>
            <w:r>
              <w:rPr>
                <w:rFonts w:hint="eastAsia" w:ascii="宋体" w:hAnsi="宋体" w:cs="宋体"/>
                <w:b w:val="0"/>
                <w:bCs w:val="0"/>
                <w:color w:val="auto"/>
                <w:sz w:val="21"/>
                <w:szCs w:val="21"/>
                <w:highlight w:val="none"/>
                <w:lang w:val="en-US" w:eastAsia="zh-CN"/>
              </w:rPr>
              <w:t>本项目施工</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并</w:t>
            </w:r>
            <w:r>
              <w:rPr>
                <w:rFonts w:hint="eastAsia" w:ascii="宋体" w:hAnsi="宋体" w:eastAsia="宋体" w:cs="宋体"/>
                <w:b w:val="0"/>
                <w:bCs w:val="0"/>
                <w:color w:val="auto"/>
                <w:sz w:val="21"/>
                <w:szCs w:val="21"/>
                <w:highlight w:val="none"/>
                <w:lang w:val="en-US" w:eastAsia="zh-CN"/>
              </w:rPr>
              <w:t>经</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lang w:val="en-US" w:eastAsia="zh-CN"/>
              </w:rPr>
              <w:t>人确认后在10个工作日内付至</w:t>
            </w:r>
            <w:r>
              <w:rPr>
                <w:rFonts w:hint="eastAsia" w:ascii="宋体" w:hAnsi="宋体" w:cs="宋体"/>
                <w:b w:val="0"/>
                <w:bCs w:val="0"/>
                <w:color w:val="auto"/>
                <w:sz w:val="21"/>
                <w:szCs w:val="21"/>
                <w:highlight w:val="none"/>
                <w:lang w:val="en-US" w:eastAsia="zh-CN"/>
              </w:rPr>
              <w:t>合同包干总价</w:t>
            </w:r>
            <w:r>
              <w:rPr>
                <w:rFonts w:hint="eastAsia" w:ascii="宋体" w:hAnsi="宋体" w:eastAsia="宋体" w:cs="宋体"/>
                <w:b w:val="0"/>
                <w:bCs w:val="0"/>
                <w:color w:val="auto"/>
                <w:sz w:val="21"/>
                <w:szCs w:val="21"/>
                <w:highlight w:val="none"/>
                <w:lang w:val="en-US" w:eastAsia="zh-CN"/>
              </w:rPr>
              <w:t>的80%；</w:t>
            </w:r>
          </w:p>
          <w:p w14:paraId="1537406A">
            <w:pPr>
              <w:spacing w:line="360" w:lineRule="auto"/>
              <w:ind w:left="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验收结算款：项目完成竣工验收及结算后，</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lang w:val="en-US" w:eastAsia="zh-CN"/>
              </w:rPr>
              <w:t>人在1</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个工作日内支付至</w:t>
            </w:r>
            <w:r>
              <w:rPr>
                <w:rFonts w:hint="eastAsia" w:ascii="宋体" w:hAnsi="宋体" w:cs="宋体"/>
                <w:b w:val="0"/>
                <w:bCs w:val="0"/>
                <w:color w:val="auto"/>
                <w:sz w:val="21"/>
                <w:szCs w:val="21"/>
                <w:highlight w:val="none"/>
                <w:lang w:val="en-US" w:eastAsia="zh-CN"/>
              </w:rPr>
              <w:t>合同</w:t>
            </w:r>
            <w:r>
              <w:rPr>
                <w:rFonts w:hint="eastAsia" w:ascii="宋体" w:hAnsi="宋体" w:eastAsia="宋体" w:cs="宋体"/>
                <w:b w:val="0"/>
                <w:bCs w:val="0"/>
                <w:color w:val="auto"/>
                <w:sz w:val="21"/>
                <w:szCs w:val="21"/>
                <w:highlight w:val="none"/>
                <w:lang w:val="en-US" w:eastAsia="zh-CN"/>
              </w:rPr>
              <w:t>结算总价的9</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val="en-US" w:eastAsia="zh-CN"/>
              </w:rPr>
              <w:t>%作为验收结算款</w:t>
            </w:r>
            <w:r>
              <w:rPr>
                <w:rFonts w:hint="eastAsia" w:ascii="宋体" w:hAnsi="宋体" w:eastAsia="宋体" w:cs="宋体"/>
                <w:b w:val="0"/>
                <w:bCs w:val="0"/>
                <w:color w:val="auto"/>
                <w:sz w:val="21"/>
                <w:szCs w:val="21"/>
                <w:highlight w:val="none"/>
              </w:rPr>
              <w:t>。</w:t>
            </w:r>
          </w:p>
          <w:p w14:paraId="6860CEE9">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（4）质保金：质保期满后一个月内，</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lang w:val="en-US" w:eastAsia="zh-CN"/>
              </w:rPr>
              <w:t>人向中标人支付</w:t>
            </w:r>
            <w:r>
              <w:rPr>
                <w:rFonts w:hint="eastAsia" w:ascii="宋体" w:hAnsi="宋体" w:cs="宋体"/>
                <w:b w:val="0"/>
                <w:bCs w:val="0"/>
                <w:color w:val="auto"/>
                <w:sz w:val="21"/>
                <w:szCs w:val="21"/>
                <w:highlight w:val="none"/>
                <w:lang w:val="en-US" w:eastAsia="zh-CN"/>
              </w:rPr>
              <w:t>合同</w:t>
            </w:r>
            <w:r>
              <w:rPr>
                <w:rFonts w:hint="eastAsia" w:ascii="宋体" w:hAnsi="宋体" w:eastAsia="宋体" w:cs="宋体"/>
                <w:b w:val="0"/>
                <w:bCs w:val="0"/>
                <w:color w:val="auto"/>
                <w:sz w:val="21"/>
                <w:szCs w:val="21"/>
                <w:highlight w:val="none"/>
                <w:lang w:val="en-US" w:eastAsia="zh-CN"/>
              </w:rPr>
              <w:t>结算总价的</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%作为质保金，质保期为工程72小时试运行验收合格后</w:t>
            </w:r>
            <w:r>
              <w:rPr>
                <w:rFonts w:hint="eastAsia" w:ascii="宋体" w:hAnsi="宋体" w:cs="宋体"/>
                <w:b w:val="0"/>
                <w:bCs w:val="0"/>
                <w:color w:val="auto"/>
                <w:sz w:val="21"/>
                <w:szCs w:val="21"/>
                <w:highlight w:val="none"/>
                <w:lang w:val="en-US" w:eastAsia="zh-CN"/>
              </w:rPr>
              <w:t>满2</w:t>
            </w:r>
            <w:r>
              <w:rPr>
                <w:rFonts w:hint="eastAsia" w:ascii="宋体" w:hAnsi="宋体" w:eastAsia="宋体" w:cs="宋体"/>
                <w:b w:val="0"/>
                <w:bCs w:val="0"/>
                <w:color w:val="auto"/>
                <w:sz w:val="21"/>
                <w:szCs w:val="21"/>
                <w:highlight w:val="none"/>
                <w:lang w:val="en-US" w:eastAsia="zh-CN"/>
              </w:rPr>
              <w:t>年。</w:t>
            </w:r>
          </w:p>
        </w:tc>
      </w:tr>
      <w:tr w14:paraId="54E9879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409" w:type="pct"/>
            <w:vAlign w:val="center"/>
          </w:tcPr>
          <w:p w14:paraId="6B9552D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59" w:type="pct"/>
            <w:vAlign w:val="center"/>
          </w:tcPr>
          <w:p w14:paraId="249FDE8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工程项目</w:t>
            </w:r>
            <w:r>
              <w:rPr>
                <w:rFonts w:hint="eastAsia" w:ascii="宋体" w:hAnsi="宋体" w:eastAsia="宋体" w:cs="宋体"/>
                <w:color w:val="auto"/>
                <w:sz w:val="21"/>
                <w:szCs w:val="21"/>
                <w:highlight w:val="none"/>
              </w:rPr>
              <w:t>地点</w:t>
            </w:r>
          </w:p>
        </w:tc>
        <w:tc>
          <w:tcPr>
            <w:tcW w:w="3731" w:type="pct"/>
            <w:vAlign w:val="center"/>
          </w:tcPr>
          <w:p w14:paraId="30B2334E">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zh-CN"/>
              </w:rPr>
              <w:t>广东省阳江市高新区临港工业园海港二横路1号</w:t>
            </w:r>
            <w:r>
              <w:rPr>
                <w:rFonts w:hint="eastAsia" w:ascii="宋体" w:hAnsi="宋体" w:eastAsia="宋体" w:cs="宋体"/>
                <w:bCs/>
                <w:color w:val="auto"/>
                <w:sz w:val="21"/>
                <w:szCs w:val="21"/>
                <w:highlight w:val="none"/>
              </w:rPr>
              <w:t xml:space="preserve"> 。</w:t>
            </w:r>
          </w:p>
        </w:tc>
      </w:tr>
      <w:tr w14:paraId="229E599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5" w:hRule="atLeast"/>
          <w:jc w:val="center"/>
        </w:trPr>
        <w:tc>
          <w:tcPr>
            <w:tcW w:w="409" w:type="pct"/>
            <w:vAlign w:val="center"/>
          </w:tcPr>
          <w:p w14:paraId="131DE7B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59" w:type="pct"/>
            <w:vAlign w:val="center"/>
          </w:tcPr>
          <w:p w14:paraId="71A00EA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报价内容</w:t>
            </w:r>
          </w:p>
        </w:tc>
        <w:tc>
          <w:tcPr>
            <w:tcW w:w="3731" w:type="pct"/>
            <w:vAlign w:val="center"/>
          </w:tcPr>
          <w:p w14:paraId="5171F4C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投标报价应包含完成本次</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所有服务内容的费用，包含各种税务费及合同实施过程中的不可预见费用等全部费用（含</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文件所要求的必要的辅助材料费用)和售后服务费等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项目报价形式按照总价包干形式执行（包干范围详见技术规范书）</w:t>
            </w:r>
            <w:r>
              <w:rPr>
                <w:rFonts w:hint="eastAsia" w:ascii="宋体" w:hAnsi="宋体" w:eastAsia="宋体" w:cs="宋体"/>
                <w:color w:val="auto"/>
                <w:sz w:val="21"/>
                <w:szCs w:val="21"/>
                <w:highlight w:val="none"/>
              </w:rPr>
              <w:t>。</w:t>
            </w:r>
          </w:p>
        </w:tc>
      </w:tr>
      <w:tr w14:paraId="06253DC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409" w:type="pct"/>
            <w:vAlign w:val="center"/>
          </w:tcPr>
          <w:p w14:paraId="626AD71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859" w:type="pct"/>
            <w:vAlign w:val="center"/>
          </w:tcPr>
          <w:p w14:paraId="7FF7499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合同条款</w:t>
            </w:r>
          </w:p>
        </w:tc>
        <w:tc>
          <w:tcPr>
            <w:tcW w:w="3731" w:type="pct"/>
          </w:tcPr>
          <w:p w14:paraId="351242D3">
            <w:pPr>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实质响应合同各条款。</w:t>
            </w:r>
          </w:p>
        </w:tc>
      </w:tr>
      <w:tr w14:paraId="4D4DE51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409" w:type="pct"/>
            <w:vAlign w:val="center"/>
          </w:tcPr>
          <w:p w14:paraId="5724EB46">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859" w:type="pct"/>
            <w:vAlign w:val="center"/>
          </w:tcPr>
          <w:p w14:paraId="3FCC6319">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质保期</w:t>
            </w:r>
            <w:r>
              <w:rPr>
                <w:rFonts w:hint="eastAsia" w:ascii="宋体" w:hAnsi="宋体" w:eastAsia="宋体" w:cs="宋体"/>
                <w:color w:val="auto"/>
                <w:sz w:val="21"/>
                <w:szCs w:val="21"/>
                <w:highlight w:val="none"/>
                <w:lang w:val="en-US" w:eastAsia="zh-CN"/>
              </w:rPr>
              <w:t>要求</w:t>
            </w:r>
          </w:p>
        </w:tc>
        <w:tc>
          <w:tcPr>
            <w:tcW w:w="3731" w:type="pct"/>
          </w:tcPr>
          <w:p w14:paraId="6FB07BA2">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工程竣工验收并经72小时试运行验收合格后</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rPr>
              <w:t>，所需全部费用包括在本项目总报价中。</w:t>
            </w:r>
          </w:p>
        </w:tc>
      </w:tr>
      <w:tr w14:paraId="052561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409" w:type="pct"/>
            <w:vAlign w:val="center"/>
          </w:tcPr>
          <w:p w14:paraId="7A5C0D5A">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859" w:type="pct"/>
            <w:vAlign w:val="center"/>
          </w:tcPr>
          <w:p w14:paraId="6037C318">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★踏勘现场</w:t>
            </w:r>
          </w:p>
        </w:tc>
        <w:tc>
          <w:tcPr>
            <w:tcW w:w="3731" w:type="pct"/>
          </w:tcPr>
          <w:p w14:paraId="4105F844">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kern w:val="2"/>
                <w:sz w:val="21"/>
                <w:szCs w:val="21"/>
                <w:highlight w:val="none"/>
                <w:lang w:val="zh-CN"/>
              </w:rPr>
              <w:t>采购人不集中组织，投标人</w:t>
            </w:r>
            <w:r>
              <w:rPr>
                <w:rFonts w:hint="eastAsia" w:ascii="宋体" w:hAnsi="宋体" w:eastAsia="宋体" w:cs="宋体"/>
                <w:b/>
                <w:bCs/>
                <w:color w:val="auto"/>
                <w:kern w:val="2"/>
                <w:sz w:val="21"/>
                <w:szCs w:val="21"/>
                <w:highlight w:val="none"/>
                <w:lang w:val="en-US" w:eastAsia="zh-CN"/>
              </w:rPr>
              <w:t>必须</w:t>
            </w:r>
            <w:r>
              <w:rPr>
                <w:rFonts w:hint="eastAsia" w:ascii="宋体" w:hAnsi="宋体" w:eastAsia="宋体" w:cs="宋体"/>
                <w:b/>
                <w:bCs/>
                <w:color w:val="auto"/>
                <w:kern w:val="2"/>
                <w:sz w:val="21"/>
                <w:szCs w:val="21"/>
                <w:highlight w:val="none"/>
                <w:lang w:val="zh-CN"/>
              </w:rPr>
              <w:t>自行踏勘现场</w:t>
            </w:r>
            <w:r>
              <w:rPr>
                <w:rFonts w:hint="eastAsia" w:ascii="宋体" w:hAnsi="宋体" w:eastAsia="宋体" w:cs="宋体"/>
                <w:b/>
                <w:bCs/>
                <w:color w:val="auto"/>
                <w:kern w:val="2"/>
                <w:sz w:val="21"/>
                <w:szCs w:val="21"/>
                <w:highlight w:val="none"/>
                <w:lang w:val="en-US" w:eastAsia="zh-CN"/>
              </w:rPr>
              <w:t>并保留</w:t>
            </w:r>
            <w:r>
              <w:rPr>
                <w:rFonts w:hint="eastAsia" w:ascii="宋体" w:hAnsi="宋体" w:cs="宋体"/>
                <w:b/>
                <w:bCs/>
                <w:color w:val="auto"/>
                <w:kern w:val="2"/>
                <w:sz w:val="21"/>
                <w:szCs w:val="21"/>
                <w:highlight w:val="none"/>
                <w:lang w:val="en-US" w:eastAsia="zh-CN"/>
              </w:rPr>
              <w:t>经采购人盖章签字确认的《投标人参与现场踏勘确认函回执》</w:t>
            </w:r>
            <w:r>
              <w:rPr>
                <w:rFonts w:hint="eastAsia" w:ascii="宋体" w:hAnsi="宋体" w:eastAsia="宋体" w:cs="宋体"/>
                <w:b/>
                <w:bCs/>
                <w:color w:val="auto"/>
                <w:kern w:val="2"/>
                <w:sz w:val="21"/>
                <w:szCs w:val="21"/>
                <w:highlight w:val="none"/>
                <w:lang w:val="en-US" w:eastAsia="zh-CN"/>
              </w:rPr>
              <w:t>，此项作为投标响应必要条件，</w:t>
            </w:r>
            <w:r>
              <w:rPr>
                <w:rFonts w:hint="eastAsia" w:ascii="宋体" w:hAnsi="宋体" w:cs="宋体"/>
                <w:b/>
                <w:bCs/>
                <w:color w:val="auto"/>
                <w:kern w:val="2"/>
                <w:sz w:val="21"/>
                <w:szCs w:val="21"/>
                <w:highlight w:val="none"/>
                <w:lang w:val="en-US" w:eastAsia="zh-CN"/>
              </w:rPr>
              <w:t>并</w:t>
            </w:r>
            <w:r>
              <w:rPr>
                <w:rFonts w:hint="eastAsia" w:ascii="宋体" w:hAnsi="宋体" w:eastAsia="宋体" w:cs="宋体"/>
                <w:b/>
                <w:bCs/>
                <w:color w:val="auto"/>
                <w:kern w:val="2"/>
                <w:sz w:val="21"/>
                <w:szCs w:val="21"/>
                <w:highlight w:val="none"/>
                <w:lang w:val="en-US" w:eastAsia="zh-CN"/>
              </w:rPr>
              <w:t>投标文件的商务文件中</w:t>
            </w:r>
            <w:r>
              <w:rPr>
                <w:rFonts w:hint="eastAsia" w:ascii="宋体" w:hAnsi="宋体" w:eastAsia="宋体" w:cs="宋体"/>
                <w:b/>
                <w:bCs/>
                <w:color w:val="auto"/>
                <w:kern w:val="2"/>
                <w:sz w:val="21"/>
                <w:szCs w:val="21"/>
                <w:highlight w:val="none"/>
                <w:lang w:val="zh-CN"/>
              </w:rPr>
              <w:t>。</w:t>
            </w:r>
          </w:p>
        </w:tc>
      </w:tr>
    </w:tbl>
    <w:p w14:paraId="3F43B962">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6864CFC1">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1"/>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第二部分 技术需求书</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技术规范书</w:t>
      </w:r>
      <w:r>
        <w:rPr>
          <w:rFonts w:hint="eastAsia" w:ascii="宋体" w:hAnsi="宋体" w:eastAsia="宋体" w:cs="宋体"/>
          <w:b/>
          <w:color w:val="auto"/>
          <w:sz w:val="21"/>
          <w:szCs w:val="21"/>
          <w:highlight w:val="none"/>
          <w:lang w:eastAsia="zh-CN"/>
        </w:rPr>
        <w:t>）</w:t>
      </w:r>
    </w:p>
    <w:p w14:paraId="4D389F36">
      <w:pPr>
        <w:pStyle w:val="3"/>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一、项目概况</w:t>
      </w:r>
    </w:p>
    <w:p w14:paraId="16C29BB2">
      <w:pPr>
        <w:snapToGrid w:val="0"/>
        <w:spacing w:line="360" w:lineRule="auto"/>
        <w:ind w:left="48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1.1项目名称：阳江开能5-8#AOD余热锅炉技术改造项目施工</w:t>
      </w:r>
    </w:p>
    <w:p w14:paraId="1E63F9AF">
      <w:pPr>
        <w:snapToGrid w:val="0"/>
        <w:spacing w:line="360" w:lineRule="auto"/>
        <w:ind w:left="48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1.2施工地点：广东省阳江市江城区平冈镇临港工业园广青科技公司炼钢厂</w:t>
      </w:r>
    </w:p>
    <w:p w14:paraId="77BCEBD9">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1.3项目概况：AOD 余热锅炉是专门为炼钢厂AOD 精炼炉工程配套的汽化冷却余热锅炉，每座AOD 精炼炉配置1 套余热锅炉装置，锅炉布置AOD 精炼炉炉口上方。余热锅炉设在车间加料除尘跨内，采用OG 法煤气回收，由精炼炉炉口逸出的烟气温度约为1300-1600℃，精炼炉汽化冷却装置目的是收集精炼炉冶炼过程中的高温烟气并将其冷却下来，以满足下一步除尘及</w:t>
      </w:r>
      <w:r>
        <w:rPr>
          <w:rFonts w:hint="eastAsia" w:hAnsi="宋体" w:cs="宋体"/>
          <w:color w:val="auto"/>
          <w:sz w:val="21"/>
          <w:szCs w:val="21"/>
          <w:highlight w:val="none"/>
          <w:lang w:val="en-US" w:eastAsia="zh-CN"/>
        </w:rPr>
        <w:t>烟气</w:t>
      </w:r>
      <w:r>
        <w:rPr>
          <w:rFonts w:hint="eastAsia" w:ascii="宋体" w:hAnsi="宋体" w:eastAsia="宋体" w:cs="宋体"/>
          <w:color w:val="auto"/>
          <w:sz w:val="21"/>
          <w:szCs w:val="21"/>
          <w:highlight w:val="none"/>
        </w:rPr>
        <w:t>回收的要求，保证精炼炉炼钢的安全生产；同时生产蒸汽回收大量热能供发电使用。</w:t>
      </w:r>
    </w:p>
    <w:p w14:paraId="6101B176">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余热锅炉本体由I 段汽化烟道（上有氧枪口及加料口）及非金属膨胀补偿器、II 段汽化烟道和III 段汽化烟道所组成。每段为独立的循环回路，各段烟道均与锅筒通过下降管和引出管连接组成自然循环系统，锅筒额定工作压力2.5MPa，I 段汽化烟道的工作压力为2.75MPa，II 段、III 段汽化烟道工作压力稍低些，统一按2.75MPa 作工作压力。阳江开能能源环保有限公司共配备8台AOD汽化烟道余热锅炉，本次技术改造为5-8#AOD余热锅炉汽化烟道。</w:t>
      </w:r>
    </w:p>
    <w:p w14:paraId="777DAD7E">
      <w:pPr>
        <w:pStyle w:val="3"/>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二、技改施工范围</w:t>
      </w:r>
    </w:p>
    <w:p w14:paraId="609B56A9">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技改施工范围如下表：                                 表一</w:t>
      </w:r>
    </w:p>
    <w:tbl>
      <w:tblPr>
        <w:tblStyle w:val="36"/>
        <w:tblW w:w="8359" w:type="dxa"/>
        <w:tblInd w:w="0" w:type="dxa"/>
        <w:tblLayout w:type="autofit"/>
        <w:tblCellMar>
          <w:top w:w="0" w:type="dxa"/>
          <w:left w:w="108" w:type="dxa"/>
          <w:bottom w:w="0" w:type="dxa"/>
          <w:right w:w="108" w:type="dxa"/>
        </w:tblCellMar>
      </w:tblPr>
      <w:tblGrid>
        <w:gridCol w:w="704"/>
        <w:gridCol w:w="1134"/>
        <w:gridCol w:w="6521"/>
      </w:tblGrid>
      <w:tr w14:paraId="309808FC">
        <w:tblPrEx>
          <w:tblCellMar>
            <w:top w:w="0" w:type="dxa"/>
            <w:left w:w="108" w:type="dxa"/>
            <w:bottom w:w="0" w:type="dxa"/>
            <w:right w:w="108" w:type="dxa"/>
          </w:tblCellMar>
        </w:tblPrEx>
        <w:trPr>
          <w:trHeight w:val="280"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04BBD2">
            <w:pPr>
              <w:widowControl/>
              <w:snapToGrid w:val="0"/>
              <w:spacing w:line="36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126859BF">
            <w:pPr>
              <w:widowControl/>
              <w:snapToGrid w:val="0"/>
              <w:spacing w:line="36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技改项目</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14:paraId="0C8CD17F">
            <w:pPr>
              <w:widowControl/>
              <w:snapToGrid w:val="0"/>
              <w:spacing w:line="36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技改施工内容</w:t>
            </w:r>
          </w:p>
        </w:tc>
      </w:tr>
      <w:tr w14:paraId="060636D3">
        <w:tblPrEx>
          <w:tblCellMar>
            <w:top w:w="0" w:type="dxa"/>
            <w:left w:w="108" w:type="dxa"/>
            <w:bottom w:w="0" w:type="dxa"/>
            <w:right w:w="108" w:type="dxa"/>
          </w:tblCellMar>
        </w:tblPrEx>
        <w:trPr>
          <w:trHeight w:val="128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13C11976">
            <w:pPr>
              <w:widowControl/>
              <w:snapToGrid w:val="0"/>
              <w:spacing w:line="36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34" w:type="dxa"/>
            <w:tcBorders>
              <w:top w:val="nil"/>
              <w:left w:val="nil"/>
              <w:bottom w:val="single" w:color="auto" w:sz="4" w:space="0"/>
              <w:right w:val="single" w:color="auto" w:sz="4" w:space="0"/>
            </w:tcBorders>
            <w:shd w:val="clear" w:color="auto" w:fill="auto"/>
            <w:noWrap/>
            <w:vAlign w:val="center"/>
          </w:tcPr>
          <w:p w14:paraId="35205470">
            <w:pPr>
              <w:widowControl/>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一段烟道本体（总重约22T）</w:t>
            </w:r>
          </w:p>
        </w:tc>
        <w:tc>
          <w:tcPr>
            <w:tcW w:w="6521" w:type="dxa"/>
            <w:tcBorders>
              <w:top w:val="nil"/>
              <w:left w:val="nil"/>
              <w:bottom w:val="single" w:color="auto" w:sz="4" w:space="0"/>
              <w:right w:val="single" w:color="auto" w:sz="4" w:space="0"/>
            </w:tcBorders>
            <w:shd w:val="clear" w:color="auto" w:fill="auto"/>
            <w:vAlign w:val="center"/>
          </w:tcPr>
          <w:p w14:paraId="42BD6D9F">
            <w:pPr>
              <w:widowControl/>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包括：（1）原一段烟道本体整体拆除，放置至</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指定位置；新一段烟道本体的整体安装就位（一段烟道本体为进出口联箱间设备、1个氧枪口和2个下料口装置及附属支吊装置等）。拆除、安装内容除本体设备外还包含本体的保温及影响拆除、安装的连接部件及图纸标高12.8m的支撑平台等工作。拆除及安装施工技术要求见“一段烟道拆除、安装技术规范”。（原一段烟道和新一段烟道详见附件</w:t>
            </w:r>
            <w:r>
              <w:rPr>
                <w:rFonts w:hint="eastAsia" w:hAnsi="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w:t>
            </w:r>
            <w:r>
              <w:rPr>
                <w:rFonts w:hint="eastAsia" w:hAnsi="宋体" w:cs="宋体"/>
                <w:color w:val="auto"/>
                <w:kern w:val="0"/>
                <w:sz w:val="21"/>
                <w:szCs w:val="21"/>
                <w:highlight w:val="none"/>
                <w:lang w:val="en-US" w:eastAsia="zh-CN"/>
              </w:rPr>
              <w:t>三</w:t>
            </w:r>
            <w:r>
              <w:rPr>
                <w:rFonts w:hint="eastAsia" w:ascii="宋体" w:hAnsi="宋体" w:eastAsia="宋体" w:cs="宋体"/>
                <w:color w:val="auto"/>
                <w:kern w:val="0"/>
                <w:sz w:val="21"/>
                <w:szCs w:val="21"/>
                <w:highlight w:val="none"/>
              </w:rPr>
              <w:t>）</w:t>
            </w:r>
          </w:p>
          <w:p w14:paraId="5182354F">
            <w:pPr>
              <w:widowControl/>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（2）一段烟道迎风面拐点至烟道出口受热面浇注料的敷设（抓钉已完成焊接），面积约6㎡/套，施工技术要求见“浇注料施工技术规范”。</w:t>
            </w:r>
          </w:p>
          <w:p w14:paraId="353DC445">
            <w:pPr>
              <w:widowControl/>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（3）一、二段烟道间非金属补偿器安装。</w:t>
            </w:r>
          </w:p>
          <w:p w14:paraId="181DF6E3">
            <w:pPr>
              <w:widowControl/>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（4）一段烟道悬挂装置安装。</w:t>
            </w:r>
          </w:p>
        </w:tc>
      </w:tr>
      <w:tr w14:paraId="5F21DA4F">
        <w:tblPrEx>
          <w:tblCellMar>
            <w:top w:w="0" w:type="dxa"/>
            <w:left w:w="108" w:type="dxa"/>
            <w:bottom w:w="0" w:type="dxa"/>
            <w:right w:w="108" w:type="dxa"/>
          </w:tblCellMar>
        </w:tblPrEx>
        <w:trPr>
          <w:trHeight w:val="280"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A5BF6F">
            <w:pPr>
              <w:widowControl/>
              <w:snapToGrid w:val="0"/>
              <w:spacing w:line="36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052812">
            <w:pPr>
              <w:widowControl/>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二、三段烟道</w:t>
            </w:r>
          </w:p>
        </w:tc>
        <w:tc>
          <w:tcPr>
            <w:tcW w:w="6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AF28BD">
            <w:pPr>
              <w:widowControl/>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包括：</w:t>
            </w:r>
            <w:r>
              <w:rPr>
                <w:rFonts w:hint="eastAsia" w:ascii="宋体" w:hAnsi="宋体" w:eastAsia="宋体" w:cs="宋体"/>
                <w:color w:val="auto"/>
                <w:sz w:val="21"/>
                <w:szCs w:val="21"/>
                <w:highlight w:val="none"/>
              </w:rPr>
              <w:t>（1）二段烟道弯管共180根*4m（其中：5-7#炉烟道弯管3*40根，8#炉烟道弯管1*60根），5-8#炉二、三段下集箱弯管共448根*0.5m（其中：二段下集箱各72根，共288根；三段下集箱弯管各40根，共160根）。</w:t>
            </w:r>
          </w:p>
          <w:p w14:paraId="3DD04675">
            <w:pPr>
              <w:widowControl/>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（2）二、三段烟道内壁管子整体防磨喷涂，施工要求见“防磨喷涂施工技术规范”。</w:t>
            </w:r>
          </w:p>
          <w:p w14:paraId="06C48B01">
            <w:pPr>
              <w:widowControl/>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（3）二、三段烟道磨损严重部位敷浇注料，面积共56㎡，施工要求见“浇注料施工技术规范”</w:t>
            </w:r>
          </w:p>
        </w:tc>
      </w:tr>
      <w:tr w14:paraId="4712211A">
        <w:tblPrEx>
          <w:tblCellMar>
            <w:top w:w="0" w:type="dxa"/>
            <w:left w:w="108" w:type="dxa"/>
            <w:bottom w:w="0" w:type="dxa"/>
            <w:right w:w="108" w:type="dxa"/>
          </w:tblCellMar>
        </w:tblPrEx>
        <w:trPr>
          <w:trHeight w:val="280"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DF90DB">
            <w:pPr>
              <w:widowControl/>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3</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7DA21B">
            <w:pPr>
              <w:widowControl/>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报装报检</w:t>
            </w:r>
          </w:p>
        </w:tc>
        <w:tc>
          <w:tcPr>
            <w:tcW w:w="6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EB8F71">
            <w:pPr>
              <w:widowControl/>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投标人</w:t>
            </w:r>
            <w:r>
              <w:rPr>
                <w:rFonts w:hint="eastAsia" w:ascii="宋体" w:hAnsi="宋体" w:cs="宋体"/>
                <w:color w:val="auto"/>
                <w:kern w:val="0"/>
                <w:sz w:val="21"/>
                <w:szCs w:val="21"/>
                <w:highlight w:val="none"/>
              </w:rPr>
              <w:t>负责</w:t>
            </w:r>
            <w:r>
              <w:rPr>
                <w:rFonts w:hint="eastAsia" w:ascii="宋体" w:hAnsi="宋体" w:cs="宋体"/>
                <w:color w:val="auto"/>
                <w:kern w:val="0"/>
                <w:sz w:val="21"/>
                <w:szCs w:val="21"/>
                <w:highlight w:val="none"/>
                <w:lang w:eastAsia="zh-CN"/>
              </w:rPr>
              <w:t>采购</w:t>
            </w:r>
            <w:r>
              <w:rPr>
                <w:rFonts w:hint="eastAsia" w:ascii="宋体" w:hAnsi="宋体" w:cs="宋体"/>
                <w:color w:val="auto"/>
                <w:kern w:val="0"/>
                <w:sz w:val="21"/>
                <w:szCs w:val="21"/>
                <w:highlight w:val="none"/>
              </w:rPr>
              <w:t>内容中的特种设备的安装及监督检验等相关事宜及费用。</w:t>
            </w:r>
          </w:p>
        </w:tc>
      </w:tr>
    </w:tbl>
    <w:p w14:paraId="09634C36">
      <w:pPr>
        <w:pStyle w:val="3"/>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三、施工工程量</w:t>
      </w:r>
    </w:p>
    <w:p w14:paraId="41FBFCFB">
      <w:pPr>
        <w:snapToGrid w:val="0"/>
        <w:spacing w:line="360" w:lineRule="auto"/>
        <w:ind w:firstLine="6300" w:firstLineChars="30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表二</w:t>
      </w:r>
    </w:p>
    <w:tbl>
      <w:tblPr>
        <w:tblStyle w:val="3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603"/>
        <w:gridCol w:w="709"/>
        <w:gridCol w:w="1276"/>
        <w:gridCol w:w="4368"/>
        <w:gridCol w:w="6"/>
      </w:tblGrid>
      <w:tr w14:paraId="62D69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660" w:type="dxa"/>
            <w:vAlign w:val="center"/>
          </w:tcPr>
          <w:p w14:paraId="1A3ADF21">
            <w:pPr>
              <w:snapToGrid w:val="0"/>
              <w:spacing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603" w:type="dxa"/>
            <w:vAlign w:val="center"/>
          </w:tcPr>
          <w:p w14:paraId="11B8BBC5">
            <w:pPr>
              <w:snapToGrid w:val="0"/>
              <w:spacing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709" w:type="dxa"/>
            <w:vAlign w:val="center"/>
          </w:tcPr>
          <w:p w14:paraId="5B7D6C65">
            <w:pPr>
              <w:snapToGrid w:val="0"/>
              <w:spacing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276" w:type="dxa"/>
            <w:vAlign w:val="center"/>
          </w:tcPr>
          <w:p w14:paraId="5AEAC84E">
            <w:pPr>
              <w:snapToGrid w:val="0"/>
              <w:spacing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4368" w:type="dxa"/>
            <w:vAlign w:val="center"/>
          </w:tcPr>
          <w:p w14:paraId="7E04E47C">
            <w:pPr>
              <w:snapToGrid w:val="0"/>
              <w:spacing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76421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2" w:type="dxa"/>
            <w:gridSpan w:val="6"/>
            <w:vAlign w:val="center"/>
          </w:tcPr>
          <w:p w14:paraId="1561E530">
            <w:pPr>
              <w:snapToGrid w:val="0"/>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1、拆除工程量</w:t>
            </w:r>
          </w:p>
        </w:tc>
      </w:tr>
      <w:tr w14:paraId="78450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660" w:type="dxa"/>
            <w:vAlign w:val="center"/>
          </w:tcPr>
          <w:p w14:paraId="08E5A542">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603" w:type="dxa"/>
            <w:vAlign w:val="center"/>
          </w:tcPr>
          <w:p w14:paraId="2A7EE93C">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原一段烟道本体</w:t>
            </w:r>
            <w:r>
              <w:rPr>
                <w:rFonts w:hint="eastAsia" w:ascii="宋体" w:hAnsi="宋体" w:eastAsia="宋体" w:cs="宋体"/>
                <w:color w:val="auto"/>
                <w:kern w:val="0"/>
                <w:sz w:val="21"/>
                <w:szCs w:val="21"/>
                <w:highlight w:val="none"/>
              </w:rPr>
              <w:t>（总重约22T）</w:t>
            </w:r>
          </w:p>
        </w:tc>
        <w:tc>
          <w:tcPr>
            <w:tcW w:w="709" w:type="dxa"/>
            <w:vAlign w:val="center"/>
          </w:tcPr>
          <w:p w14:paraId="723527DC">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276" w:type="dxa"/>
            <w:vAlign w:val="center"/>
          </w:tcPr>
          <w:p w14:paraId="2C77E918">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368" w:type="dxa"/>
            <w:vAlign w:val="center"/>
          </w:tcPr>
          <w:p w14:paraId="322E4AFC">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单套包括一段烟道本体（含进出口联箱）及与此相连接的为完成本工程的上升管、下降管、氧枪口、下料口、支撑悬挂装置、相应保温材料及影响施工的（如：12.8m平台）所有工作内容。（整体保护性拆除）</w:t>
            </w:r>
          </w:p>
        </w:tc>
      </w:tr>
      <w:tr w14:paraId="70FA4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660" w:type="dxa"/>
            <w:vAlign w:val="center"/>
          </w:tcPr>
          <w:p w14:paraId="5E9D7EA9">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603" w:type="dxa"/>
            <w:vAlign w:val="center"/>
          </w:tcPr>
          <w:p w14:paraId="1B2F41F5">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放置及垃圾清运</w:t>
            </w:r>
          </w:p>
        </w:tc>
        <w:tc>
          <w:tcPr>
            <w:tcW w:w="709" w:type="dxa"/>
            <w:vAlign w:val="center"/>
          </w:tcPr>
          <w:p w14:paraId="204AD318">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276" w:type="dxa"/>
            <w:vAlign w:val="center"/>
          </w:tcPr>
          <w:p w14:paraId="319D7196">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368" w:type="dxa"/>
            <w:vAlign w:val="center"/>
          </w:tcPr>
          <w:p w14:paraId="4134FA96">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烟道本体设备放至</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指定位置（不超过1500m），所产生的施工垃圾装袋后自行运至环保定点位置（不超过1500m）。</w:t>
            </w:r>
          </w:p>
        </w:tc>
      </w:tr>
      <w:tr w14:paraId="5675F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660" w:type="dxa"/>
            <w:vAlign w:val="center"/>
          </w:tcPr>
          <w:p w14:paraId="44001F18">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603" w:type="dxa"/>
            <w:vAlign w:val="center"/>
          </w:tcPr>
          <w:p w14:paraId="69FE8A7D">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其它</w:t>
            </w:r>
          </w:p>
        </w:tc>
        <w:tc>
          <w:tcPr>
            <w:tcW w:w="709" w:type="dxa"/>
            <w:vAlign w:val="center"/>
          </w:tcPr>
          <w:p w14:paraId="348FAF7A">
            <w:pPr>
              <w:snapToGrid w:val="0"/>
              <w:spacing w:line="360" w:lineRule="auto"/>
              <w:ind w:firstLine="0" w:firstLineChars="0"/>
              <w:jc w:val="center"/>
              <w:rPr>
                <w:rFonts w:hint="eastAsia" w:ascii="宋体" w:hAnsi="宋体" w:eastAsia="宋体" w:cs="宋体"/>
                <w:color w:val="auto"/>
                <w:sz w:val="21"/>
                <w:szCs w:val="21"/>
                <w:highlight w:val="none"/>
              </w:rPr>
            </w:pPr>
          </w:p>
        </w:tc>
        <w:tc>
          <w:tcPr>
            <w:tcW w:w="1276" w:type="dxa"/>
            <w:vAlign w:val="center"/>
          </w:tcPr>
          <w:p w14:paraId="2FBFE655">
            <w:pPr>
              <w:snapToGrid w:val="0"/>
              <w:spacing w:line="360" w:lineRule="auto"/>
              <w:ind w:firstLine="0" w:firstLineChars="0"/>
              <w:jc w:val="center"/>
              <w:rPr>
                <w:rFonts w:hint="eastAsia" w:ascii="宋体" w:hAnsi="宋体" w:eastAsia="宋体" w:cs="宋体"/>
                <w:color w:val="auto"/>
                <w:sz w:val="21"/>
                <w:szCs w:val="21"/>
                <w:highlight w:val="none"/>
              </w:rPr>
            </w:pPr>
          </w:p>
        </w:tc>
        <w:tc>
          <w:tcPr>
            <w:tcW w:w="4368" w:type="dxa"/>
            <w:vAlign w:val="center"/>
          </w:tcPr>
          <w:p w14:paraId="252EAAD0">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所有影响拆除、安装施工的其它工作。</w:t>
            </w:r>
          </w:p>
        </w:tc>
      </w:tr>
      <w:tr w14:paraId="334A9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2" w:type="dxa"/>
            <w:gridSpan w:val="6"/>
            <w:vAlign w:val="center"/>
          </w:tcPr>
          <w:p w14:paraId="79FF209D">
            <w:pPr>
              <w:snapToGrid w:val="0"/>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2、安装工程量</w:t>
            </w:r>
          </w:p>
        </w:tc>
      </w:tr>
      <w:tr w14:paraId="700C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660" w:type="dxa"/>
            <w:vAlign w:val="center"/>
          </w:tcPr>
          <w:p w14:paraId="5B238C1C">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603" w:type="dxa"/>
            <w:vAlign w:val="center"/>
          </w:tcPr>
          <w:p w14:paraId="2BDF245B">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新一段烟道本体</w:t>
            </w:r>
            <w:r>
              <w:rPr>
                <w:rFonts w:hint="eastAsia" w:ascii="宋体" w:hAnsi="宋体" w:eastAsia="宋体" w:cs="宋体"/>
                <w:color w:val="auto"/>
                <w:kern w:val="0"/>
                <w:sz w:val="21"/>
                <w:szCs w:val="21"/>
                <w:highlight w:val="none"/>
              </w:rPr>
              <w:t>（总重约22T）</w:t>
            </w:r>
          </w:p>
        </w:tc>
        <w:tc>
          <w:tcPr>
            <w:tcW w:w="709" w:type="dxa"/>
            <w:vAlign w:val="center"/>
          </w:tcPr>
          <w:p w14:paraId="44E162D6">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276" w:type="dxa"/>
            <w:vAlign w:val="center"/>
          </w:tcPr>
          <w:p w14:paraId="509AD82D">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368" w:type="dxa"/>
            <w:vAlign w:val="center"/>
          </w:tcPr>
          <w:p w14:paraId="4ED372F1">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套包括一段烟道本体（含进出口联箱）的安装就位、与一段烟道相连接的上升管、下降管、氧枪口、下料口、支撑悬挂装置、相应保温材料的恢复安装及其它拆除工程量的（如：12.8m平台）恢复安装等所有工作内容。</w:t>
            </w:r>
          </w:p>
        </w:tc>
      </w:tr>
      <w:tr w14:paraId="02F94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660" w:type="dxa"/>
            <w:vAlign w:val="center"/>
          </w:tcPr>
          <w:p w14:paraId="744F0EBC">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603" w:type="dxa"/>
            <w:vAlign w:val="center"/>
          </w:tcPr>
          <w:p w14:paraId="13CA9249">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二、三段烟道磨损严重部位的管子更换</w:t>
            </w:r>
          </w:p>
        </w:tc>
        <w:tc>
          <w:tcPr>
            <w:tcW w:w="709" w:type="dxa"/>
            <w:vAlign w:val="center"/>
          </w:tcPr>
          <w:p w14:paraId="0ADF70CE">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1276" w:type="dxa"/>
            <w:vAlign w:val="center"/>
          </w:tcPr>
          <w:p w14:paraId="0BC9B7A9">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628</w:t>
            </w:r>
          </w:p>
        </w:tc>
        <w:tc>
          <w:tcPr>
            <w:tcW w:w="4368" w:type="dxa"/>
            <w:vAlign w:val="center"/>
          </w:tcPr>
          <w:p w14:paraId="19CFF3A9">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二段</w:t>
            </w:r>
            <w:r>
              <w:rPr>
                <w:rFonts w:hint="eastAsia" w:ascii="宋体" w:hAnsi="宋体" w:eastAsia="宋体" w:cs="宋体"/>
                <w:b/>
                <w:color w:val="auto"/>
                <w:sz w:val="21"/>
                <w:szCs w:val="21"/>
                <w:highlight w:val="none"/>
                <w:u w:val="single"/>
              </w:rPr>
              <w:t>烟道弯管</w:t>
            </w:r>
            <w:r>
              <w:rPr>
                <w:rFonts w:hint="eastAsia" w:ascii="宋体" w:hAnsi="宋体" w:eastAsia="宋体" w:cs="宋体"/>
                <w:color w:val="auto"/>
                <w:sz w:val="21"/>
                <w:szCs w:val="21"/>
                <w:highlight w:val="none"/>
              </w:rPr>
              <w:t>共180根*4m（其中：5-7#炉烟道弯管3*40根，8#炉烟道弯管1*60根），5-8#炉二、三段</w:t>
            </w:r>
            <w:r>
              <w:rPr>
                <w:rFonts w:hint="eastAsia" w:ascii="宋体" w:hAnsi="宋体" w:eastAsia="宋体" w:cs="宋体"/>
                <w:b/>
                <w:color w:val="auto"/>
                <w:sz w:val="21"/>
                <w:szCs w:val="21"/>
                <w:highlight w:val="none"/>
                <w:u w:val="single"/>
              </w:rPr>
              <w:t>下集箱弯管</w:t>
            </w:r>
            <w:r>
              <w:rPr>
                <w:rFonts w:hint="eastAsia" w:ascii="宋体" w:hAnsi="宋体" w:eastAsia="宋体" w:cs="宋体"/>
                <w:color w:val="auto"/>
                <w:sz w:val="21"/>
                <w:szCs w:val="21"/>
                <w:highlight w:val="none"/>
              </w:rPr>
              <w:t>共448根*0.5m（其中：二段下集箱各72根，共288根；三段下集箱弯管各40条，共160条）。包括换管工作量所需的现场弯管、搭架等工作，以及修复为施工而拆除的栏杆、保温等所有其它工作。（全部管材、鳍片由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提供）</w:t>
            </w:r>
          </w:p>
        </w:tc>
      </w:tr>
      <w:tr w14:paraId="65B7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660" w:type="dxa"/>
            <w:vAlign w:val="center"/>
          </w:tcPr>
          <w:p w14:paraId="4CDD40DD">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603" w:type="dxa"/>
            <w:vAlign w:val="center"/>
          </w:tcPr>
          <w:p w14:paraId="64E67AE8">
            <w:pPr>
              <w:snapToGrid w:val="0"/>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二、三段烟道防磨金属喷涂</w:t>
            </w:r>
          </w:p>
        </w:tc>
        <w:tc>
          <w:tcPr>
            <w:tcW w:w="709" w:type="dxa"/>
            <w:vAlign w:val="center"/>
          </w:tcPr>
          <w:p w14:paraId="735F6E8F">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276" w:type="dxa"/>
            <w:vAlign w:val="center"/>
          </w:tcPr>
          <w:p w14:paraId="0FB08CA2">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368" w:type="dxa"/>
            <w:vAlign w:val="center"/>
          </w:tcPr>
          <w:p w14:paraId="4F667783">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4套共405㎡（本项为</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包工包料）。</w:t>
            </w:r>
          </w:p>
        </w:tc>
      </w:tr>
      <w:tr w14:paraId="1740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660" w:type="dxa"/>
            <w:vAlign w:val="center"/>
          </w:tcPr>
          <w:p w14:paraId="53A31794">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603" w:type="dxa"/>
            <w:vAlign w:val="center"/>
          </w:tcPr>
          <w:p w14:paraId="51D863C0">
            <w:pPr>
              <w:snapToGrid w:val="0"/>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一、二、三段烟道部分部位敷设浇注料</w:t>
            </w:r>
          </w:p>
        </w:tc>
        <w:tc>
          <w:tcPr>
            <w:tcW w:w="709" w:type="dxa"/>
            <w:vAlign w:val="center"/>
          </w:tcPr>
          <w:p w14:paraId="256B0A0C">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76" w:type="dxa"/>
            <w:vAlign w:val="center"/>
          </w:tcPr>
          <w:p w14:paraId="5B41EA98">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w:t>
            </w:r>
          </w:p>
        </w:tc>
        <w:tc>
          <w:tcPr>
            <w:tcW w:w="4368" w:type="dxa"/>
            <w:vAlign w:val="center"/>
          </w:tcPr>
          <w:p w14:paraId="28EB8D52">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4套共56㎡，厚度δ=50mm。其中，一段烟道抓钉已焊好，面积为各6㎡，共24㎡；二、三段烟道抓钉需现场焊接，面积每套各8㎡，共32㎡，抓钉25个/㎡，抓钉材质为310S不锈钢，焊条须用A401。（抓钉由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提供）</w:t>
            </w:r>
          </w:p>
        </w:tc>
      </w:tr>
      <w:tr w14:paraId="0C79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660" w:type="dxa"/>
            <w:vAlign w:val="center"/>
          </w:tcPr>
          <w:p w14:paraId="5F2C0C2A">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603" w:type="dxa"/>
            <w:vAlign w:val="center"/>
          </w:tcPr>
          <w:p w14:paraId="2442F401">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保温</w:t>
            </w:r>
          </w:p>
        </w:tc>
        <w:tc>
          <w:tcPr>
            <w:tcW w:w="709" w:type="dxa"/>
            <w:vAlign w:val="center"/>
          </w:tcPr>
          <w:p w14:paraId="2F4F5070">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m³</w:t>
            </w:r>
          </w:p>
        </w:tc>
        <w:tc>
          <w:tcPr>
            <w:tcW w:w="1276" w:type="dxa"/>
            <w:vAlign w:val="center"/>
          </w:tcPr>
          <w:p w14:paraId="5B85D3C7">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93.88</w:t>
            </w:r>
          </w:p>
        </w:tc>
        <w:tc>
          <w:tcPr>
            <w:tcW w:w="4368" w:type="dxa"/>
            <w:vAlign w:val="center"/>
          </w:tcPr>
          <w:p w14:paraId="3AE639DA">
            <w:pPr>
              <w:pStyle w:val="51"/>
              <w:numPr>
                <w:ilvl w:val="0"/>
                <w:numId w:val="2"/>
              </w:numPr>
              <w:adjustRightInd w:val="0"/>
              <w:snapToGrid w:val="0"/>
              <w:spacing w:line="360" w:lineRule="auto"/>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烟道面积（3.7+1.3+0.25）*3.14*2.6,厚度200mm;保温体积 V</w:t>
            </w:r>
            <w:r>
              <w:rPr>
                <w:rFonts w:hint="eastAsia" w:ascii="宋体" w:hAnsi="宋体" w:eastAsia="宋体" w:cs="宋体"/>
                <w:color w:val="auto"/>
                <w:sz w:val="21"/>
                <w:szCs w:val="21"/>
                <w:highlight w:val="none"/>
                <w:vertAlign w:val="subscript"/>
              </w:rPr>
              <w:t>1</w:t>
            </w:r>
            <w:r>
              <w:rPr>
                <w:rFonts w:hint="eastAsia" w:ascii="宋体" w:hAnsi="宋体" w:eastAsia="宋体" w:cs="宋体"/>
                <w:color w:val="auto"/>
                <w:sz w:val="21"/>
                <w:szCs w:val="21"/>
                <w:highlight w:val="none"/>
              </w:rPr>
              <w:t>=8.57 m³/套</w:t>
            </w:r>
          </w:p>
          <w:p w14:paraId="65B9723A">
            <w:pPr>
              <w:pStyle w:val="51"/>
              <w:numPr>
                <w:ilvl w:val="0"/>
                <w:numId w:val="2"/>
              </w:numPr>
              <w:adjustRightInd w:val="0"/>
              <w:snapToGrid w:val="0"/>
              <w:spacing w:line="360" w:lineRule="auto"/>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上集箱∮273*14周长：3.14*3.46，厚度150mm；保温体积V</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rPr>
              <w:t>=1.4 m³/套</w:t>
            </w:r>
          </w:p>
          <w:p w14:paraId="696814A9">
            <w:pPr>
              <w:pStyle w:val="51"/>
              <w:numPr>
                <w:ilvl w:val="0"/>
                <w:numId w:val="2"/>
              </w:numPr>
              <w:adjustRightInd w:val="0"/>
              <w:snapToGrid w:val="0"/>
              <w:spacing w:line="360" w:lineRule="auto"/>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下降管∮159*5长45m，厚度150mm；保温体积V</w:t>
            </w:r>
            <w:r>
              <w:rPr>
                <w:rFonts w:hint="eastAsia" w:ascii="宋体" w:hAnsi="宋体" w:eastAsia="宋体" w:cs="宋体"/>
                <w:color w:val="auto"/>
                <w:sz w:val="21"/>
                <w:szCs w:val="21"/>
                <w:highlight w:val="none"/>
                <w:vertAlign w:val="subscript"/>
              </w:rPr>
              <w:t>3</w:t>
            </w:r>
            <w:r>
              <w:rPr>
                <w:rFonts w:hint="eastAsia" w:ascii="宋体" w:hAnsi="宋体" w:eastAsia="宋体" w:cs="宋体"/>
                <w:color w:val="auto"/>
                <w:sz w:val="21"/>
                <w:szCs w:val="21"/>
                <w:highlight w:val="none"/>
              </w:rPr>
              <w:t>=3.37 m³/套</w:t>
            </w:r>
          </w:p>
          <w:p w14:paraId="295A9ABF">
            <w:pPr>
              <w:pStyle w:val="51"/>
              <w:numPr>
                <w:ilvl w:val="0"/>
                <w:numId w:val="2"/>
              </w:numPr>
              <w:adjustRightInd w:val="0"/>
              <w:snapToGrid w:val="0"/>
              <w:spacing w:line="360" w:lineRule="auto"/>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12.8m平台夹层保温：6*6-3.14*1.3*1.3，厚度330mm。保温体积V</w:t>
            </w:r>
            <w:r>
              <w:rPr>
                <w:rFonts w:hint="eastAsia" w:ascii="宋体" w:hAnsi="宋体" w:eastAsia="宋体" w:cs="宋体"/>
                <w:color w:val="auto"/>
                <w:sz w:val="21"/>
                <w:szCs w:val="21"/>
                <w:highlight w:val="none"/>
                <w:vertAlign w:val="subscript"/>
              </w:rPr>
              <w:t>4</w:t>
            </w:r>
            <w:r>
              <w:rPr>
                <w:rFonts w:hint="eastAsia" w:ascii="宋体" w:hAnsi="宋体" w:eastAsia="宋体" w:cs="宋体"/>
                <w:color w:val="auto"/>
                <w:sz w:val="21"/>
                <w:szCs w:val="21"/>
                <w:highlight w:val="none"/>
              </w:rPr>
              <w:t>=10.13m³/套</w:t>
            </w:r>
          </w:p>
          <w:p w14:paraId="2F10DA87">
            <w:pPr>
              <w:pStyle w:val="51"/>
              <w:numPr>
                <w:ilvl w:val="0"/>
                <w:numId w:val="2"/>
              </w:numPr>
              <w:adjustRightInd w:val="0"/>
              <w:snapToGrid w:val="0"/>
              <w:spacing w:line="360" w:lineRule="auto"/>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上述①-④项4套总保温体积V</w:t>
            </w:r>
            <w:r>
              <w:rPr>
                <w:rFonts w:hint="eastAsia" w:ascii="宋体" w:hAnsi="宋体" w:eastAsia="宋体" w:cs="宋体"/>
                <w:color w:val="auto"/>
                <w:sz w:val="21"/>
                <w:szCs w:val="21"/>
                <w:highlight w:val="none"/>
                <w:vertAlign w:val="subscript"/>
              </w:rPr>
              <w:t>总</w:t>
            </w:r>
            <w:r>
              <w:rPr>
                <w:rFonts w:hint="eastAsia" w:ascii="宋体" w:hAnsi="宋体" w:eastAsia="宋体" w:cs="宋体"/>
                <w:color w:val="auto"/>
                <w:sz w:val="21"/>
                <w:szCs w:val="21"/>
                <w:highlight w:val="none"/>
              </w:rPr>
              <w:t>=4*23.47=93.88m³（注：</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注意勿重复计算，此项为</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包工包料）</w:t>
            </w:r>
          </w:p>
        </w:tc>
      </w:tr>
      <w:tr w14:paraId="30380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660" w:type="dxa"/>
            <w:vAlign w:val="center"/>
          </w:tcPr>
          <w:p w14:paraId="37621D3E">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603" w:type="dxa"/>
            <w:vAlign w:val="center"/>
          </w:tcPr>
          <w:p w14:paraId="1CFFF9B9">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其它</w:t>
            </w:r>
          </w:p>
        </w:tc>
        <w:tc>
          <w:tcPr>
            <w:tcW w:w="709" w:type="dxa"/>
            <w:vAlign w:val="center"/>
          </w:tcPr>
          <w:p w14:paraId="2C8E6A8B">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1276" w:type="dxa"/>
            <w:vAlign w:val="center"/>
          </w:tcPr>
          <w:p w14:paraId="2FDAE3BD">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368" w:type="dxa"/>
            <w:vAlign w:val="center"/>
          </w:tcPr>
          <w:p w14:paraId="4D4B3651">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详见附件一：风管安装，阀门更换，水位计更换等工作。(此项为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提供材料并领工，</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负责提供8个钳工/天*10天)</w:t>
            </w:r>
          </w:p>
        </w:tc>
      </w:tr>
    </w:tbl>
    <w:p w14:paraId="091CA654">
      <w:pPr>
        <w:pStyle w:val="3"/>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四、施工技术规范</w:t>
      </w:r>
    </w:p>
    <w:p w14:paraId="030FDBE3">
      <w:pPr>
        <w:pStyle w:val="4"/>
        <w:snapToGrid w:val="0"/>
        <w:spacing w:line="360" w:lineRule="auto"/>
        <w:ind w:firstLine="56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（一）施工依据</w:t>
      </w:r>
    </w:p>
    <w:p w14:paraId="04F7A654">
      <w:pPr>
        <w:pStyle w:val="51"/>
        <w:numPr>
          <w:ilvl w:val="0"/>
          <w:numId w:val="3"/>
        </w:numPr>
        <w:adjustRightInd w:val="0"/>
        <w:snapToGrid w:val="0"/>
        <w:spacing w:line="360" w:lineRule="auto"/>
        <w:ind w:right="420" w:rightChars="2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《锅炉安全技术监察规程》（2022年版）</w:t>
      </w:r>
    </w:p>
    <w:p w14:paraId="5EA0CCB1">
      <w:pPr>
        <w:pStyle w:val="51"/>
        <w:numPr>
          <w:ilvl w:val="0"/>
          <w:numId w:val="3"/>
        </w:numPr>
        <w:adjustRightInd w:val="0"/>
        <w:snapToGrid w:val="0"/>
        <w:spacing w:line="360" w:lineRule="auto"/>
        <w:ind w:right="420" w:rightChars="2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《压力管道规范一工业管道》(GB/T20801)</w:t>
      </w:r>
    </w:p>
    <w:p w14:paraId="0028CF11">
      <w:pPr>
        <w:pStyle w:val="51"/>
        <w:numPr>
          <w:ilvl w:val="0"/>
          <w:numId w:val="3"/>
        </w:numPr>
        <w:adjustRightInd w:val="0"/>
        <w:snapToGrid w:val="0"/>
        <w:spacing w:line="360" w:lineRule="auto"/>
        <w:ind w:right="420" w:rightChars="2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《火力发电厂焊接技术规程》DL/T 869—2012</w:t>
      </w:r>
    </w:p>
    <w:p w14:paraId="50CDDC8C">
      <w:pPr>
        <w:pStyle w:val="51"/>
        <w:numPr>
          <w:ilvl w:val="0"/>
          <w:numId w:val="3"/>
        </w:numPr>
        <w:adjustRightInd w:val="0"/>
        <w:snapToGrid w:val="0"/>
        <w:spacing w:line="360" w:lineRule="auto"/>
        <w:ind w:right="420" w:rightChars="2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《电力建设施工质量验收及评价规程》（焊接篇）DL/T 5210.7-2018</w:t>
      </w:r>
    </w:p>
    <w:p w14:paraId="5F74DE48">
      <w:pPr>
        <w:pStyle w:val="51"/>
        <w:numPr>
          <w:ilvl w:val="0"/>
          <w:numId w:val="3"/>
        </w:numPr>
        <w:adjustRightInd w:val="0"/>
        <w:snapToGrid w:val="0"/>
        <w:spacing w:line="360" w:lineRule="auto"/>
        <w:ind w:right="420" w:rightChars="2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《电力建设施工技术规范 第2部分：锅炉机组》DL 5190.2-2019</w:t>
      </w:r>
    </w:p>
    <w:p w14:paraId="6192F2C8">
      <w:pPr>
        <w:pStyle w:val="51"/>
        <w:numPr>
          <w:ilvl w:val="0"/>
          <w:numId w:val="3"/>
        </w:numPr>
        <w:adjustRightInd w:val="0"/>
        <w:snapToGrid w:val="0"/>
        <w:spacing w:line="360" w:lineRule="auto"/>
        <w:ind w:right="420" w:rightChars="2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《电力建设施工技术规范 第5部分：管道及系统》DL 5190.5-2019</w:t>
      </w:r>
    </w:p>
    <w:p w14:paraId="1441E6DE">
      <w:pPr>
        <w:pStyle w:val="51"/>
        <w:numPr>
          <w:ilvl w:val="0"/>
          <w:numId w:val="3"/>
        </w:numPr>
        <w:adjustRightInd w:val="0"/>
        <w:snapToGrid w:val="0"/>
        <w:spacing w:line="360" w:lineRule="auto"/>
        <w:ind w:right="420" w:rightChars="2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《电力建设施工技术规范 第8部分：加工配制》DL 5190.8-2019</w:t>
      </w:r>
    </w:p>
    <w:p w14:paraId="2BE32025">
      <w:pPr>
        <w:pStyle w:val="51"/>
        <w:numPr>
          <w:ilvl w:val="0"/>
          <w:numId w:val="3"/>
        </w:numPr>
        <w:adjustRightInd w:val="0"/>
        <w:snapToGrid w:val="0"/>
        <w:spacing w:line="360" w:lineRule="auto"/>
        <w:ind w:right="420" w:rightChars="2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《工业设备及管道绝热工程施工质量验收规范》GB50185-2010</w:t>
      </w:r>
    </w:p>
    <w:p w14:paraId="313E4D84">
      <w:pPr>
        <w:pStyle w:val="103"/>
        <w:numPr>
          <w:ilvl w:val="0"/>
          <w:numId w:val="3"/>
        </w:numPr>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《焊工技术考核规程》DL/T679—1999</w:t>
      </w:r>
    </w:p>
    <w:p w14:paraId="4F21A563">
      <w:pPr>
        <w:pStyle w:val="103"/>
        <w:numPr>
          <w:ilvl w:val="0"/>
          <w:numId w:val="3"/>
        </w:numPr>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《焊接工艺评定规程》DL/T868-2004</w:t>
      </w:r>
    </w:p>
    <w:p w14:paraId="2E5543E2">
      <w:pPr>
        <w:pStyle w:val="103"/>
        <w:numPr>
          <w:ilvl w:val="0"/>
          <w:numId w:val="3"/>
        </w:numPr>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《火力发电厂异种钢焊接技术规程》DL/T572《电站锅炉压力容器检验规程》DL/T647-2004</w:t>
      </w:r>
    </w:p>
    <w:p w14:paraId="2A4D9FD5">
      <w:pPr>
        <w:pStyle w:val="103"/>
        <w:numPr>
          <w:ilvl w:val="0"/>
          <w:numId w:val="3"/>
        </w:numPr>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《管道焊接接头超声波检验技术规程》DL/T820-2002</w:t>
      </w:r>
    </w:p>
    <w:p w14:paraId="2235B3FA">
      <w:pPr>
        <w:pStyle w:val="103"/>
        <w:numPr>
          <w:ilvl w:val="0"/>
          <w:numId w:val="3"/>
        </w:numPr>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《钢制承压管道对接焊接接头射线检验技术规程》DL/T821-2002</w:t>
      </w:r>
    </w:p>
    <w:p w14:paraId="63EB7292">
      <w:pPr>
        <w:pStyle w:val="51"/>
        <w:numPr>
          <w:ilvl w:val="0"/>
          <w:numId w:val="3"/>
        </w:numPr>
        <w:adjustRightInd w:val="0"/>
        <w:snapToGrid w:val="0"/>
        <w:spacing w:line="360" w:lineRule="auto"/>
        <w:ind w:right="420" w:rightChars="2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《火力发电厂金属技术监督规程》DL/T438—2016</w:t>
      </w:r>
    </w:p>
    <w:p w14:paraId="0AC608C6">
      <w:pPr>
        <w:pStyle w:val="51"/>
        <w:numPr>
          <w:ilvl w:val="0"/>
          <w:numId w:val="3"/>
        </w:numPr>
        <w:adjustRightInd w:val="0"/>
        <w:snapToGrid w:val="0"/>
        <w:spacing w:line="360" w:lineRule="auto"/>
        <w:ind w:right="420" w:rightChars="2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《锅炉安装监督检验规则》TSG G7001－2015</w:t>
      </w:r>
    </w:p>
    <w:p w14:paraId="0C7B6DBE">
      <w:pPr>
        <w:pStyle w:val="51"/>
        <w:numPr>
          <w:ilvl w:val="0"/>
          <w:numId w:val="3"/>
        </w:numPr>
        <w:adjustRightInd w:val="0"/>
        <w:snapToGrid w:val="0"/>
        <w:spacing w:line="360" w:lineRule="auto"/>
        <w:ind w:right="420" w:rightChars="2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《室内汽水管道支品架》和《西北电力设计院汽水管道支吊架手》</w:t>
      </w:r>
    </w:p>
    <w:p w14:paraId="04AC62DA">
      <w:pPr>
        <w:pStyle w:val="51"/>
        <w:numPr>
          <w:ilvl w:val="0"/>
          <w:numId w:val="3"/>
        </w:numPr>
        <w:adjustRightInd w:val="0"/>
        <w:snapToGrid w:val="0"/>
        <w:spacing w:line="360" w:lineRule="auto"/>
        <w:ind w:right="420" w:rightChars="2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《施工现场临时用电安全技术规范》JGJ46-2005</w:t>
      </w:r>
    </w:p>
    <w:p w14:paraId="368AD551">
      <w:pPr>
        <w:pStyle w:val="51"/>
        <w:numPr>
          <w:ilvl w:val="0"/>
          <w:numId w:val="3"/>
        </w:numPr>
        <w:adjustRightInd w:val="0"/>
        <w:snapToGrid w:val="0"/>
        <w:spacing w:line="360" w:lineRule="auto"/>
        <w:ind w:right="420" w:rightChars="2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《建筑施工扣件式钢管脚手架安全技术规范》JGJ-130-2011</w:t>
      </w:r>
    </w:p>
    <w:p w14:paraId="24447BF3">
      <w:pPr>
        <w:pStyle w:val="51"/>
        <w:numPr>
          <w:ilvl w:val="0"/>
          <w:numId w:val="3"/>
        </w:numPr>
        <w:adjustRightInd w:val="0"/>
        <w:snapToGrid w:val="0"/>
        <w:spacing w:line="360" w:lineRule="auto"/>
        <w:ind w:right="420" w:rightChars="2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《建筑机械使用安全技术规程》(JGJ33-2012)</w:t>
      </w:r>
    </w:p>
    <w:p w14:paraId="043534F1">
      <w:pPr>
        <w:pStyle w:val="51"/>
        <w:numPr>
          <w:ilvl w:val="0"/>
          <w:numId w:val="3"/>
        </w:numPr>
        <w:adjustRightInd w:val="0"/>
        <w:snapToGrid w:val="0"/>
        <w:spacing w:line="360" w:lineRule="auto"/>
        <w:ind w:right="420" w:rightChars="2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《起重机械安全规程》GB6067-2011</w:t>
      </w:r>
    </w:p>
    <w:p w14:paraId="67D1C765">
      <w:pPr>
        <w:pStyle w:val="51"/>
        <w:numPr>
          <w:ilvl w:val="0"/>
          <w:numId w:val="3"/>
        </w:numPr>
        <w:adjustRightInd w:val="0"/>
        <w:snapToGrid w:val="0"/>
        <w:spacing w:line="360" w:lineRule="auto"/>
        <w:ind w:right="420" w:rightChars="2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《电力建设安全健康与环境管理规定》</w:t>
      </w:r>
    </w:p>
    <w:p w14:paraId="0DB06834">
      <w:pPr>
        <w:pStyle w:val="4"/>
        <w:snapToGrid w:val="0"/>
        <w:spacing w:line="360" w:lineRule="auto"/>
        <w:ind w:firstLine="56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（二）施工前的准备</w:t>
      </w:r>
    </w:p>
    <w:p w14:paraId="0BE29C5F">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一段烟道的拆除和安装、二三段烟道管子更换施工、防磨金属喷涂施工、浇注料敷设施工、保温施工等施工应根据上述技术条件或规范，在详细研究本锅炉的图纸后，结合具体的施工条件和其它有关技术规定，制订一份施工组织设计，编制施工作业指导书、质量验收报告。在施工中应对每道工序均应仔细检查，做好记录，并严格进行部、组件分阶段验收及整体验收。</w:t>
      </w:r>
    </w:p>
    <w:p w14:paraId="283165CE">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2、为完成施工所具备的劳动力资源和工、器具资源（详见下表三、表四：</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填写）。</w:t>
      </w:r>
    </w:p>
    <w:p w14:paraId="3898D883">
      <w:pPr>
        <w:snapToGrid w:val="0"/>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表三：劳动办资源</w:t>
      </w:r>
    </w:p>
    <w:tbl>
      <w:tblPr>
        <w:tblStyle w:val="36"/>
        <w:tblW w:w="849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24"/>
        <w:gridCol w:w="2268"/>
        <w:gridCol w:w="1843"/>
        <w:gridCol w:w="3260"/>
      </w:tblGrid>
      <w:tr w14:paraId="25EBDEF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24" w:type="dxa"/>
            <w:vAlign w:val="center"/>
          </w:tcPr>
          <w:p w14:paraId="6E9A4AE7">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268" w:type="dxa"/>
            <w:vAlign w:val="center"/>
          </w:tcPr>
          <w:p w14:paraId="0F635908">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工种</w:t>
            </w:r>
          </w:p>
        </w:tc>
        <w:tc>
          <w:tcPr>
            <w:tcW w:w="1843" w:type="dxa"/>
            <w:vAlign w:val="center"/>
          </w:tcPr>
          <w:p w14:paraId="3C70EC72">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数量（人）</w:t>
            </w:r>
          </w:p>
        </w:tc>
        <w:tc>
          <w:tcPr>
            <w:tcW w:w="3260" w:type="dxa"/>
            <w:vAlign w:val="center"/>
          </w:tcPr>
          <w:p w14:paraId="215B7DC0">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r>
      <w:tr w14:paraId="0F40A07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24" w:type="dxa"/>
            <w:vAlign w:val="center"/>
          </w:tcPr>
          <w:p w14:paraId="5F81A79E">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268" w:type="dxa"/>
            <w:vAlign w:val="center"/>
          </w:tcPr>
          <w:p w14:paraId="357F98AF">
            <w:pPr>
              <w:snapToGrid w:val="0"/>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施工负责人</w:t>
            </w:r>
          </w:p>
        </w:tc>
        <w:tc>
          <w:tcPr>
            <w:tcW w:w="1843" w:type="dxa"/>
            <w:vAlign w:val="center"/>
          </w:tcPr>
          <w:p w14:paraId="45982AD4">
            <w:pPr>
              <w:snapToGrid w:val="0"/>
              <w:spacing w:line="360" w:lineRule="auto"/>
              <w:ind w:firstLine="0" w:firstLineChars="0"/>
              <w:jc w:val="center"/>
              <w:rPr>
                <w:rFonts w:hint="eastAsia" w:ascii="宋体" w:hAnsi="宋体" w:eastAsia="宋体" w:cs="宋体"/>
                <w:color w:val="auto"/>
                <w:sz w:val="21"/>
                <w:szCs w:val="21"/>
                <w:highlight w:val="none"/>
              </w:rPr>
            </w:pPr>
          </w:p>
        </w:tc>
        <w:tc>
          <w:tcPr>
            <w:tcW w:w="3260" w:type="dxa"/>
            <w:vAlign w:val="center"/>
          </w:tcPr>
          <w:p w14:paraId="3DF359DD">
            <w:pPr>
              <w:snapToGrid w:val="0"/>
              <w:spacing w:line="360" w:lineRule="auto"/>
              <w:ind w:firstLine="0" w:firstLineChars="0"/>
              <w:jc w:val="center"/>
              <w:rPr>
                <w:rFonts w:hint="eastAsia" w:ascii="宋体" w:hAnsi="宋体" w:eastAsia="宋体" w:cs="宋体"/>
                <w:color w:val="auto"/>
                <w:sz w:val="21"/>
                <w:szCs w:val="21"/>
                <w:highlight w:val="none"/>
              </w:rPr>
            </w:pPr>
          </w:p>
        </w:tc>
      </w:tr>
      <w:tr w14:paraId="41BA82C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24" w:type="dxa"/>
            <w:vAlign w:val="center"/>
          </w:tcPr>
          <w:p w14:paraId="777F7A1F">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268" w:type="dxa"/>
            <w:vAlign w:val="center"/>
          </w:tcPr>
          <w:p w14:paraId="55C33489">
            <w:pPr>
              <w:snapToGrid w:val="0"/>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技术员</w:t>
            </w:r>
          </w:p>
        </w:tc>
        <w:tc>
          <w:tcPr>
            <w:tcW w:w="1843" w:type="dxa"/>
            <w:vAlign w:val="center"/>
          </w:tcPr>
          <w:p w14:paraId="505E3290">
            <w:pPr>
              <w:snapToGrid w:val="0"/>
              <w:spacing w:line="360" w:lineRule="auto"/>
              <w:ind w:firstLine="0" w:firstLineChars="0"/>
              <w:jc w:val="center"/>
              <w:rPr>
                <w:rFonts w:hint="eastAsia" w:ascii="宋体" w:hAnsi="宋体" w:eastAsia="宋体" w:cs="宋体"/>
                <w:color w:val="auto"/>
                <w:sz w:val="21"/>
                <w:szCs w:val="21"/>
                <w:highlight w:val="none"/>
              </w:rPr>
            </w:pPr>
          </w:p>
        </w:tc>
        <w:tc>
          <w:tcPr>
            <w:tcW w:w="3260" w:type="dxa"/>
            <w:vAlign w:val="center"/>
          </w:tcPr>
          <w:p w14:paraId="5A062C3A">
            <w:pPr>
              <w:snapToGrid w:val="0"/>
              <w:spacing w:line="360" w:lineRule="auto"/>
              <w:ind w:firstLine="0" w:firstLineChars="0"/>
              <w:jc w:val="center"/>
              <w:rPr>
                <w:rFonts w:hint="eastAsia" w:ascii="宋体" w:hAnsi="宋体" w:eastAsia="宋体" w:cs="宋体"/>
                <w:color w:val="auto"/>
                <w:sz w:val="21"/>
                <w:szCs w:val="21"/>
                <w:highlight w:val="none"/>
              </w:rPr>
            </w:pPr>
          </w:p>
        </w:tc>
      </w:tr>
      <w:tr w14:paraId="0B440B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24" w:type="dxa"/>
            <w:vAlign w:val="center"/>
          </w:tcPr>
          <w:p w14:paraId="5DA6A2A2">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268" w:type="dxa"/>
            <w:vAlign w:val="center"/>
          </w:tcPr>
          <w:p w14:paraId="5C06AF9D">
            <w:pPr>
              <w:snapToGrid w:val="0"/>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质检员</w:t>
            </w:r>
          </w:p>
        </w:tc>
        <w:tc>
          <w:tcPr>
            <w:tcW w:w="1843" w:type="dxa"/>
            <w:vAlign w:val="center"/>
          </w:tcPr>
          <w:p w14:paraId="02173915">
            <w:pPr>
              <w:snapToGrid w:val="0"/>
              <w:spacing w:line="360" w:lineRule="auto"/>
              <w:ind w:firstLine="0" w:firstLineChars="0"/>
              <w:jc w:val="center"/>
              <w:rPr>
                <w:rFonts w:hint="eastAsia" w:ascii="宋体" w:hAnsi="宋体" w:eastAsia="宋体" w:cs="宋体"/>
                <w:color w:val="auto"/>
                <w:sz w:val="21"/>
                <w:szCs w:val="21"/>
                <w:highlight w:val="none"/>
              </w:rPr>
            </w:pPr>
          </w:p>
        </w:tc>
        <w:tc>
          <w:tcPr>
            <w:tcW w:w="3260" w:type="dxa"/>
            <w:vAlign w:val="center"/>
          </w:tcPr>
          <w:p w14:paraId="243E9DE6">
            <w:pPr>
              <w:snapToGrid w:val="0"/>
              <w:spacing w:line="360" w:lineRule="auto"/>
              <w:ind w:firstLine="0" w:firstLineChars="0"/>
              <w:jc w:val="center"/>
              <w:rPr>
                <w:rFonts w:hint="eastAsia" w:ascii="宋体" w:hAnsi="宋体" w:eastAsia="宋体" w:cs="宋体"/>
                <w:color w:val="auto"/>
                <w:sz w:val="21"/>
                <w:szCs w:val="21"/>
                <w:highlight w:val="none"/>
              </w:rPr>
            </w:pPr>
          </w:p>
        </w:tc>
      </w:tr>
      <w:tr w14:paraId="6F9C5B6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24" w:type="dxa"/>
            <w:vAlign w:val="center"/>
          </w:tcPr>
          <w:p w14:paraId="438BAD05">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268" w:type="dxa"/>
            <w:vAlign w:val="center"/>
          </w:tcPr>
          <w:p w14:paraId="3E9899F3">
            <w:pPr>
              <w:snapToGrid w:val="0"/>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安全员</w:t>
            </w:r>
          </w:p>
        </w:tc>
        <w:tc>
          <w:tcPr>
            <w:tcW w:w="1843" w:type="dxa"/>
            <w:vAlign w:val="center"/>
          </w:tcPr>
          <w:p w14:paraId="0568C5C4">
            <w:pPr>
              <w:snapToGrid w:val="0"/>
              <w:spacing w:line="360" w:lineRule="auto"/>
              <w:ind w:firstLine="0" w:firstLineChars="0"/>
              <w:jc w:val="center"/>
              <w:rPr>
                <w:rFonts w:hint="eastAsia" w:ascii="宋体" w:hAnsi="宋体" w:eastAsia="宋体" w:cs="宋体"/>
                <w:color w:val="auto"/>
                <w:sz w:val="21"/>
                <w:szCs w:val="21"/>
                <w:highlight w:val="none"/>
              </w:rPr>
            </w:pPr>
          </w:p>
        </w:tc>
        <w:tc>
          <w:tcPr>
            <w:tcW w:w="3260" w:type="dxa"/>
            <w:vAlign w:val="center"/>
          </w:tcPr>
          <w:p w14:paraId="127FA7D1">
            <w:pPr>
              <w:snapToGrid w:val="0"/>
              <w:spacing w:line="360" w:lineRule="auto"/>
              <w:ind w:firstLine="0" w:firstLineChars="0"/>
              <w:jc w:val="center"/>
              <w:rPr>
                <w:rFonts w:hint="eastAsia" w:ascii="宋体" w:hAnsi="宋体" w:eastAsia="宋体" w:cs="宋体"/>
                <w:color w:val="auto"/>
                <w:sz w:val="21"/>
                <w:szCs w:val="21"/>
                <w:highlight w:val="none"/>
              </w:rPr>
            </w:pPr>
          </w:p>
        </w:tc>
      </w:tr>
      <w:tr w14:paraId="10A431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24" w:type="dxa"/>
            <w:vAlign w:val="center"/>
          </w:tcPr>
          <w:p w14:paraId="23ACFF0A">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268" w:type="dxa"/>
            <w:vAlign w:val="center"/>
          </w:tcPr>
          <w:p w14:paraId="5C75BE8C">
            <w:pPr>
              <w:snapToGrid w:val="0"/>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电焊工</w:t>
            </w:r>
          </w:p>
        </w:tc>
        <w:tc>
          <w:tcPr>
            <w:tcW w:w="1843" w:type="dxa"/>
            <w:vAlign w:val="center"/>
          </w:tcPr>
          <w:p w14:paraId="0CB2483D">
            <w:pPr>
              <w:snapToGrid w:val="0"/>
              <w:spacing w:line="360" w:lineRule="auto"/>
              <w:ind w:firstLine="0" w:firstLineChars="0"/>
              <w:jc w:val="center"/>
              <w:rPr>
                <w:rFonts w:hint="eastAsia" w:ascii="宋体" w:hAnsi="宋体" w:eastAsia="宋体" w:cs="宋体"/>
                <w:color w:val="auto"/>
                <w:sz w:val="21"/>
                <w:szCs w:val="21"/>
                <w:highlight w:val="none"/>
              </w:rPr>
            </w:pPr>
          </w:p>
        </w:tc>
        <w:tc>
          <w:tcPr>
            <w:tcW w:w="3260" w:type="dxa"/>
            <w:vAlign w:val="center"/>
          </w:tcPr>
          <w:p w14:paraId="4DDF4DD6">
            <w:pPr>
              <w:snapToGrid w:val="0"/>
              <w:spacing w:line="360" w:lineRule="auto"/>
              <w:ind w:firstLine="0" w:firstLineChars="0"/>
              <w:jc w:val="center"/>
              <w:rPr>
                <w:rFonts w:hint="eastAsia" w:ascii="宋体" w:hAnsi="宋体" w:eastAsia="宋体" w:cs="宋体"/>
                <w:color w:val="auto"/>
                <w:sz w:val="21"/>
                <w:szCs w:val="21"/>
                <w:highlight w:val="none"/>
              </w:rPr>
            </w:pPr>
          </w:p>
        </w:tc>
      </w:tr>
    </w:tbl>
    <w:p w14:paraId="4518A281">
      <w:pPr>
        <w:snapToGrid w:val="0"/>
        <w:spacing w:line="360" w:lineRule="auto"/>
        <w:ind w:firstLine="1224" w:firstLineChars="58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表四：工、器具资源</w:t>
      </w:r>
    </w:p>
    <w:tbl>
      <w:tblPr>
        <w:tblStyle w:val="36"/>
        <w:tblW w:w="8497" w:type="dxa"/>
        <w:jc w:val="center"/>
        <w:tblLayout w:type="fixed"/>
        <w:tblCellMar>
          <w:top w:w="0" w:type="dxa"/>
          <w:left w:w="108" w:type="dxa"/>
          <w:bottom w:w="0" w:type="dxa"/>
          <w:right w:w="108" w:type="dxa"/>
        </w:tblCellMar>
      </w:tblPr>
      <w:tblGrid>
        <w:gridCol w:w="761"/>
        <w:gridCol w:w="1756"/>
        <w:gridCol w:w="1303"/>
        <w:gridCol w:w="708"/>
        <w:gridCol w:w="993"/>
        <w:gridCol w:w="2976"/>
      </w:tblGrid>
      <w:tr w14:paraId="185C0529">
        <w:tblPrEx>
          <w:tblCellMar>
            <w:top w:w="0" w:type="dxa"/>
            <w:left w:w="108" w:type="dxa"/>
            <w:bottom w:w="0" w:type="dxa"/>
            <w:right w:w="108" w:type="dxa"/>
          </w:tblCellMar>
        </w:tblPrEx>
        <w:trPr>
          <w:trHeight w:val="170" w:hRule="atLeast"/>
          <w:tblHeader/>
          <w:jc w:val="center"/>
        </w:trPr>
        <w:tc>
          <w:tcPr>
            <w:tcW w:w="761" w:type="dxa"/>
            <w:tcBorders>
              <w:top w:val="single" w:color="auto" w:sz="6" w:space="0"/>
              <w:left w:val="single" w:color="auto" w:sz="6" w:space="0"/>
              <w:bottom w:val="single" w:color="auto" w:sz="6" w:space="0"/>
              <w:right w:val="single" w:color="auto" w:sz="6" w:space="0"/>
            </w:tcBorders>
            <w:vAlign w:val="center"/>
          </w:tcPr>
          <w:p w14:paraId="155EC69C">
            <w:pPr>
              <w:snapToGrid w:val="0"/>
              <w:spacing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zh-CN"/>
              </w:rPr>
              <w:t>序号</w:t>
            </w:r>
          </w:p>
        </w:tc>
        <w:tc>
          <w:tcPr>
            <w:tcW w:w="1756" w:type="dxa"/>
            <w:tcBorders>
              <w:top w:val="single" w:color="auto" w:sz="6" w:space="0"/>
              <w:left w:val="single" w:color="auto" w:sz="6" w:space="0"/>
              <w:bottom w:val="single" w:color="auto" w:sz="6" w:space="0"/>
              <w:right w:val="single" w:color="auto" w:sz="6" w:space="0"/>
            </w:tcBorders>
            <w:vAlign w:val="center"/>
          </w:tcPr>
          <w:p w14:paraId="19028362">
            <w:pPr>
              <w:snapToGrid w:val="0"/>
              <w:spacing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zh-CN"/>
              </w:rPr>
              <w:t>名称</w:t>
            </w:r>
          </w:p>
        </w:tc>
        <w:tc>
          <w:tcPr>
            <w:tcW w:w="1303" w:type="dxa"/>
            <w:tcBorders>
              <w:top w:val="single" w:color="auto" w:sz="6" w:space="0"/>
              <w:left w:val="single" w:color="auto" w:sz="6" w:space="0"/>
              <w:bottom w:val="single" w:color="auto" w:sz="6" w:space="0"/>
              <w:right w:val="single" w:color="auto" w:sz="6" w:space="0"/>
            </w:tcBorders>
            <w:vAlign w:val="center"/>
          </w:tcPr>
          <w:p w14:paraId="2E1A2642">
            <w:pPr>
              <w:snapToGrid w:val="0"/>
              <w:spacing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zh-CN"/>
              </w:rPr>
              <w:t>规格型号</w:t>
            </w:r>
          </w:p>
        </w:tc>
        <w:tc>
          <w:tcPr>
            <w:tcW w:w="708" w:type="dxa"/>
            <w:tcBorders>
              <w:top w:val="single" w:color="auto" w:sz="6" w:space="0"/>
              <w:left w:val="single" w:color="auto" w:sz="6" w:space="0"/>
              <w:bottom w:val="single" w:color="auto" w:sz="6" w:space="0"/>
              <w:right w:val="single" w:color="auto" w:sz="6" w:space="0"/>
            </w:tcBorders>
            <w:vAlign w:val="center"/>
          </w:tcPr>
          <w:p w14:paraId="2D81CFE2">
            <w:pPr>
              <w:snapToGrid w:val="0"/>
              <w:spacing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zh-CN"/>
              </w:rPr>
              <w:t>单位</w:t>
            </w:r>
          </w:p>
        </w:tc>
        <w:tc>
          <w:tcPr>
            <w:tcW w:w="993" w:type="dxa"/>
            <w:tcBorders>
              <w:top w:val="single" w:color="auto" w:sz="6" w:space="0"/>
              <w:left w:val="single" w:color="auto" w:sz="6" w:space="0"/>
              <w:bottom w:val="single" w:color="auto" w:sz="6" w:space="0"/>
              <w:right w:val="single" w:color="auto" w:sz="6" w:space="0"/>
            </w:tcBorders>
            <w:vAlign w:val="center"/>
          </w:tcPr>
          <w:p w14:paraId="752059A1">
            <w:pPr>
              <w:snapToGrid w:val="0"/>
              <w:spacing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zh-CN"/>
              </w:rPr>
              <w:t>数量</w:t>
            </w:r>
          </w:p>
        </w:tc>
        <w:tc>
          <w:tcPr>
            <w:tcW w:w="2976" w:type="dxa"/>
            <w:tcBorders>
              <w:top w:val="single" w:color="auto" w:sz="6" w:space="0"/>
              <w:left w:val="single" w:color="auto" w:sz="6" w:space="0"/>
              <w:bottom w:val="single" w:color="auto" w:sz="6" w:space="0"/>
              <w:right w:val="single" w:color="auto" w:sz="6" w:space="0"/>
            </w:tcBorders>
            <w:vAlign w:val="center"/>
          </w:tcPr>
          <w:p w14:paraId="010A364D">
            <w:pPr>
              <w:snapToGrid w:val="0"/>
              <w:spacing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zh-CN"/>
              </w:rPr>
              <w:t>要求</w:t>
            </w:r>
          </w:p>
        </w:tc>
      </w:tr>
      <w:tr w14:paraId="4B4B1DA5">
        <w:tblPrEx>
          <w:tblCellMar>
            <w:top w:w="0" w:type="dxa"/>
            <w:left w:w="108" w:type="dxa"/>
            <w:bottom w:w="0" w:type="dxa"/>
            <w:right w:w="108" w:type="dxa"/>
          </w:tblCellMar>
        </w:tblPrEx>
        <w:trPr>
          <w:trHeight w:val="170" w:hRule="atLeast"/>
          <w:jc w:val="center"/>
        </w:trPr>
        <w:tc>
          <w:tcPr>
            <w:tcW w:w="761" w:type="dxa"/>
            <w:tcBorders>
              <w:top w:val="single" w:color="auto" w:sz="6" w:space="0"/>
              <w:left w:val="single" w:color="auto" w:sz="6" w:space="0"/>
              <w:bottom w:val="single" w:color="auto" w:sz="6" w:space="0"/>
              <w:right w:val="single" w:color="auto" w:sz="6" w:space="0"/>
            </w:tcBorders>
            <w:vAlign w:val="center"/>
          </w:tcPr>
          <w:p w14:paraId="641F3844">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56" w:type="dxa"/>
            <w:tcBorders>
              <w:top w:val="single" w:color="auto" w:sz="6" w:space="0"/>
              <w:left w:val="single" w:color="auto" w:sz="6" w:space="0"/>
              <w:bottom w:val="single" w:color="auto" w:sz="6" w:space="0"/>
              <w:right w:val="single" w:color="auto" w:sz="6" w:space="0"/>
            </w:tcBorders>
            <w:vAlign w:val="center"/>
          </w:tcPr>
          <w:p w14:paraId="585CA27A">
            <w:pPr>
              <w:snapToGrid w:val="0"/>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气割</w:t>
            </w:r>
          </w:p>
        </w:tc>
        <w:tc>
          <w:tcPr>
            <w:tcW w:w="1303" w:type="dxa"/>
            <w:tcBorders>
              <w:top w:val="single" w:color="auto" w:sz="6" w:space="0"/>
              <w:left w:val="single" w:color="auto" w:sz="6" w:space="0"/>
              <w:bottom w:val="single" w:color="auto" w:sz="6" w:space="0"/>
              <w:right w:val="single" w:color="auto" w:sz="6" w:space="0"/>
            </w:tcBorders>
            <w:vAlign w:val="center"/>
          </w:tcPr>
          <w:p w14:paraId="7951EE18">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08" w:type="dxa"/>
            <w:tcBorders>
              <w:top w:val="single" w:color="auto" w:sz="6" w:space="0"/>
              <w:left w:val="single" w:color="auto" w:sz="6" w:space="0"/>
              <w:bottom w:val="single" w:color="auto" w:sz="6" w:space="0"/>
              <w:right w:val="single" w:color="auto" w:sz="6" w:space="0"/>
            </w:tcBorders>
            <w:vAlign w:val="center"/>
          </w:tcPr>
          <w:p w14:paraId="5D51F941">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套</w:t>
            </w:r>
          </w:p>
        </w:tc>
        <w:tc>
          <w:tcPr>
            <w:tcW w:w="993" w:type="dxa"/>
            <w:tcBorders>
              <w:top w:val="single" w:color="auto" w:sz="6" w:space="0"/>
              <w:left w:val="single" w:color="auto" w:sz="6" w:space="0"/>
              <w:bottom w:val="single" w:color="auto" w:sz="6" w:space="0"/>
              <w:right w:val="single" w:color="auto" w:sz="6" w:space="0"/>
            </w:tcBorders>
            <w:vAlign w:val="center"/>
          </w:tcPr>
          <w:p w14:paraId="3B8C7CAD">
            <w:pPr>
              <w:snapToGrid w:val="0"/>
              <w:spacing w:line="360" w:lineRule="auto"/>
              <w:ind w:firstLine="0" w:firstLineChars="0"/>
              <w:jc w:val="center"/>
              <w:rPr>
                <w:rFonts w:hint="eastAsia" w:ascii="宋体" w:hAnsi="宋体" w:eastAsia="宋体" w:cs="宋体"/>
                <w:color w:val="auto"/>
                <w:sz w:val="21"/>
                <w:szCs w:val="21"/>
                <w:highlight w:val="none"/>
              </w:rPr>
            </w:pPr>
          </w:p>
        </w:tc>
        <w:tc>
          <w:tcPr>
            <w:tcW w:w="2976" w:type="dxa"/>
            <w:tcBorders>
              <w:top w:val="single" w:color="auto" w:sz="6" w:space="0"/>
              <w:left w:val="single" w:color="auto" w:sz="6" w:space="0"/>
              <w:bottom w:val="single" w:color="auto" w:sz="6" w:space="0"/>
              <w:right w:val="single" w:color="auto" w:sz="6" w:space="0"/>
            </w:tcBorders>
            <w:vAlign w:val="center"/>
          </w:tcPr>
          <w:p w14:paraId="2949F72D">
            <w:pPr>
              <w:snapToGrid w:val="0"/>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检查合格</w:t>
            </w:r>
          </w:p>
        </w:tc>
      </w:tr>
      <w:tr w14:paraId="0FA8C638">
        <w:tblPrEx>
          <w:tblCellMar>
            <w:top w:w="0" w:type="dxa"/>
            <w:left w:w="108" w:type="dxa"/>
            <w:bottom w:w="0" w:type="dxa"/>
            <w:right w:w="108" w:type="dxa"/>
          </w:tblCellMar>
        </w:tblPrEx>
        <w:trPr>
          <w:trHeight w:val="170" w:hRule="atLeast"/>
          <w:jc w:val="center"/>
        </w:trPr>
        <w:tc>
          <w:tcPr>
            <w:tcW w:w="761" w:type="dxa"/>
            <w:tcBorders>
              <w:top w:val="single" w:color="auto" w:sz="6" w:space="0"/>
              <w:left w:val="single" w:color="auto" w:sz="6" w:space="0"/>
              <w:bottom w:val="single" w:color="auto" w:sz="6" w:space="0"/>
              <w:right w:val="single" w:color="auto" w:sz="6" w:space="0"/>
            </w:tcBorders>
            <w:vAlign w:val="center"/>
          </w:tcPr>
          <w:p w14:paraId="4C644B84">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756" w:type="dxa"/>
            <w:tcBorders>
              <w:top w:val="single" w:color="auto" w:sz="6" w:space="0"/>
              <w:left w:val="single" w:color="auto" w:sz="6" w:space="0"/>
              <w:bottom w:val="single" w:color="auto" w:sz="6" w:space="0"/>
              <w:right w:val="single" w:color="auto" w:sz="6" w:space="0"/>
            </w:tcBorders>
            <w:vAlign w:val="center"/>
          </w:tcPr>
          <w:p w14:paraId="629A978A">
            <w:pPr>
              <w:snapToGrid w:val="0"/>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磨光机</w:t>
            </w:r>
          </w:p>
        </w:tc>
        <w:tc>
          <w:tcPr>
            <w:tcW w:w="1303" w:type="dxa"/>
            <w:tcBorders>
              <w:top w:val="single" w:color="auto" w:sz="6" w:space="0"/>
              <w:left w:val="single" w:color="auto" w:sz="6" w:space="0"/>
              <w:bottom w:val="single" w:color="auto" w:sz="6" w:space="0"/>
              <w:right w:val="single" w:color="auto" w:sz="6" w:space="0"/>
            </w:tcBorders>
            <w:vAlign w:val="center"/>
          </w:tcPr>
          <w:p w14:paraId="522D6029">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φ100</w:t>
            </w:r>
          </w:p>
        </w:tc>
        <w:tc>
          <w:tcPr>
            <w:tcW w:w="708" w:type="dxa"/>
            <w:tcBorders>
              <w:top w:val="single" w:color="auto" w:sz="6" w:space="0"/>
              <w:left w:val="single" w:color="auto" w:sz="6" w:space="0"/>
              <w:bottom w:val="single" w:color="auto" w:sz="6" w:space="0"/>
              <w:right w:val="single" w:color="auto" w:sz="6" w:space="0"/>
            </w:tcBorders>
            <w:vAlign w:val="center"/>
          </w:tcPr>
          <w:p w14:paraId="6E30E085">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台</w:t>
            </w:r>
          </w:p>
        </w:tc>
        <w:tc>
          <w:tcPr>
            <w:tcW w:w="993" w:type="dxa"/>
            <w:tcBorders>
              <w:top w:val="single" w:color="auto" w:sz="6" w:space="0"/>
              <w:left w:val="single" w:color="auto" w:sz="6" w:space="0"/>
              <w:bottom w:val="single" w:color="auto" w:sz="6" w:space="0"/>
              <w:right w:val="single" w:color="auto" w:sz="6" w:space="0"/>
            </w:tcBorders>
            <w:vAlign w:val="center"/>
          </w:tcPr>
          <w:p w14:paraId="5820345A">
            <w:pPr>
              <w:snapToGrid w:val="0"/>
              <w:spacing w:line="360" w:lineRule="auto"/>
              <w:ind w:firstLine="0" w:firstLineChars="0"/>
              <w:jc w:val="center"/>
              <w:rPr>
                <w:rFonts w:hint="eastAsia" w:ascii="宋体" w:hAnsi="宋体" w:eastAsia="宋体" w:cs="宋体"/>
                <w:color w:val="auto"/>
                <w:sz w:val="21"/>
                <w:szCs w:val="21"/>
                <w:highlight w:val="none"/>
              </w:rPr>
            </w:pPr>
          </w:p>
        </w:tc>
        <w:tc>
          <w:tcPr>
            <w:tcW w:w="2976" w:type="dxa"/>
            <w:tcBorders>
              <w:top w:val="single" w:color="auto" w:sz="6" w:space="0"/>
              <w:left w:val="single" w:color="auto" w:sz="6" w:space="0"/>
              <w:bottom w:val="single" w:color="auto" w:sz="6" w:space="0"/>
              <w:right w:val="single" w:color="auto" w:sz="6" w:space="0"/>
            </w:tcBorders>
            <w:vAlign w:val="center"/>
          </w:tcPr>
          <w:p w14:paraId="12E4C393">
            <w:pPr>
              <w:snapToGrid w:val="0"/>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检验合格并在有效期内</w:t>
            </w:r>
          </w:p>
        </w:tc>
      </w:tr>
      <w:tr w14:paraId="27C1B891">
        <w:tblPrEx>
          <w:tblCellMar>
            <w:top w:w="0" w:type="dxa"/>
            <w:left w:w="108" w:type="dxa"/>
            <w:bottom w:w="0" w:type="dxa"/>
            <w:right w:w="108" w:type="dxa"/>
          </w:tblCellMar>
        </w:tblPrEx>
        <w:trPr>
          <w:trHeight w:val="170" w:hRule="atLeast"/>
          <w:jc w:val="center"/>
        </w:trPr>
        <w:tc>
          <w:tcPr>
            <w:tcW w:w="761" w:type="dxa"/>
            <w:tcBorders>
              <w:top w:val="single" w:color="auto" w:sz="6" w:space="0"/>
              <w:left w:val="single" w:color="auto" w:sz="6" w:space="0"/>
              <w:bottom w:val="single" w:color="auto" w:sz="6" w:space="0"/>
              <w:right w:val="single" w:color="auto" w:sz="6" w:space="0"/>
            </w:tcBorders>
            <w:vAlign w:val="center"/>
          </w:tcPr>
          <w:p w14:paraId="1E03BE11">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756" w:type="dxa"/>
            <w:tcBorders>
              <w:top w:val="single" w:color="auto" w:sz="6" w:space="0"/>
              <w:left w:val="single" w:color="auto" w:sz="6" w:space="0"/>
              <w:bottom w:val="single" w:color="auto" w:sz="6" w:space="0"/>
              <w:right w:val="single" w:color="auto" w:sz="6" w:space="0"/>
            </w:tcBorders>
            <w:vAlign w:val="center"/>
          </w:tcPr>
          <w:p w14:paraId="2EE8EBB7">
            <w:pPr>
              <w:snapToGrid w:val="0"/>
              <w:spacing w:line="360" w:lineRule="auto"/>
              <w:ind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内磨机</w:t>
            </w:r>
          </w:p>
        </w:tc>
        <w:tc>
          <w:tcPr>
            <w:tcW w:w="1303" w:type="dxa"/>
            <w:tcBorders>
              <w:top w:val="single" w:color="auto" w:sz="6" w:space="0"/>
              <w:left w:val="single" w:color="auto" w:sz="6" w:space="0"/>
              <w:bottom w:val="single" w:color="auto" w:sz="6" w:space="0"/>
              <w:right w:val="single" w:color="auto" w:sz="6" w:space="0"/>
            </w:tcBorders>
            <w:vAlign w:val="center"/>
          </w:tcPr>
          <w:p w14:paraId="5763D8B1">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08" w:type="dxa"/>
            <w:tcBorders>
              <w:top w:val="single" w:color="auto" w:sz="6" w:space="0"/>
              <w:left w:val="single" w:color="auto" w:sz="6" w:space="0"/>
              <w:bottom w:val="single" w:color="auto" w:sz="6" w:space="0"/>
              <w:right w:val="single" w:color="auto" w:sz="6" w:space="0"/>
            </w:tcBorders>
            <w:vAlign w:val="center"/>
          </w:tcPr>
          <w:p w14:paraId="00DDC29F">
            <w:pPr>
              <w:snapToGrid w:val="0"/>
              <w:spacing w:line="360" w:lineRule="auto"/>
              <w:ind w:firstLine="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台</w:t>
            </w:r>
          </w:p>
        </w:tc>
        <w:tc>
          <w:tcPr>
            <w:tcW w:w="993" w:type="dxa"/>
            <w:tcBorders>
              <w:top w:val="single" w:color="auto" w:sz="6" w:space="0"/>
              <w:left w:val="single" w:color="auto" w:sz="6" w:space="0"/>
              <w:bottom w:val="single" w:color="auto" w:sz="6" w:space="0"/>
              <w:right w:val="single" w:color="auto" w:sz="6" w:space="0"/>
            </w:tcBorders>
            <w:vAlign w:val="center"/>
          </w:tcPr>
          <w:p w14:paraId="635FE721">
            <w:pPr>
              <w:snapToGrid w:val="0"/>
              <w:spacing w:line="360" w:lineRule="auto"/>
              <w:ind w:firstLine="0" w:firstLineChars="0"/>
              <w:jc w:val="center"/>
              <w:rPr>
                <w:rFonts w:hint="eastAsia" w:ascii="宋体" w:hAnsi="宋体" w:eastAsia="宋体" w:cs="宋体"/>
                <w:color w:val="auto"/>
                <w:sz w:val="21"/>
                <w:szCs w:val="21"/>
                <w:highlight w:val="none"/>
              </w:rPr>
            </w:pPr>
          </w:p>
        </w:tc>
        <w:tc>
          <w:tcPr>
            <w:tcW w:w="2976" w:type="dxa"/>
            <w:tcBorders>
              <w:top w:val="single" w:color="auto" w:sz="6" w:space="0"/>
              <w:left w:val="single" w:color="auto" w:sz="6" w:space="0"/>
              <w:bottom w:val="single" w:color="auto" w:sz="6" w:space="0"/>
              <w:right w:val="single" w:color="auto" w:sz="6" w:space="0"/>
            </w:tcBorders>
            <w:vAlign w:val="center"/>
          </w:tcPr>
          <w:p w14:paraId="4535D06E">
            <w:pPr>
              <w:snapToGrid w:val="0"/>
              <w:spacing w:line="360" w:lineRule="auto"/>
              <w:ind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检验合格并在有效期内</w:t>
            </w:r>
          </w:p>
        </w:tc>
      </w:tr>
      <w:tr w14:paraId="2B408119">
        <w:tblPrEx>
          <w:tblCellMar>
            <w:top w:w="0" w:type="dxa"/>
            <w:left w:w="108" w:type="dxa"/>
            <w:bottom w:w="0" w:type="dxa"/>
            <w:right w:w="108" w:type="dxa"/>
          </w:tblCellMar>
        </w:tblPrEx>
        <w:trPr>
          <w:trHeight w:val="170" w:hRule="atLeast"/>
          <w:jc w:val="center"/>
        </w:trPr>
        <w:tc>
          <w:tcPr>
            <w:tcW w:w="761" w:type="dxa"/>
            <w:tcBorders>
              <w:top w:val="single" w:color="auto" w:sz="6" w:space="0"/>
              <w:left w:val="single" w:color="auto" w:sz="6" w:space="0"/>
              <w:bottom w:val="single" w:color="auto" w:sz="6" w:space="0"/>
              <w:right w:val="single" w:color="auto" w:sz="6" w:space="0"/>
            </w:tcBorders>
            <w:vAlign w:val="center"/>
          </w:tcPr>
          <w:p w14:paraId="4775D4D1">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756" w:type="dxa"/>
            <w:tcBorders>
              <w:top w:val="single" w:color="auto" w:sz="6" w:space="0"/>
              <w:left w:val="single" w:color="auto" w:sz="6" w:space="0"/>
              <w:bottom w:val="single" w:color="auto" w:sz="6" w:space="0"/>
              <w:right w:val="single" w:color="auto" w:sz="6" w:space="0"/>
            </w:tcBorders>
            <w:vAlign w:val="center"/>
          </w:tcPr>
          <w:p w14:paraId="54C9B479">
            <w:pPr>
              <w:snapToGrid w:val="0"/>
              <w:spacing w:line="360" w:lineRule="auto"/>
              <w:ind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对口钳</w:t>
            </w:r>
          </w:p>
        </w:tc>
        <w:tc>
          <w:tcPr>
            <w:tcW w:w="1303" w:type="dxa"/>
            <w:tcBorders>
              <w:top w:val="single" w:color="auto" w:sz="6" w:space="0"/>
              <w:left w:val="single" w:color="auto" w:sz="6" w:space="0"/>
              <w:bottom w:val="single" w:color="auto" w:sz="6" w:space="0"/>
              <w:right w:val="single" w:color="auto" w:sz="6" w:space="0"/>
            </w:tcBorders>
            <w:vAlign w:val="center"/>
          </w:tcPr>
          <w:p w14:paraId="79DB9D7E">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08" w:type="dxa"/>
            <w:tcBorders>
              <w:top w:val="single" w:color="auto" w:sz="6" w:space="0"/>
              <w:left w:val="single" w:color="auto" w:sz="6" w:space="0"/>
              <w:bottom w:val="single" w:color="auto" w:sz="6" w:space="0"/>
              <w:right w:val="single" w:color="auto" w:sz="6" w:space="0"/>
            </w:tcBorders>
            <w:vAlign w:val="center"/>
          </w:tcPr>
          <w:p w14:paraId="7C66F887">
            <w:pPr>
              <w:snapToGrid w:val="0"/>
              <w:spacing w:line="360" w:lineRule="auto"/>
              <w:ind w:firstLine="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把</w:t>
            </w:r>
          </w:p>
        </w:tc>
        <w:tc>
          <w:tcPr>
            <w:tcW w:w="993" w:type="dxa"/>
            <w:tcBorders>
              <w:top w:val="single" w:color="auto" w:sz="6" w:space="0"/>
              <w:left w:val="single" w:color="auto" w:sz="6" w:space="0"/>
              <w:bottom w:val="single" w:color="auto" w:sz="6" w:space="0"/>
              <w:right w:val="single" w:color="auto" w:sz="6" w:space="0"/>
            </w:tcBorders>
            <w:vAlign w:val="center"/>
          </w:tcPr>
          <w:p w14:paraId="5E931A47">
            <w:pPr>
              <w:snapToGrid w:val="0"/>
              <w:spacing w:line="360" w:lineRule="auto"/>
              <w:ind w:firstLine="0" w:firstLineChars="0"/>
              <w:jc w:val="center"/>
              <w:rPr>
                <w:rFonts w:hint="eastAsia" w:ascii="宋体" w:hAnsi="宋体" w:eastAsia="宋体" w:cs="宋体"/>
                <w:color w:val="auto"/>
                <w:sz w:val="21"/>
                <w:szCs w:val="21"/>
                <w:highlight w:val="none"/>
              </w:rPr>
            </w:pPr>
          </w:p>
        </w:tc>
        <w:tc>
          <w:tcPr>
            <w:tcW w:w="2976" w:type="dxa"/>
            <w:tcBorders>
              <w:top w:val="single" w:color="auto" w:sz="6" w:space="0"/>
              <w:left w:val="single" w:color="auto" w:sz="6" w:space="0"/>
              <w:bottom w:val="single" w:color="auto" w:sz="6" w:space="0"/>
              <w:right w:val="single" w:color="auto" w:sz="6" w:space="0"/>
            </w:tcBorders>
            <w:vAlign w:val="center"/>
          </w:tcPr>
          <w:p w14:paraId="4A25D5C9">
            <w:pPr>
              <w:snapToGrid w:val="0"/>
              <w:spacing w:line="360" w:lineRule="auto"/>
              <w:ind w:firstLine="0" w:firstLineChars="0"/>
              <w:rPr>
                <w:rFonts w:hint="eastAsia" w:ascii="宋体" w:hAnsi="宋体" w:eastAsia="宋体" w:cs="宋体"/>
                <w:color w:val="auto"/>
                <w:sz w:val="21"/>
                <w:szCs w:val="21"/>
                <w:highlight w:val="none"/>
                <w:lang w:val="zh-CN"/>
              </w:rPr>
            </w:pPr>
          </w:p>
        </w:tc>
      </w:tr>
      <w:tr w14:paraId="160CB87C">
        <w:tblPrEx>
          <w:tblCellMar>
            <w:top w:w="0" w:type="dxa"/>
            <w:left w:w="108" w:type="dxa"/>
            <w:bottom w:w="0" w:type="dxa"/>
            <w:right w:w="108" w:type="dxa"/>
          </w:tblCellMar>
        </w:tblPrEx>
        <w:trPr>
          <w:trHeight w:val="170" w:hRule="atLeast"/>
          <w:jc w:val="center"/>
        </w:trPr>
        <w:tc>
          <w:tcPr>
            <w:tcW w:w="761" w:type="dxa"/>
            <w:tcBorders>
              <w:top w:val="single" w:color="auto" w:sz="6" w:space="0"/>
              <w:left w:val="single" w:color="auto" w:sz="6" w:space="0"/>
              <w:bottom w:val="single" w:color="auto" w:sz="6" w:space="0"/>
              <w:right w:val="single" w:color="auto" w:sz="6" w:space="0"/>
            </w:tcBorders>
            <w:vAlign w:val="center"/>
          </w:tcPr>
          <w:p w14:paraId="3948D6AA">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756" w:type="dxa"/>
            <w:tcBorders>
              <w:top w:val="single" w:color="auto" w:sz="6" w:space="0"/>
              <w:left w:val="single" w:color="auto" w:sz="6" w:space="0"/>
              <w:bottom w:val="single" w:color="auto" w:sz="6" w:space="0"/>
              <w:right w:val="single" w:color="auto" w:sz="6" w:space="0"/>
            </w:tcBorders>
            <w:vAlign w:val="center"/>
          </w:tcPr>
          <w:p w14:paraId="678A252F">
            <w:pPr>
              <w:snapToGrid w:val="0"/>
              <w:spacing w:line="360" w:lineRule="auto"/>
              <w:ind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直流焊机</w:t>
            </w:r>
          </w:p>
        </w:tc>
        <w:tc>
          <w:tcPr>
            <w:tcW w:w="1303" w:type="dxa"/>
            <w:tcBorders>
              <w:top w:val="single" w:color="auto" w:sz="6" w:space="0"/>
              <w:left w:val="single" w:color="auto" w:sz="6" w:space="0"/>
              <w:bottom w:val="single" w:color="auto" w:sz="6" w:space="0"/>
              <w:right w:val="single" w:color="auto" w:sz="6" w:space="0"/>
            </w:tcBorders>
            <w:vAlign w:val="center"/>
          </w:tcPr>
          <w:p w14:paraId="6021D88A">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400</w:t>
            </w:r>
          </w:p>
        </w:tc>
        <w:tc>
          <w:tcPr>
            <w:tcW w:w="708" w:type="dxa"/>
            <w:tcBorders>
              <w:top w:val="single" w:color="auto" w:sz="6" w:space="0"/>
              <w:left w:val="single" w:color="auto" w:sz="6" w:space="0"/>
              <w:bottom w:val="single" w:color="auto" w:sz="6" w:space="0"/>
              <w:right w:val="single" w:color="auto" w:sz="6" w:space="0"/>
            </w:tcBorders>
            <w:vAlign w:val="center"/>
          </w:tcPr>
          <w:p w14:paraId="48CF29F5">
            <w:pPr>
              <w:snapToGrid w:val="0"/>
              <w:spacing w:line="360" w:lineRule="auto"/>
              <w:ind w:firstLine="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台</w:t>
            </w:r>
          </w:p>
        </w:tc>
        <w:tc>
          <w:tcPr>
            <w:tcW w:w="993" w:type="dxa"/>
            <w:tcBorders>
              <w:top w:val="single" w:color="auto" w:sz="6" w:space="0"/>
              <w:left w:val="single" w:color="auto" w:sz="6" w:space="0"/>
              <w:bottom w:val="single" w:color="auto" w:sz="6" w:space="0"/>
              <w:right w:val="single" w:color="auto" w:sz="6" w:space="0"/>
            </w:tcBorders>
            <w:vAlign w:val="center"/>
          </w:tcPr>
          <w:p w14:paraId="76EEB235">
            <w:pPr>
              <w:snapToGrid w:val="0"/>
              <w:spacing w:line="360" w:lineRule="auto"/>
              <w:ind w:firstLine="0" w:firstLineChars="0"/>
              <w:jc w:val="center"/>
              <w:rPr>
                <w:rFonts w:hint="eastAsia" w:ascii="宋体" w:hAnsi="宋体" w:eastAsia="宋体" w:cs="宋体"/>
                <w:color w:val="auto"/>
                <w:sz w:val="21"/>
                <w:szCs w:val="21"/>
                <w:highlight w:val="none"/>
              </w:rPr>
            </w:pPr>
          </w:p>
        </w:tc>
        <w:tc>
          <w:tcPr>
            <w:tcW w:w="2976" w:type="dxa"/>
            <w:tcBorders>
              <w:top w:val="single" w:color="auto" w:sz="6" w:space="0"/>
              <w:left w:val="single" w:color="auto" w:sz="6" w:space="0"/>
              <w:bottom w:val="single" w:color="auto" w:sz="6" w:space="0"/>
              <w:right w:val="single" w:color="auto" w:sz="6" w:space="0"/>
            </w:tcBorders>
            <w:vAlign w:val="center"/>
          </w:tcPr>
          <w:p w14:paraId="0882586D">
            <w:pPr>
              <w:snapToGrid w:val="0"/>
              <w:spacing w:line="360" w:lineRule="auto"/>
              <w:ind w:firstLine="0" w:firstLineChars="0"/>
              <w:rPr>
                <w:rFonts w:hint="eastAsia" w:ascii="宋体" w:hAnsi="宋体" w:eastAsia="宋体" w:cs="宋体"/>
                <w:color w:val="auto"/>
                <w:sz w:val="21"/>
                <w:szCs w:val="21"/>
                <w:highlight w:val="none"/>
              </w:rPr>
            </w:pPr>
          </w:p>
        </w:tc>
      </w:tr>
      <w:tr w14:paraId="3091303D">
        <w:tblPrEx>
          <w:tblCellMar>
            <w:top w:w="0" w:type="dxa"/>
            <w:left w:w="108" w:type="dxa"/>
            <w:bottom w:w="0" w:type="dxa"/>
            <w:right w:w="108" w:type="dxa"/>
          </w:tblCellMar>
        </w:tblPrEx>
        <w:trPr>
          <w:trHeight w:val="170" w:hRule="atLeast"/>
          <w:jc w:val="center"/>
        </w:trPr>
        <w:tc>
          <w:tcPr>
            <w:tcW w:w="761" w:type="dxa"/>
            <w:tcBorders>
              <w:top w:val="single" w:color="auto" w:sz="6" w:space="0"/>
              <w:left w:val="single" w:color="auto" w:sz="6" w:space="0"/>
              <w:bottom w:val="single" w:color="auto" w:sz="6" w:space="0"/>
              <w:right w:val="single" w:color="auto" w:sz="6" w:space="0"/>
            </w:tcBorders>
            <w:vAlign w:val="center"/>
          </w:tcPr>
          <w:p w14:paraId="44E30887">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756" w:type="dxa"/>
            <w:tcBorders>
              <w:top w:val="single" w:color="auto" w:sz="6" w:space="0"/>
              <w:left w:val="single" w:color="auto" w:sz="6" w:space="0"/>
              <w:bottom w:val="single" w:color="auto" w:sz="6" w:space="0"/>
              <w:right w:val="single" w:color="auto" w:sz="6" w:space="0"/>
            </w:tcBorders>
            <w:vAlign w:val="center"/>
          </w:tcPr>
          <w:p w14:paraId="7044CC6F">
            <w:pPr>
              <w:snapToGrid w:val="0"/>
              <w:spacing w:line="360" w:lineRule="auto"/>
              <w:ind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氩弧焊把</w:t>
            </w:r>
          </w:p>
        </w:tc>
        <w:tc>
          <w:tcPr>
            <w:tcW w:w="1303" w:type="dxa"/>
            <w:tcBorders>
              <w:top w:val="single" w:color="auto" w:sz="6" w:space="0"/>
              <w:left w:val="single" w:color="auto" w:sz="6" w:space="0"/>
              <w:bottom w:val="single" w:color="auto" w:sz="6" w:space="0"/>
              <w:right w:val="single" w:color="auto" w:sz="6" w:space="0"/>
            </w:tcBorders>
            <w:vAlign w:val="center"/>
          </w:tcPr>
          <w:p w14:paraId="25B40EA6">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150A</w:t>
            </w:r>
          </w:p>
        </w:tc>
        <w:tc>
          <w:tcPr>
            <w:tcW w:w="708" w:type="dxa"/>
            <w:tcBorders>
              <w:top w:val="single" w:color="auto" w:sz="6" w:space="0"/>
              <w:left w:val="single" w:color="auto" w:sz="6" w:space="0"/>
              <w:bottom w:val="single" w:color="auto" w:sz="6" w:space="0"/>
              <w:right w:val="single" w:color="auto" w:sz="6" w:space="0"/>
            </w:tcBorders>
            <w:vAlign w:val="center"/>
          </w:tcPr>
          <w:p w14:paraId="75EA40AA">
            <w:pPr>
              <w:snapToGrid w:val="0"/>
              <w:spacing w:line="360" w:lineRule="auto"/>
              <w:ind w:firstLine="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套</w:t>
            </w:r>
          </w:p>
        </w:tc>
        <w:tc>
          <w:tcPr>
            <w:tcW w:w="993" w:type="dxa"/>
            <w:tcBorders>
              <w:top w:val="single" w:color="auto" w:sz="6" w:space="0"/>
              <w:left w:val="single" w:color="auto" w:sz="6" w:space="0"/>
              <w:bottom w:val="single" w:color="auto" w:sz="6" w:space="0"/>
              <w:right w:val="single" w:color="auto" w:sz="6" w:space="0"/>
            </w:tcBorders>
            <w:vAlign w:val="center"/>
          </w:tcPr>
          <w:p w14:paraId="048F44A7">
            <w:pPr>
              <w:snapToGrid w:val="0"/>
              <w:spacing w:line="360" w:lineRule="auto"/>
              <w:ind w:firstLine="0" w:firstLineChars="0"/>
              <w:jc w:val="center"/>
              <w:rPr>
                <w:rFonts w:hint="eastAsia" w:ascii="宋体" w:hAnsi="宋体" w:eastAsia="宋体" w:cs="宋体"/>
                <w:color w:val="auto"/>
                <w:sz w:val="21"/>
                <w:szCs w:val="21"/>
                <w:highlight w:val="none"/>
              </w:rPr>
            </w:pPr>
          </w:p>
        </w:tc>
        <w:tc>
          <w:tcPr>
            <w:tcW w:w="2976" w:type="dxa"/>
            <w:tcBorders>
              <w:top w:val="single" w:color="auto" w:sz="6" w:space="0"/>
              <w:left w:val="single" w:color="auto" w:sz="6" w:space="0"/>
              <w:bottom w:val="single" w:color="auto" w:sz="6" w:space="0"/>
              <w:right w:val="single" w:color="auto" w:sz="6" w:space="0"/>
            </w:tcBorders>
            <w:vAlign w:val="center"/>
          </w:tcPr>
          <w:p w14:paraId="19F115BA">
            <w:pPr>
              <w:snapToGrid w:val="0"/>
              <w:spacing w:line="360" w:lineRule="auto"/>
              <w:ind w:firstLine="0" w:firstLineChars="0"/>
              <w:rPr>
                <w:rFonts w:hint="eastAsia" w:ascii="宋体" w:hAnsi="宋体" w:eastAsia="宋体" w:cs="宋体"/>
                <w:color w:val="auto"/>
                <w:sz w:val="21"/>
                <w:szCs w:val="21"/>
                <w:highlight w:val="none"/>
              </w:rPr>
            </w:pPr>
          </w:p>
        </w:tc>
      </w:tr>
      <w:tr w14:paraId="58474BE0">
        <w:tblPrEx>
          <w:tblCellMar>
            <w:top w:w="0" w:type="dxa"/>
            <w:left w:w="108" w:type="dxa"/>
            <w:bottom w:w="0" w:type="dxa"/>
            <w:right w:w="108" w:type="dxa"/>
          </w:tblCellMar>
        </w:tblPrEx>
        <w:trPr>
          <w:trHeight w:val="170" w:hRule="atLeast"/>
          <w:jc w:val="center"/>
        </w:trPr>
        <w:tc>
          <w:tcPr>
            <w:tcW w:w="761" w:type="dxa"/>
            <w:tcBorders>
              <w:top w:val="single" w:color="auto" w:sz="6" w:space="0"/>
              <w:left w:val="single" w:color="auto" w:sz="6" w:space="0"/>
              <w:bottom w:val="single" w:color="auto" w:sz="6" w:space="0"/>
              <w:right w:val="single" w:color="auto" w:sz="6" w:space="0"/>
            </w:tcBorders>
            <w:vAlign w:val="center"/>
          </w:tcPr>
          <w:p w14:paraId="08174F0B">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756" w:type="dxa"/>
            <w:tcBorders>
              <w:top w:val="single" w:color="auto" w:sz="6" w:space="0"/>
              <w:left w:val="single" w:color="auto" w:sz="6" w:space="0"/>
              <w:bottom w:val="single" w:color="auto" w:sz="6" w:space="0"/>
              <w:right w:val="single" w:color="auto" w:sz="6" w:space="0"/>
            </w:tcBorders>
            <w:vAlign w:val="center"/>
          </w:tcPr>
          <w:p w14:paraId="383000C0">
            <w:pPr>
              <w:snapToGrid w:val="0"/>
              <w:spacing w:line="360" w:lineRule="auto"/>
              <w:ind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氩气</w:t>
            </w:r>
          </w:p>
        </w:tc>
        <w:tc>
          <w:tcPr>
            <w:tcW w:w="1303" w:type="dxa"/>
            <w:tcBorders>
              <w:top w:val="single" w:color="auto" w:sz="6" w:space="0"/>
              <w:left w:val="single" w:color="auto" w:sz="6" w:space="0"/>
              <w:bottom w:val="single" w:color="auto" w:sz="6" w:space="0"/>
              <w:right w:val="single" w:color="auto" w:sz="6" w:space="0"/>
            </w:tcBorders>
            <w:vAlign w:val="center"/>
          </w:tcPr>
          <w:p w14:paraId="0C27CFB0">
            <w:pPr>
              <w:snapToGrid w:val="0"/>
              <w:spacing w:line="360" w:lineRule="auto"/>
              <w:ind w:firstLine="0" w:firstLineChars="0"/>
              <w:jc w:val="center"/>
              <w:rPr>
                <w:rFonts w:hint="eastAsia" w:ascii="宋体" w:hAnsi="宋体" w:eastAsia="宋体" w:cs="宋体"/>
                <w:color w:val="auto"/>
                <w:sz w:val="21"/>
                <w:szCs w:val="21"/>
                <w:highlight w:val="none"/>
              </w:rPr>
            </w:pPr>
          </w:p>
        </w:tc>
        <w:tc>
          <w:tcPr>
            <w:tcW w:w="708" w:type="dxa"/>
            <w:tcBorders>
              <w:top w:val="single" w:color="auto" w:sz="6" w:space="0"/>
              <w:left w:val="single" w:color="auto" w:sz="6" w:space="0"/>
              <w:bottom w:val="single" w:color="auto" w:sz="6" w:space="0"/>
              <w:right w:val="single" w:color="auto" w:sz="6" w:space="0"/>
            </w:tcBorders>
            <w:vAlign w:val="center"/>
          </w:tcPr>
          <w:p w14:paraId="50B65E4F">
            <w:pPr>
              <w:snapToGrid w:val="0"/>
              <w:spacing w:line="360" w:lineRule="auto"/>
              <w:ind w:firstLine="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瓶</w:t>
            </w:r>
          </w:p>
        </w:tc>
        <w:tc>
          <w:tcPr>
            <w:tcW w:w="993" w:type="dxa"/>
            <w:tcBorders>
              <w:top w:val="single" w:color="auto" w:sz="6" w:space="0"/>
              <w:left w:val="single" w:color="auto" w:sz="6" w:space="0"/>
              <w:bottom w:val="single" w:color="auto" w:sz="6" w:space="0"/>
              <w:right w:val="single" w:color="auto" w:sz="6" w:space="0"/>
            </w:tcBorders>
            <w:vAlign w:val="center"/>
          </w:tcPr>
          <w:p w14:paraId="0237845B">
            <w:pPr>
              <w:snapToGrid w:val="0"/>
              <w:spacing w:line="360" w:lineRule="auto"/>
              <w:ind w:firstLine="0" w:firstLineChars="0"/>
              <w:jc w:val="center"/>
              <w:rPr>
                <w:rFonts w:hint="eastAsia" w:ascii="宋体" w:hAnsi="宋体" w:eastAsia="宋体" w:cs="宋体"/>
                <w:color w:val="auto"/>
                <w:sz w:val="21"/>
                <w:szCs w:val="21"/>
                <w:highlight w:val="none"/>
              </w:rPr>
            </w:pPr>
          </w:p>
        </w:tc>
        <w:tc>
          <w:tcPr>
            <w:tcW w:w="2976" w:type="dxa"/>
            <w:tcBorders>
              <w:top w:val="single" w:color="auto" w:sz="6" w:space="0"/>
              <w:left w:val="single" w:color="auto" w:sz="6" w:space="0"/>
              <w:bottom w:val="single" w:color="auto" w:sz="6" w:space="0"/>
              <w:right w:val="single" w:color="auto" w:sz="6" w:space="0"/>
            </w:tcBorders>
            <w:vAlign w:val="center"/>
          </w:tcPr>
          <w:p w14:paraId="79566C9A">
            <w:pPr>
              <w:snapToGrid w:val="0"/>
              <w:spacing w:line="360" w:lineRule="auto"/>
              <w:ind w:firstLine="0" w:firstLineChars="0"/>
              <w:rPr>
                <w:rFonts w:hint="eastAsia" w:ascii="宋体" w:hAnsi="宋体" w:eastAsia="宋体" w:cs="宋体"/>
                <w:color w:val="auto"/>
                <w:sz w:val="21"/>
                <w:szCs w:val="21"/>
                <w:highlight w:val="none"/>
              </w:rPr>
            </w:pPr>
          </w:p>
        </w:tc>
      </w:tr>
      <w:tr w14:paraId="4878C5CD">
        <w:tblPrEx>
          <w:tblCellMar>
            <w:top w:w="0" w:type="dxa"/>
            <w:left w:w="108" w:type="dxa"/>
            <w:bottom w:w="0" w:type="dxa"/>
            <w:right w:w="108" w:type="dxa"/>
          </w:tblCellMar>
        </w:tblPrEx>
        <w:trPr>
          <w:trHeight w:val="170" w:hRule="atLeast"/>
          <w:jc w:val="center"/>
        </w:trPr>
        <w:tc>
          <w:tcPr>
            <w:tcW w:w="761" w:type="dxa"/>
            <w:tcBorders>
              <w:top w:val="single" w:color="auto" w:sz="6" w:space="0"/>
              <w:left w:val="single" w:color="auto" w:sz="6" w:space="0"/>
              <w:bottom w:val="single" w:color="auto" w:sz="6" w:space="0"/>
              <w:right w:val="single" w:color="auto" w:sz="6" w:space="0"/>
            </w:tcBorders>
            <w:vAlign w:val="center"/>
          </w:tcPr>
          <w:p w14:paraId="530CED0A">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756" w:type="dxa"/>
            <w:tcBorders>
              <w:top w:val="single" w:color="auto" w:sz="6" w:space="0"/>
              <w:left w:val="single" w:color="auto" w:sz="6" w:space="0"/>
              <w:bottom w:val="single" w:color="auto" w:sz="6" w:space="0"/>
              <w:right w:val="single" w:color="auto" w:sz="6" w:space="0"/>
            </w:tcBorders>
            <w:vAlign w:val="center"/>
          </w:tcPr>
          <w:p w14:paraId="2CC4E6D4">
            <w:pPr>
              <w:snapToGrid w:val="0"/>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X射线机</w:t>
            </w:r>
          </w:p>
        </w:tc>
        <w:tc>
          <w:tcPr>
            <w:tcW w:w="1303" w:type="dxa"/>
            <w:tcBorders>
              <w:top w:val="single" w:color="auto" w:sz="6" w:space="0"/>
              <w:left w:val="single" w:color="auto" w:sz="6" w:space="0"/>
              <w:bottom w:val="single" w:color="auto" w:sz="6" w:space="0"/>
              <w:right w:val="single" w:color="auto" w:sz="6" w:space="0"/>
            </w:tcBorders>
            <w:vAlign w:val="center"/>
          </w:tcPr>
          <w:p w14:paraId="139874D4">
            <w:pPr>
              <w:snapToGrid w:val="0"/>
              <w:spacing w:line="360" w:lineRule="auto"/>
              <w:ind w:firstLine="0" w:firstLineChars="0"/>
              <w:jc w:val="center"/>
              <w:rPr>
                <w:rFonts w:hint="eastAsia" w:ascii="宋体" w:hAnsi="宋体" w:eastAsia="宋体" w:cs="宋体"/>
                <w:color w:val="auto"/>
                <w:sz w:val="21"/>
                <w:szCs w:val="21"/>
                <w:highlight w:val="none"/>
              </w:rPr>
            </w:pPr>
          </w:p>
        </w:tc>
        <w:tc>
          <w:tcPr>
            <w:tcW w:w="708" w:type="dxa"/>
            <w:tcBorders>
              <w:top w:val="single" w:color="auto" w:sz="6" w:space="0"/>
              <w:left w:val="single" w:color="auto" w:sz="6" w:space="0"/>
              <w:bottom w:val="single" w:color="auto" w:sz="6" w:space="0"/>
              <w:right w:val="single" w:color="auto" w:sz="6" w:space="0"/>
            </w:tcBorders>
            <w:vAlign w:val="center"/>
          </w:tcPr>
          <w:p w14:paraId="011A43C8">
            <w:pPr>
              <w:snapToGrid w:val="0"/>
              <w:spacing w:line="360" w:lineRule="auto"/>
              <w:ind w:firstLine="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台</w:t>
            </w:r>
          </w:p>
        </w:tc>
        <w:tc>
          <w:tcPr>
            <w:tcW w:w="993" w:type="dxa"/>
            <w:tcBorders>
              <w:top w:val="single" w:color="auto" w:sz="6" w:space="0"/>
              <w:left w:val="single" w:color="auto" w:sz="6" w:space="0"/>
              <w:bottom w:val="single" w:color="auto" w:sz="6" w:space="0"/>
              <w:right w:val="single" w:color="auto" w:sz="6" w:space="0"/>
            </w:tcBorders>
            <w:vAlign w:val="center"/>
          </w:tcPr>
          <w:p w14:paraId="2BF01E52">
            <w:pPr>
              <w:snapToGrid w:val="0"/>
              <w:spacing w:line="360" w:lineRule="auto"/>
              <w:ind w:firstLine="0" w:firstLineChars="0"/>
              <w:jc w:val="center"/>
              <w:rPr>
                <w:rFonts w:hint="eastAsia" w:ascii="宋体" w:hAnsi="宋体" w:eastAsia="宋体" w:cs="宋体"/>
                <w:color w:val="auto"/>
                <w:sz w:val="21"/>
                <w:szCs w:val="21"/>
                <w:highlight w:val="none"/>
              </w:rPr>
            </w:pPr>
          </w:p>
        </w:tc>
        <w:tc>
          <w:tcPr>
            <w:tcW w:w="2976" w:type="dxa"/>
            <w:tcBorders>
              <w:top w:val="single" w:color="auto" w:sz="6" w:space="0"/>
              <w:left w:val="single" w:color="auto" w:sz="6" w:space="0"/>
              <w:bottom w:val="single" w:color="auto" w:sz="6" w:space="0"/>
              <w:right w:val="single" w:color="auto" w:sz="6" w:space="0"/>
            </w:tcBorders>
            <w:vAlign w:val="center"/>
          </w:tcPr>
          <w:p w14:paraId="439642F4">
            <w:pPr>
              <w:snapToGrid w:val="0"/>
              <w:spacing w:line="360" w:lineRule="auto"/>
              <w:ind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焊口无损检测用</w:t>
            </w:r>
          </w:p>
        </w:tc>
      </w:tr>
      <w:tr w14:paraId="6EB24F41">
        <w:tblPrEx>
          <w:tblCellMar>
            <w:top w:w="0" w:type="dxa"/>
            <w:left w:w="108" w:type="dxa"/>
            <w:bottom w:w="0" w:type="dxa"/>
            <w:right w:w="108" w:type="dxa"/>
          </w:tblCellMar>
        </w:tblPrEx>
        <w:trPr>
          <w:trHeight w:val="170" w:hRule="atLeast"/>
          <w:jc w:val="center"/>
        </w:trPr>
        <w:tc>
          <w:tcPr>
            <w:tcW w:w="761" w:type="dxa"/>
            <w:tcBorders>
              <w:top w:val="single" w:color="auto" w:sz="6" w:space="0"/>
              <w:left w:val="single" w:color="auto" w:sz="6" w:space="0"/>
              <w:bottom w:val="single" w:color="auto" w:sz="6" w:space="0"/>
              <w:right w:val="single" w:color="auto" w:sz="6" w:space="0"/>
            </w:tcBorders>
            <w:vAlign w:val="center"/>
          </w:tcPr>
          <w:p w14:paraId="7BD7347D">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756" w:type="dxa"/>
            <w:tcBorders>
              <w:top w:val="single" w:color="auto" w:sz="6" w:space="0"/>
              <w:left w:val="single" w:color="auto" w:sz="6" w:space="0"/>
              <w:bottom w:val="single" w:color="auto" w:sz="6" w:space="0"/>
              <w:right w:val="single" w:color="auto" w:sz="6" w:space="0"/>
            </w:tcBorders>
            <w:vAlign w:val="center"/>
          </w:tcPr>
          <w:p w14:paraId="30A0DDE5">
            <w:pPr>
              <w:snapToGrid w:val="0"/>
              <w:spacing w:line="360" w:lineRule="auto"/>
              <w:ind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红外线测温枪</w:t>
            </w:r>
          </w:p>
        </w:tc>
        <w:tc>
          <w:tcPr>
            <w:tcW w:w="1303" w:type="dxa"/>
            <w:tcBorders>
              <w:top w:val="single" w:color="auto" w:sz="6" w:space="0"/>
              <w:left w:val="single" w:color="auto" w:sz="6" w:space="0"/>
              <w:bottom w:val="single" w:color="auto" w:sz="6" w:space="0"/>
              <w:right w:val="single" w:color="auto" w:sz="6" w:space="0"/>
            </w:tcBorders>
            <w:vAlign w:val="center"/>
          </w:tcPr>
          <w:p w14:paraId="2BA4FBFC">
            <w:pPr>
              <w:snapToGrid w:val="0"/>
              <w:spacing w:line="360" w:lineRule="auto"/>
              <w:ind w:firstLine="0" w:firstLineChars="0"/>
              <w:jc w:val="center"/>
              <w:rPr>
                <w:rFonts w:hint="eastAsia" w:ascii="宋体" w:hAnsi="宋体" w:eastAsia="宋体" w:cs="宋体"/>
                <w:color w:val="auto"/>
                <w:sz w:val="21"/>
                <w:szCs w:val="21"/>
                <w:highlight w:val="none"/>
              </w:rPr>
            </w:pPr>
          </w:p>
        </w:tc>
        <w:tc>
          <w:tcPr>
            <w:tcW w:w="708" w:type="dxa"/>
            <w:tcBorders>
              <w:top w:val="single" w:color="auto" w:sz="6" w:space="0"/>
              <w:left w:val="single" w:color="auto" w:sz="6" w:space="0"/>
              <w:bottom w:val="single" w:color="auto" w:sz="6" w:space="0"/>
              <w:right w:val="single" w:color="auto" w:sz="6" w:space="0"/>
            </w:tcBorders>
            <w:vAlign w:val="center"/>
          </w:tcPr>
          <w:p w14:paraId="2740DB48">
            <w:pPr>
              <w:snapToGrid w:val="0"/>
              <w:spacing w:line="360" w:lineRule="auto"/>
              <w:ind w:firstLine="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台</w:t>
            </w:r>
          </w:p>
        </w:tc>
        <w:tc>
          <w:tcPr>
            <w:tcW w:w="993" w:type="dxa"/>
            <w:tcBorders>
              <w:top w:val="single" w:color="auto" w:sz="6" w:space="0"/>
              <w:left w:val="single" w:color="auto" w:sz="6" w:space="0"/>
              <w:bottom w:val="single" w:color="auto" w:sz="6" w:space="0"/>
              <w:right w:val="single" w:color="auto" w:sz="6" w:space="0"/>
            </w:tcBorders>
            <w:vAlign w:val="center"/>
          </w:tcPr>
          <w:p w14:paraId="71FD0EED">
            <w:pPr>
              <w:snapToGrid w:val="0"/>
              <w:spacing w:line="360" w:lineRule="auto"/>
              <w:ind w:firstLine="0" w:firstLineChars="0"/>
              <w:jc w:val="center"/>
              <w:rPr>
                <w:rFonts w:hint="eastAsia" w:ascii="宋体" w:hAnsi="宋体" w:eastAsia="宋体" w:cs="宋体"/>
                <w:color w:val="auto"/>
                <w:sz w:val="21"/>
                <w:szCs w:val="21"/>
                <w:highlight w:val="none"/>
              </w:rPr>
            </w:pPr>
          </w:p>
        </w:tc>
        <w:tc>
          <w:tcPr>
            <w:tcW w:w="2976" w:type="dxa"/>
            <w:tcBorders>
              <w:top w:val="single" w:color="auto" w:sz="6" w:space="0"/>
              <w:left w:val="single" w:color="auto" w:sz="6" w:space="0"/>
              <w:bottom w:val="single" w:color="auto" w:sz="6" w:space="0"/>
              <w:right w:val="single" w:color="auto" w:sz="6" w:space="0"/>
            </w:tcBorders>
            <w:vAlign w:val="center"/>
          </w:tcPr>
          <w:p w14:paraId="43102FFF">
            <w:pPr>
              <w:snapToGrid w:val="0"/>
              <w:spacing w:line="360" w:lineRule="auto"/>
              <w:ind w:firstLine="0" w:firstLineChars="0"/>
              <w:rPr>
                <w:rFonts w:hint="eastAsia" w:ascii="宋体" w:hAnsi="宋体" w:eastAsia="宋体" w:cs="宋体"/>
                <w:color w:val="auto"/>
                <w:sz w:val="21"/>
                <w:szCs w:val="21"/>
                <w:highlight w:val="none"/>
                <w:lang w:val="zh-CN"/>
              </w:rPr>
            </w:pPr>
          </w:p>
        </w:tc>
      </w:tr>
      <w:tr w14:paraId="3D60B9C0">
        <w:tblPrEx>
          <w:tblCellMar>
            <w:top w:w="0" w:type="dxa"/>
            <w:left w:w="108" w:type="dxa"/>
            <w:bottom w:w="0" w:type="dxa"/>
            <w:right w:w="108" w:type="dxa"/>
          </w:tblCellMar>
        </w:tblPrEx>
        <w:trPr>
          <w:trHeight w:val="170" w:hRule="atLeast"/>
          <w:jc w:val="center"/>
        </w:trPr>
        <w:tc>
          <w:tcPr>
            <w:tcW w:w="761" w:type="dxa"/>
            <w:tcBorders>
              <w:top w:val="single" w:color="auto" w:sz="6" w:space="0"/>
              <w:left w:val="single" w:color="auto" w:sz="6" w:space="0"/>
              <w:bottom w:val="single" w:color="auto" w:sz="6" w:space="0"/>
              <w:right w:val="single" w:color="auto" w:sz="6" w:space="0"/>
            </w:tcBorders>
            <w:vAlign w:val="center"/>
          </w:tcPr>
          <w:p w14:paraId="79F197D8">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756" w:type="dxa"/>
            <w:tcBorders>
              <w:top w:val="single" w:color="auto" w:sz="6" w:space="0"/>
              <w:left w:val="single" w:color="auto" w:sz="6" w:space="0"/>
              <w:bottom w:val="single" w:color="auto" w:sz="6" w:space="0"/>
              <w:right w:val="single" w:color="auto" w:sz="6" w:space="0"/>
            </w:tcBorders>
            <w:vAlign w:val="center"/>
          </w:tcPr>
          <w:p w14:paraId="1C16BA39">
            <w:pPr>
              <w:snapToGrid w:val="0"/>
              <w:spacing w:line="360" w:lineRule="auto"/>
              <w:ind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焊材烘干箱</w:t>
            </w:r>
          </w:p>
        </w:tc>
        <w:tc>
          <w:tcPr>
            <w:tcW w:w="1303" w:type="dxa"/>
            <w:tcBorders>
              <w:top w:val="single" w:color="auto" w:sz="6" w:space="0"/>
              <w:left w:val="single" w:color="auto" w:sz="6" w:space="0"/>
              <w:bottom w:val="single" w:color="auto" w:sz="6" w:space="0"/>
              <w:right w:val="single" w:color="auto" w:sz="6" w:space="0"/>
            </w:tcBorders>
            <w:vAlign w:val="center"/>
          </w:tcPr>
          <w:p w14:paraId="48F9D5E7">
            <w:pPr>
              <w:snapToGrid w:val="0"/>
              <w:spacing w:line="360" w:lineRule="auto"/>
              <w:ind w:firstLine="0" w:firstLineChars="0"/>
              <w:jc w:val="center"/>
              <w:rPr>
                <w:rFonts w:hint="eastAsia" w:ascii="宋体" w:hAnsi="宋体" w:eastAsia="宋体" w:cs="宋体"/>
                <w:color w:val="auto"/>
                <w:sz w:val="21"/>
                <w:szCs w:val="21"/>
                <w:highlight w:val="none"/>
              </w:rPr>
            </w:pPr>
          </w:p>
        </w:tc>
        <w:tc>
          <w:tcPr>
            <w:tcW w:w="708" w:type="dxa"/>
            <w:tcBorders>
              <w:top w:val="single" w:color="auto" w:sz="6" w:space="0"/>
              <w:left w:val="single" w:color="auto" w:sz="6" w:space="0"/>
              <w:bottom w:val="single" w:color="auto" w:sz="6" w:space="0"/>
              <w:right w:val="single" w:color="auto" w:sz="6" w:space="0"/>
            </w:tcBorders>
            <w:vAlign w:val="center"/>
          </w:tcPr>
          <w:p w14:paraId="247B8BC4">
            <w:pPr>
              <w:snapToGrid w:val="0"/>
              <w:spacing w:line="360" w:lineRule="auto"/>
              <w:ind w:firstLine="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台</w:t>
            </w:r>
          </w:p>
        </w:tc>
        <w:tc>
          <w:tcPr>
            <w:tcW w:w="993" w:type="dxa"/>
            <w:tcBorders>
              <w:top w:val="single" w:color="auto" w:sz="6" w:space="0"/>
              <w:left w:val="single" w:color="auto" w:sz="6" w:space="0"/>
              <w:bottom w:val="single" w:color="auto" w:sz="6" w:space="0"/>
              <w:right w:val="single" w:color="auto" w:sz="6" w:space="0"/>
            </w:tcBorders>
            <w:vAlign w:val="center"/>
          </w:tcPr>
          <w:p w14:paraId="24AA8AA2">
            <w:pPr>
              <w:snapToGrid w:val="0"/>
              <w:spacing w:line="360" w:lineRule="auto"/>
              <w:ind w:firstLine="0" w:firstLineChars="0"/>
              <w:jc w:val="center"/>
              <w:rPr>
                <w:rFonts w:hint="eastAsia" w:ascii="宋体" w:hAnsi="宋体" w:eastAsia="宋体" w:cs="宋体"/>
                <w:color w:val="auto"/>
                <w:sz w:val="21"/>
                <w:szCs w:val="21"/>
                <w:highlight w:val="none"/>
              </w:rPr>
            </w:pPr>
          </w:p>
        </w:tc>
        <w:tc>
          <w:tcPr>
            <w:tcW w:w="2976" w:type="dxa"/>
            <w:tcBorders>
              <w:top w:val="single" w:color="auto" w:sz="6" w:space="0"/>
              <w:left w:val="single" w:color="auto" w:sz="6" w:space="0"/>
              <w:bottom w:val="single" w:color="auto" w:sz="6" w:space="0"/>
              <w:right w:val="single" w:color="auto" w:sz="6" w:space="0"/>
            </w:tcBorders>
            <w:vAlign w:val="center"/>
          </w:tcPr>
          <w:p w14:paraId="37413426">
            <w:pPr>
              <w:snapToGrid w:val="0"/>
              <w:spacing w:line="360" w:lineRule="auto"/>
              <w:ind w:firstLine="0" w:firstLineChars="0"/>
              <w:rPr>
                <w:rFonts w:hint="eastAsia" w:ascii="宋体" w:hAnsi="宋体" w:eastAsia="宋体" w:cs="宋体"/>
                <w:color w:val="auto"/>
                <w:sz w:val="21"/>
                <w:szCs w:val="21"/>
                <w:highlight w:val="none"/>
                <w:lang w:val="zh-CN"/>
              </w:rPr>
            </w:pPr>
          </w:p>
        </w:tc>
      </w:tr>
      <w:tr w14:paraId="5511E252">
        <w:tblPrEx>
          <w:tblCellMar>
            <w:top w:w="0" w:type="dxa"/>
            <w:left w:w="108" w:type="dxa"/>
            <w:bottom w:w="0" w:type="dxa"/>
            <w:right w:w="108" w:type="dxa"/>
          </w:tblCellMar>
        </w:tblPrEx>
        <w:trPr>
          <w:trHeight w:val="170" w:hRule="atLeast"/>
          <w:jc w:val="center"/>
        </w:trPr>
        <w:tc>
          <w:tcPr>
            <w:tcW w:w="761" w:type="dxa"/>
            <w:tcBorders>
              <w:top w:val="single" w:color="auto" w:sz="6" w:space="0"/>
              <w:left w:val="single" w:color="auto" w:sz="6" w:space="0"/>
              <w:bottom w:val="single" w:color="auto" w:sz="6" w:space="0"/>
              <w:right w:val="single" w:color="auto" w:sz="6" w:space="0"/>
            </w:tcBorders>
            <w:vAlign w:val="center"/>
          </w:tcPr>
          <w:p w14:paraId="6BA67631">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756" w:type="dxa"/>
            <w:tcBorders>
              <w:top w:val="single" w:color="auto" w:sz="6" w:space="0"/>
              <w:left w:val="single" w:color="auto" w:sz="6" w:space="0"/>
              <w:bottom w:val="single" w:color="auto" w:sz="6" w:space="0"/>
              <w:right w:val="single" w:color="auto" w:sz="6" w:space="0"/>
            </w:tcBorders>
            <w:vAlign w:val="center"/>
          </w:tcPr>
          <w:p w14:paraId="632D8E96">
            <w:pPr>
              <w:snapToGrid w:val="0"/>
              <w:spacing w:line="360" w:lineRule="auto"/>
              <w:ind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焊条筒</w:t>
            </w:r>
          </w:p>
        </w:tc>
        <w:tc>
          <w:tcPr>
            <w:tcW w:w="1303" w:type="dxa"/>
            <w:tcBorders>
              <w:top w:val="single" w:color="auto" w:sz="6" w:space="0"/>
              <w:left w:val="single" w:color="auto" w:sz="6" w:space="0"/>
              <w:bottom w:val="single" w:color="auto" w:sz="6" w:space="0"/>
              <w:right w:val="single" w:color="auto" w:sz="6" w:space="0"/>
            </w:tcBorders>
            <w:vAlign w:val="center"/>
          </w:tcPr>
          <w:p w14:paraId="44598D34">
            <w:pPr>
              <w:snapToGrid w:val="0"/>
              <w:spacing w:line="360" w:lineRule="auto"/>
              <w:ind w:firstLine="0" w:firstLineChars="0"/>
              <w:jc w:val="center"/>
              <w:rPr>
                <w:rFonts w:hint="eastAsia" w:ascii="宋体" w:hAnsi="宋体" w:eastAsia="宋体" w:cs="宋体"/>
                <w:color w:val="auto"/>
                <w:sz w:val="21"/>
                <w:szCs w:val="21"/>
                <w:highlight w:val="none"/>
              </w:rPr>
            </w:pPr>
          </w:p>
        </w:tc>
        <w:tc>
          <w:tcPr>
            <w:tcW w:w="708" w:type="dxa"/>
            <w:tcBorders>
              <w:top w:val="single" w:color="auto" w:sz="6" w:space="0"/>
              <w:left w:val="single" w:color="auto" w:sz="6" w:space="0"/>
              <w:bottom w:val="single" w:color="auto" w:sz="6" w:space="0"/>
              <w:right w:val="single" w:color="auto" w:sz="6" w:space="0"/>
            </w:tcBorders>
            <w:vAlign w:val="center"/>
          </w:tcPr>
          <w:p w14:paraId="78B2E933">
            <w:pPr>
              <w:snapToGrid w:val="0"/>
              <w:spacing w:line="360" w:lineRule="auto"/>
              <w:ind w:firstLine="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台</w:t>
            </w:r>
          </w:p>
        </w:tc>
        <w:tc>
          <w:tcPr>
            <w:tcW w:w="993" w:type="dxa"/>
            <w:tcBorders>
              <w:top w:val="single" w:color="auto" w:sz="6" w:space="0"/>
              <w:left w:val="single" w:color="auto" w:sz="6" w:space="0"/>
              <w:bottom w:val="single" w:color="auto" w:sz="6" w:space="0"/>
              <w:right w:val="single" w:color="auto" w:sz="6" w:space="0"/>
            </w:tcBorders>
            <w:vAlign w:val="center"/>
          </w:tcPr>
          <w:p w14:paraId="222BA97D">
            <w:pPr>
              <w:snapToGrid w:val="0"/>
              <w:spacing w:line="360" w:lineRule="auto"/>
              <w:ind w:firstLine="0" w:firstLineChars="0"/>
              <w:jc w:val="center"/>
              <w:rPr>
                <w:rFonts w:hint="eastAsia" w:ascii="宋体" w:hAnsi="宋体" w:eastAsia="宋体" w:cs="宋体"/>
                <w:color w:val="auto"/>
                <w:sz w:val="21"/>
                <w:szCs w:val="21"/>
                <w:highlight w:val="none"/>
              </w:rPr>
            </w:pPr>
          </w:p>
        </w:tc>
        <w:tc>
          <w:tcPr>
            <w:tcW w:w="2976" w:type="dxa"/>
            <w:tcBorders>
              <w:top w:val="single" w:color="auto" w:sz="6" w:space="0"/>
              <w:left w:val="single" w:color="auto" w:sz="6" w:space="0"/>
              <w:bottom w:val="single" w:color="auto" w:sz="6" w:space="0"/>
              <w:right w:val="single" w:color="auto" w:sz="6" w:space="0"/>
            </w:tcBorders>
            <w:vAlign w:val="center"/>
          </w:tcPr>
          <w:p w14:paraId="25E532AC">
            <w:pPr>
              <w:snapToGrid w:val="0"/>
              <w:spacing w:line="360" w:lineRule="auto"/>
              <w:ind w:firstLine="0" w:firstLineChars="0"/>
              <w:rPr>
                <w:rFonts w:hint="eastAsia" w:ascii="宋体" w:hAnsi="宋体" w:eastAsia="宋体" w:cs="宋体"/>
                <w:color w:val="auto"/>
                <w:sz w:val="21"/>
                <w:szCs w:val="21"/>
                <w:highlight w:val="none"/>
                <w:lang w:val="zh-CN"/>
              </w:rPr>
            </w:pPr>
          </w:p>
        </w:tc>
      </w:tr>
      <w:tr w14:paraId="56D84DA9">
        <w:tblPrEx>
          <w:tblCellMar>
            <w:top w:w="0" w:type="dxa"/>
            <w:left w:w="108" w:type="dxa"/>
            <w:bottom w:w="0" w:type="dxa"/>
            <w:right w:w="108" w:type="dxa"/>
          </w:tblCellMar>
        </w:tblPrEx>
        <w:trPr>
          <w:trHeight w:val="170" w:hRule="atLeast"/>
          <w:jc w:val="center"/>
        </w:trPr>
        <w:tc>
          <w:tcPr>
            <w:tcW w:w="761" w:type="dxa"/>
            <w:tcBorders>
              <w:top w:val="single" w:color="auto" w:sz="6" w:space="0"/>
              <w:left w:val="single" w:color="auto" w:sz="6" w:space="0"/>
              <w:bottom w:val="single" w:color="auto" w:sz="6" w:space="0"/>
              <w:right w:val="single" w:color="auto" w:sz="6" w:space="0"/>
            </w:tcBorders>
            <w:vAlign w:val="center"/>
          </w:tcPr>
          <w:p w14:paraId="7D872C39">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756" w:type="dxa"/>
            <w:tcBorders>
              <w:top w:val="single" w:color="auto" w:sz="6" w:space="0"/>
              <w:left w:val="single" w:color="auto" w:sz="6" w:space="0"/>
              <w:bottom w:val="single" w:color="auto" w:sz="6" w:space="0"/>
              <w:right w:val="single" w:color="auto" w:sz="6" w:space="0"/>
            </w:tcBorders>
            <w:vAlign w:val="center"/>
          </w:tcPr>
          <w:p w14:paraId="1B9AE0B6">
            <w:pPr>
              <w:snapToGrid w:val="0"/>
              <w:spacing w:line="360" w:lineRule="auto"/>
              <w:ind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超吊设备</w:t>
            </w:r>
          </w:p>
        </w:tc>
        <w:tc>
          <w:tcPr>
            <w:tcW w:w="1303" w:type="dxa"/>
            <w:tcBorders>
              <w:top w:val="single" w:color="auto" w:sz="6" w:space="0"/>
              <w:left w:val="single" w:color="auto" w:sz="6" w:space="0"/>
              <w:bottom w:val="single" w:color="auto" w:sz="6" w:space="0"/>
              <w:right w:val="single" w:color="auto" w:sz="6" w:space="0"/>
            </w:tcBorders>
            <w:vAlign w:val="center"/>
          </w:tcPr>
          <w:p w14:paraId="1604480C">
            <w:pPr>
              <w:snapToGrid w:val="0"/>
              <w:spacing w:line="360" w:lineRule="auto"/>
              <w:ind w:firstLine="0" w:firstLineChars="0"/>
              <w:jc w:val="center"/>
              <w:rPr>
                <w:rFonts w:hint="eastAsia" w:ascii="宋体" w:hAnsi="宋体" w:eastAsia="宋体" w:cs="宋体"/>
                <w:color w:val="auto"/>
                <w:sz w:val="21"/>
                <w:szCs w:val="21"/>
                <w:highlight w:val="none"/>
              </w:rPr>
            </w:pPr>
          </w:p>
        </w:tc>
        <w:tc>
          <w:tcPr>
            <w:tcW w:w="708" w:type="dxa"/>
            <w:tcBorders>
              <w:top w:val="single" w:color="auto" w:sz="6" w:space="0"/>
              <w:left w:val="single" w:color="auto" w:sz="6" w:space="0"/>
              <w:bottom w:val="single" w:color="auto" w:sz="6" w:space="0"/>
              <w:right w:val="single" w:color="auto" w:sz="6" w:space="0"/>
            </w:tcBorders>
            <w:vAlign w:val="center"/>
          </w:tcPr>
          <w:p w14:paraId="66D129B2">
            <w:pPr>
              <w:snapToGrid w:val="0"/>
              <w:spacing w:line="360" w:lineRule="auto"/>
              <w:ind w:firstLine="0" w:firstLineChars="0"/>
              <w:jc w:val="center"/>
              <w:rPr>
                <w:rFonts w:hint="eastAsia" w:ascii="宋体" w:hAnsi="宋体" w:eastAsia="宋体" w:cs="宋体"/>
                <w:color w:val="auto"/>
                <w:sz w:val="21"/>
                <w:szCs w:val="21"/>
                <w:highlight w:val="none"/>
                <w:lang w:val="zh-CN"/>
              </w:rPr>
            </w:pPr>
          </w:p>
        </w:tc>
        <w:tc>
          <w:tcPr>
            <w:tcW w:w="993" w:type="dxa"/>
            <w:tcBorders>
              <w:top w:val="single" w:color="auto" w:sz="6" w:space="0"/>
              <w:left w:val="single" w:color="auto" w:sz="6" w:space="0"/>
              <w:bottom w:val="single" w:color="auto" w:sz="6" w:space="0"/>
              <w:right w:val="single" w:color="auto" w:sz="6" w:space="0"/>
            </w:tcBorders>
            <w:vAlign w:val="center"/>
          </w:tcPr>
          <w:p w14:paraId="632AEB5F">
            <w:pPr>
              <w:snapToGrid w:val="0"/>
              <w:spacing w:line="360" w:lineRule="auto"/>
              <w:ind w:firstLine="0" w:firstLineChars="0"/>
              <w:jc w:val="center"/>
              <w:rPr>
                <w:rFonts w:hint="eastAsia" w:ascii="宋体" w:hAnsi="宋体" w:eastAsia="宋体" w:cs="宋体"/>
                <w:color w:val="auto"/>
                <w:sz w:val="21"/>
                <w:szCs w:val="21"/>
                <w:highlight w:val="none"/>
              </w:rPr>
            </w:pPr>
          </w:p>
        </w:tc>
        <w:tc>
          <w:tcPr>
            <w:tcW w:w="2976" w:type="dxa"/>
            <w:tcBorders>
              <w:top w:val="single" w:color="auto" w:sz="6" w:space="0"/>
              <w:left w:val="single" w:color="auto" w:sz="6" w:space="0"/>
              <w:bottom w:val="single" w:color="auto" w:sz="6" w:space="0"/>
              <w:right w:val="single" w:color="auto" w:sz="6" w:space="0"/>
            </w:tcBorders>
            <w:vAlign w:val="center"/>
          </w:tcPr>
          <w:p w14:paraId="59A91723">
            <w:pPr>
              <w:snapToGrid w:val="0"/>
              <w:spacing w:line="360" w:lineRule="auto"/>
              <w:ind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满足现场施工要求</w:t>
            </w:r>
          </w:p>
        </w:tc>
      </w:tr>
      <w:tr w14:paraId="6462BFBC">
        <w:tblPrEx>
          <w:tblCellMar>
            <w:top w:w="0" w:type="dxa"/>
            <w:left w:w="108" w:type="dxa"/>
            <w:bottom w:w="0" w:type="dxa"/>
            <w:right w:w="108" w:type="dxa"/>
          </w:tblCellMar>
        </w:tblPrEx>
        <w:trPr>
          <w:trHeight w:val="170" w:hRule="atLeast"/>
          <w:jc w:val="center"/>
        </w:trPr>
        <w:tc>
          <w:tcPr>
            <w:tcW w:w="761" w:type="dxa"/>
            <w:tcBorders>
              <w:top w:val="single" w:color="auto" w:sz="6" w:space="0"/>
              <w:left w:val="single" w:color="auto" w:sz="6" w:space="0"/>
              <w:bottom w:val="single" w:color="auto" w:sz="6" w:space="0"/>
              <w:right w:val="single" w:color="auto" w:sz="6" w:space="0"/>
            </w:tcBorders>
            <w:vAlign w:val="center"/>
          </w:tcPr>
          <w:p w14:paraId="12305E47">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756" w:type="dxa"/>
            <w:tcBorders>
              <w:top w:val="single" w:color="auto" w:sz="6" w:space="0"/>
              <w:left w:val="single" w:color="auto" w:sz="6" w:space="0"/>
              <w:bottom w:val="single" w:color="auto" w:sz="6" w:space="0"/>
              <w:right w:val="single" w:color="auto" w:sz="6" w:space="0"/>
            </w:tcBorders>
            <w:vAlign w:val="center"/>
          </w:tcPr>
          <w:p w14:paraId="6C8CED85">
            <w:pPr>
              <w:snapToGrid w:val="0"/>
              <w:spacing w:line="360" w:lineRule="auto"/>
              <w:ind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其它</w:t>
            </w:r>
          </w:p>
        </w:tc>
        <w:tc>
          <w:tcPr>
            <w:tcW w:w="1303" w:type="dxa"/>
            <w:tcBorders>
              <w:top w:val="single" w:color="auto" w:sz="6" w:space="0"/>
              <w:left w:val="single" w:color="auto" w:sz="6" w:space="0"/>
              <w:bottom w:val="single" w:color="auto" w:sz="6" w:space="0"/>
              <w:right w:val="single" w:color="auto" w:sz="6" w:space="0"/>
            </w:tcBorders>
            <w:vAlign w:val="center"/>
          </w:tcPr>
          <w:p w14:paraId="7100C35D">
            <w:pPr>
              <w:snapToGrid w:val="0"/>
              <w:spacing w:line="360" w:lineRule="auto"/>
              <w:ind w:firstLine="0" w:firstLineChars="0"/>
              <w:jc w:val="center"/>
              <w:rPr>
                <w:rFonts w:hint="eastAsia" w:ascii="宋体" w:hAnsi="宋体" w:eastAsia="宋体" w:cs="宋体"/>
                <w:color w:val="auto"/>
                <w:sz w:val="21"/>
                <w:szCs w:val="21"/>
                <w:highlight w:val="none"/>
              </w:rPr>
            </w:pPr>
          </w:p>
        </w:tc>
        <w:tc>
          <w:tcPr>
            <w:tcW w:w="708" w:type="dxa"/>
            <w:tcBorders>
              <w:top w:val="single" w:color="auto" w:sz="6" w:space="0"/>
              <w:left w:val="single" w:color="auto" w:sz="6" w:space="0"/>
              <w:bottom w:val="single" w:color="auto" w:sz="6" w:space="0"/>
              <w:right w:val="single" w:color="auto" w:sz="6" w:space="0"/>
            </w:tcBorders>
            <w:vAlign w:val="center"/>
          </w:tcPr>
          <w:p w14:paraId="5E32AE92">
            <w:pPr>
              <w:snapToGrid w:val="0"/>
              <w:spacing w:line="360" w:lineRule="auto"/>
              <w:ind w:firstLine="0" w:firstLineChars="0"/>
              <w:jc w:val="center"/>
              <w:rPr>
                <w:rFonts w:hint="eastAsia" w:ascii="宋体" w:hAnsi="宋体" w:eastAsia="宋体" w:cs="宋体"/>
                <w:color w:val="auto"/>
                <w:sz w:val="21"/>
                <w:szCs w:val="21"/>
                <w:highlight w:val="none"/>
                <w:lang w:val="zh-CN"/>
              </w:rPr>
            </w:pPr>
          </w:p>
        </w:tc>
        <w:tc>
          <w:tcPr>
            <w:tcW w:w="993" w:type="dxa"/>
            <w:tcBorders>
              <w:top w:val="single" w:color="auto" w:sz="6" w:space="0"/>
              <w:left w:val="single" w:color="auto" w:sz="6" w:space="0"/>
              <w:bottom w:val="single" w:color="auto" w:sz="6" w:space="0"/>
              <w:right w:val="single" w:color="auto" w:sz="6" w:space="0"/>
            </w:tcBorders>
            <w:vAlign w:val="center"/>
          </w:tcPr>
          <w:p w14:paraId="392832AA">
            <w:pPr>
              <w:snapToGrid w:val="0"/>
              <w:spacing w:line="360" w:lineRule="auto"/>
              <w:ind w:firstLine="0" w:firstLineChars="0"/>
              <w:jc w:val="center"/>
              <w:rPr>
                <w:rFonts w:hint="eastAsia" w:ascii="宋体" w:hAnsi="宋体" w:eastAsia="宋体" w:cs="宋体"/>
                <w:color w:val="auto"/>
                <w:sz w:val="21"/>
                <w:szCs w:val="21"/>
                <w:highlight w:val="none"/>
              </w:rPr>
            </w:pPr>
          </w:p>
        </w:tc>
        <w:tc>
          <w:tcPr>
            <w:tcW w:w="2976" w:type="dxa"/>
            <w:tcBorders>
              <w:top w:val="single" w:color="auto" w:sz="6" w:space="0"/>
              <w:left w:val="single" w:color="auto" w:sz="6" w:space="0"/>
              <w:bottom w:val="single" w:color="auto" w:sz="6" w:space="0"/>
              <w:right w:val="single" w:color="auto" w:sz="6" w:space="0"/>
            </w:tcBorders>
            <w:vAlign w:val="center"/>
          </w:tcPr>
          <w:p w14:paraId="6924A3DC">
            <w:pPr>
              <w:snapToGrid w:val="0"/>
              <w:spacing w:line="360" w:lineRule="auto"/>
              <w:ind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未列明而施工需要的</w:t>
            </w:r>
          </w:p>
        </w:tc>
      </w:tr>
    </w:tbl>
    <w:p w14:paraId="64D72D84">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3、人员要求：</w:t>
      </w:r>
    </w:p>
    <w:p w14:paraId="2BD0EF3D">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3.1所有施工人员施工前必须接收</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和安全培训合格后方可进入施工现场进行施工；</w:t>
      </w:r>
    </w:p>
    <w:p w14:paraId="1C286F34">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3.2所有参加施工人员均应了解施工范围和施工工序,熟悉施工环境和现场安全状况； </w:t>
      </w:r>
    </w:p>
    <w:p w14:paraId="719F22D5">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3.3所有参加高空作业的人员须持有高空作业证，在施工前均应进行体检，对于有高血压、恐高症等不宜从事高空作业的人员不得参加高空作业。</w:t>
      </w:r>
    </w:p>
    <w:p w14:paraId="55FDDBEA">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3.4作业人员应熟练掌握本工种基本知识和操作技能，特种作业人员</w:t>
      </w:r>
      <w:r>
        <w:rPr>
          <w:rFonts w:hint="eastAsia" w:ascii="宋体" w:hAnsi="宋体" w:eastAsia="宋体" w:cs="宋体"/>
          <w:color w:val="auto"/>
          <w:sz w:val="21"/>
          <w:szCs w:val="21"/>
          <w:highlight w:val="none"/>
          <w:lang w:val="zh-CN"/>
        </w:rPr>
        <w:t>必须持有</w:t>
      </w:r>
      <w:r>
        <w:rPr>
          <w:rFonts w:hint="eastAsia" w:ascii="宋体" w:hAnsi="宋体" w:eastAsia="宋体" w:cs="宋体"/>
          <w:color w:val="auto"/>
          <w:kern w:val="0"/>
          <w:sz w:val="21"/>
          <w:szCs w:val="21"/>
          <w:highlight w:val="none"/>
          <w:lang w:val="zh-CN"/>
        </w:rPr>
        <w:t>特种作业人员上岗证</w:t>
      </w:r>
      <w:r>
        <w:rPr>
          <w:rFonts w:hint="eastAsia" w:ascii="宋体" w:hAnsi="宋体" w:eastAsia="宋体" w:cs="宋体"/>
          <w:color w:val="auto"/>
          <w:sz w:val="21"/>
          <w:szCs w:val="21"/>
          <w:highlight w:val="none"/>
        </w:rPr>
        <w:t>，否则严禁上岗作业。</w:t>
      </w:r>
    </w:p>
    <w:p w14:paraId="09C78E66">
      <w:pPr>
        <w:snapToGrid w:val="0"/>
        <w:spacing w:line="360" w:lineRule="auto"/>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lang w:val="zh-CN"/>
        </w:rPr>
        <w:t>所有施工人员进入施工现场务必保证严谨的工作态度，严禁嬉戏打闹、从事与工作无关的其他事宜。</w:t>
      </w:r>
    </w:p>
    <w:p w14:paraId="691D323B">
      <w:pPr>
        <w:snapToGrid w:val="0"/>
        <w:spacing w:line="360" w:lineRule="auto"/>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4、工、器具要求：</w:t>
      </w:r>
    </w:p>
    <w:p w14:paraId="0F83D1F0">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4.1焊接用气体</w:t>
      </w:r>
    </w:p>
    <w:p w14:paraId="4C9B311E">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a.所用氩气纯度不得低于99.95%，且必须有出厂质量合格证。</w:t>
      </w:r>
    </w:p>
    <w:p w14:paraId="12ADBE47">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b.施工现场供应氩气采用瓶装分散式供应。</w:t>
      </w:r>
    </w:p>
    <w:p w14:paraId="3CBB6E6E">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4.2焊接器材     </w:t>
      </w:r>
    </w:p>
    <w:p w14:paraId="433BAC18">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a.电焊机：电焊机合格，机应绝缘良好，并有良好的接地措施，电源为专用电源，布置就合理，尽量靠近焊接施工区域，避免电焊线拉得过长，要求排放整齐，接地良好。</w:t>
      </w:r>
    </w:p>
    <w:p w14:paraId="3AD36FEB">
      <w:pPr>
        <w:pStyle w:val="103"/>
        <w:adjustRightInd w:val="0"/>
        <w:snapToGrid w:val="0"/>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焊接材料的质量要求:焊接材料严格执行相应的国家标准。焊接工程中使用的进口焊接材料必须符合设计要求和工艺方提交的技术文件的要求。焊接材料均要有制造厂的质量合格证、焊接材料质量证明书。对焊接材料质量有怀疑时，按批号抽查检验，合格后方可使用。</w:t>
      </w:r>
    </w:p>
    <w:p w14:paraId="4559D93E">
      <w:pPr>
        <w:pStyle w:val="103"/>
        <w:adjustRightInd w:val="0"/>
        <w:snapToGrid w:val="0"/>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c.焊接材料的选用要求:焊接材料严格按照设计要求及焊接工艺评定结果使用。</w:t>
      </w:r>
      <w:r>
        <w:rPr>
          <w:rFonts w:hint="eastAsia" w:ascii="宋体" w:hAnsi="宋体" w:eastAsia="宋体" w:cs="宋体"/>
          <w:color w:val="auto"/>
          <w:sz w:val="21"/>
          <w:szCs w:val="21"/>
          <w:highlight w:val="none"/>
        </w:rPr>
        <w:drawing>
          <wp:anchor distT="0" distB="0" distL="114300" distR="114300" simplePos="0" relativeHeight="251663360" behindDoc="1" locked="1" layoutInCell="1" allowOverlap="1">
            <wp:simplePos x="0" y="0"/>
            <wp:positionH relativeFrom="column">
              <wp:posOffset>3937000</wp:posOffset>
            </wp:positionH>
            <wp:positionV relativeFrom="paragraph">
              <wp:posOffset>7848600</wp:posOffset>
            </wp:positionV>
            <wp:extent cx="571500" cy="546100"/>
            <wp:effectExtent l="0" t="0" r="0" b="0"/>
            <wp:wrapNone/>
            <wp:docPr id="10" name="图片 10" descr="5699859131583913545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569985913158391354520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71500" cy="546100"/>
                    </a:xfrm>
                    <a:prstGeom prst="rect">
                      <a:avLst/>
                    </a:prstGeom>
                    <a:noFill/>
                    <a:ln>
                      <a:noFill/>
                    </a:ln>
                    <a:effectLst/>
                  </pic:spPr>
                </pic:pic>
              </a:graphicData>
            </a:graphic>
          </wp:anchor>
        </w:drawing>
      </w:r>
      <w:r>
        <w:rPr>
          <w:rFonts w:hint="eastAsia" w:ascii="宋体" w:hAnsi="宋体" w:eastAsia="宋体" w:cs="宋体"/>
          <w:color w:val="auto"/>
          <w:sz w:val="21"/>
          <w:szCs w:val="21"/>
          <w:highlight w:val="none"/>
        </w:rPr>
        <w:drawing>
          <wp:anchor distT="0" distB="0" distL="114300" distR="114300" simplePos="0" relativeHeight="251662336" behindDoc="1" locked="1" layoutInCell="1" allowOverlap="1">
            <wp:simplePos x="0" y="0"/>
            <wp:positionH relativeFrom="column">
              <wp:posOffset>2641600</wp:posOffset>
            </wp:positionH>
            <wp:positionV relativeFrom="paragraph">
              <wp:posOffset>6629400</wp:posOffset>
            </wp:positionV>
            <wp:extent cx="1409700" cy="203200"/>
            <wp:effectExtent l="0" t="0" r="0" b="0"/>
            <wp:wrapNone/>
            <wp:docPr id="16" name="图片 16" descr="39814524215839135451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3981452421583913545198.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409700" cy="203200"/>
                    </a:xfrm>
                    <a:prstGeom prst="rect">
                      <a:avLst/>
                    </a:prstGeom>
                    <a:noFill/>
                    <a:ln>
                      <a:noFill/>
                    </a:ln>
                    <a:effectLst/>
                  </pic:spPr>
                </pic:pic>
              </a:graphicData>
            </a:graphic>
          </wp:anchor>
        </w:drawing>
      </w:r>
      <w:r>
        <w:rPr>
          <w:rFonts w:hint="eastAsia" w:ascii="宋体" w:hAnsi="宋体" w:eastAsia="宋体" w:cs="宋体"/>
          <w:color w:val="auto"/>
          <w:sz w:val="21"/>
          <w:szCs w:val="21"/>
          <w:highlight w:val="none"/>
        </w:rPr>
        <w:t>钨极氩弧焊应使用符合有关规定的电极。</w:t>
      </w:r>
    </w:p>
    <w:p w14:paraId="3965DCA2">
      <w:pPr>
        <w:pStyle w:val="103"/>
        <w:adjustRightInd w:val="0"/>
        <w:snapToGrid w:val="0"/>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d.焊接材料的使用:焊条使用前严格按照产品说明书对其进行烘焙，烘焙后的焊条应放置在专用的焊条保温桶内，随用随取。焊丝使用前清除其表面的油、污、锈、垢，直至露出金属光泽。</w:t>
      </w:r>
    </w:p>
    <w:p w14:paraId="6FA9EBB8">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e.有故障的设备不得使用。</w:t>
      </w:r>
    </w:p>
    <w:p w14:paraId="043E67F9">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4.3其它工、器具要求</w:t>
      </w:r>
    </w:p>
    <w:p w14:paraId="32288E88">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需有合格证且在有效期内。</w:t>
      </w:r>
    </w:p>
    <w:p w14:paraId="54C5C328">
      <w:pPr>
        <w:pStyle w:val="4"/>
        <w:snapToGrid w:val="0"/>
        <w:spacing w:line="360" w:lineRule="auto"/>
        <w:ind w:firstLine="56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（三）施工技术要求</w:t>
      </w:r>
    </w:p>
    <w:p w14:paraId="7AEBCEF7">
      <w:pPr>
        <w:pStyle w:val="5"/>
        <w:snapToGrid w:val="0"/>
        <w:spacing w:before="0" w:after="0"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1、一段烟道拆除技术要求</w:t>
      </w:r>
    </w:p>
    <w:p w14:paraId="7A2F03CA">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1.1拆除前需对原有烟道的安装进行全面研究，了解烟道的技术参数和安装位置等。并整理出烟道的相关图纸，制定拆除方案。</w:t>
      </w:r>
    </w:p>
    <w:p w14:paraId="400BFF22">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1.2准备好必要的施工工具和材料，包括起重设备、切割设备、安全防护设备等，特别对周边燃气管道和压缩空气管道做好安全防护措施，确保拆除过程安全。</w:t>
      </w:r>
    </w:p>
    <w:p w14:paraId="52449B51">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1.3按照图纸和方案，做好安全隔离措施，逐一割断烟道的汽、水等管路（包括上升管、下降管、排污、疏水、取样等）系统和与钢厂连接的氧气系统、下料给料系统及影响拆除的平台等其它装置系统。</w:t>
      </w:r>
    </w:p>
    <w:p w14:paraId="15306EC6">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1.4对隔断后烟道的留存系统各开口做好安全保护措施，确保系统内不进杂物。</w:t>
      </w:r>
    </w:p>
    <w:p w14:paraId="761160AE">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1.5在确认一段烟道与整个系统完全隔断后，利用起重设备将烟道卸下，注意安全操作，确保不损坏周围设施。</w:t>
      </w:r>
    </w:p>
    <w:p w14:paraId="62B7424E">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1.6按照预定计划进行切割和拆卸，逐一拆烟道各部件，确保工作安全和高效。</w:t>
      </w:r>
    </w:p>
    <w:p w14:paraId="49FAEFFF">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1.7在施工过程中，严格控制粉尘、废气及施工垃圾等污染物，保护周边环境安全和健康，并将施工垃圾清运至环保定点排放单位。</w:t>
      </w:r>
    </w:p>
    <w:p w14:paraId="36E51A5A">
      <w:pPr>
        <w:pStyle w:val="5"/>
        <w:snapToGrid w:val="0"/>
        <w:spacing w:before="0" w:after="0"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2、一段烟道安装技术要求</w:t>
      </w:r>
    </w:p>
    <w:p w14:paraId="63FBD9AB">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2.1安装前需对新烟道的安装进行全面研究，了解烟道的技术参数和安装位置等，并整理出烟道的相关图纸，精心编制施工组织设计，制定起吊安装和焊接专项施工方案。</w:t>
      </w:r>
    </w:p>
    <w:p w14:paraId="77C9122F">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2.2准备好必要的施工工具和材料，包括起重设备、安全防护设备等。</w:t>
      </w:r>
    </w:p>
    <w:p w14:paraId="469E75F8">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2.3按照批复后的起吊安装方案进行起吊安装。烟道安装顺序：就位I 段烟道→非金属补偿器就位→装配氧枪口汽化冷却装置、下料口汽化冷却装置→装配本体支吊架装置→恢复安装下降管、上升管→恢复安装疏水、排污、取样系统→水压试验后调整本体支吊架位置。烟道吊装时，应采取相应加固措施以防烟道变形，烟道支架装置严禁作为烟道起吊之用。</w:t>
      </w:r>
    </w:p>
    <w:p w14:paraId="09F21EB2">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2.4管道对口焊接应符合以下规定：</w:t>
      </w:r>
    </w:p>
    <w:p w14:paraId="5F7AEC6A">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1）管道的对口焊接</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应按照经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批准后的焊接专项施工方案进行实施，焊接施工方案应符合设计要求和相关标准及规范，施工完成后经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组织验收合格。</w:t>
      </w:r>
    </w:p>
    <w:p w14:paraId="27151589">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在项目现场凡属国家目录规定的特种作业人员均需持本人有效的特种人员操作证，并将复印件上交</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安全主管人员，焊接人员必须携带技术监督局颁发的锅炉、压力容器、压力管道焊工证明（胸卡），以便检查。</w:t>
      </w:r>
    </w:p>
    <w:p w14:paraId="3BABBAB8">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3）焊接材料：</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安装使用的焊材（焊条、焊丝品牌推荐：大西洋、猴王牌、金桥牌）应有生产厂的质量保证书。氩气纯度不低于99.95%，钨棒采用铈钨棒。焊接材料接收</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检查检验。</w:t>
      </w:r>
    </w:p>
    <w:p w14:paraId="760148FC">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在压力管道焊接施工前须对焊点（对接口、角接口等）焊接位置进行编号。</w:t>
      </w:r>
    </w:p>
    <w:p w14:paraId="4D59C634">
      <w:pPr>
        <w:snapToGrid w:val="0"/>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5）较大口径管道施工，对口应采用对口器，以防止对口错边超差，端口的坡口角度、对口间隙尺寸等满足《压力管道规范-工业管道》(GB/T-20801)和《</w:t>
      </w:r>
      <w:r>
        <w:rPr>
          <w:rFonts w:hint="eastAsia" w:ascii="宋体" w:hAnsi="宋体" w:eastAsia="宋体" w:cs="宋体"/>
          <w:color w:val="auto"/>
          <w:kern w:val="0"/>
          <w:sz w:val="21"/>
          <w:szCs w:val="21"/>
          <w:highlight w:val="none"/>
        </w:rPr>
        <w:t>电力建设施工质量验收及评定规程第7部分：焊接》DL／T 5210.7的要求。</w:t>
      </w:r>
      <w:r>
        <w:rPr>
          <w:rFonts w:hint="eastAsia" w:ascii="宋体" w:hAnsi="宋体" w:eastAsia="宋体" w:cs="宋体"/>
          <w:color w:val="auto"/>
          <w:sz w:val="21"/>
          <w:szCs w:val="21"/>
          <w:highlight w:val="none"/>
        </w:rPr>
        <w:t>管子焊接对口时错口不应超过壁厚的10％，对口焊接的管子内外壁10-15mm清除锈至显出金属的光泽度,管子不得强行对口焊接。</w:t>
      </w:r>
    </w:p>
    <w:p w14:paraId="14AF5AD9">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焊接时应采用氩弧焊打底或全氩焊接,氩弧焊打底时应一气呵成,不允许中途停止,如出现中途返修，发现有气孔.裂纹应彻底铲除后修复,不允许用重复熔化的方法来消除缺陷，返工不能超过二次（含二次）。安装焊口的焊接工作结束后, 需进行“三级检验”并留有检验记录或检验报告。</w:t>
      </w:r>
    </w:p>
    <w:p w14:paraId="3C7D1C4E">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4）5.9管道各焊口无损检测比例按《工业金属管道工程施工质量验收规范》（GB50184-2011）相关条款要求执行。对DN50以上所有焊口进行100%无损检测，DN50（含DN50）以下的焊口进行</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0%的无损检测。片底交一份由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保管，费用由</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负责。</w:t>
      </w:r>
    </w:p>
    <w:p w14:paraId="2FA02329">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系统压力试验前须送审检验记录：水压试验方案、隐蔽工程验收报告、、管线敷设检查验收报告、管道组成件质量证明及施焊及焊接检验记录、焊接工艺试件机械性能报告、无损检测报告及RT底片、管道支架（墩）检查验收报告等。</w:t>
      </w:r>
    </w:p>
    <w:p w14:paraId="2B3E4B94">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6）管道压力试验或气密性试验前焊接接头应保持干净，不得防腐涂油漆，待压力试验合格后方可进行下步工序。</w:t>
      </w:r>
    </w:p>
    <w:p w14:paraId="6E856F92">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2.5支座和悬挂装置安装应符合厂家设计要求和《室内汽水管道支吊架》规范要求。</w:t>
      </w:r>
    </w:p>
    <w:p w14:paraId="746F4DEB">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2.6非金属补偿器安装应符合厂家设计要求。</w:t>
      </w:r>
    </w:p>
    <w:p w14:paraId="43563346">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2.7恢复安装完成与钢厂连接的系统装置，质量满足钢厂相关标准要求。</w:t>
      </w:r>
    </w:p>
    <w:p w14:paraId="0CE97B08">
      <w:pPr>
        <w:pStyle w:val="5"/>
        <w:snapToGrid w:val="0"/>
        <w:spacing w:before="0" w:after="0"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3、二、三段管子更换技术要求</w:t>
      </w:r>
    </w:p>
    <w:p w14:paraId="38517D95">
      <w:pPr>
        <w:autoSpaceDE w:val="0"/>
        <w:autoSpaceDN w:val="0"/>
        <w:adjustRightInd w:val="0"/>
        <w:snapToGrid w:val="0"/>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3.1</w:t>
      </w:r>
      <w:r>
        <w:rPr>
          <w:rFonts w:hint="eastAsia" w:ascii="宋体" w:hAnsi="宋体" w:eastAsia="宋体" w:cs="宋体"/>
          <w:color w:val="auto"/>
          <w:sz w:val="21"/>
          <w:szCs w:val="21"/>
          <w:highlight w:val="none"/>
        </w:rPr>
        <w:t>二、三段管子更换过程中，应符合以下检修工艺和质量要求:</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4116"/>
        <w:gridCol w:w="3051"/>
      </w:tblGrid>
      <w:tr w14:paraId="35DF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014EEC8E">
            <w:pPr>
              <w:snapToGrid w:val="0"/>
              <w:spacing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工序</w:t>
            </w:r>
          </w:p>
        </w:tc>
        <w:tc>
          <w:tcPr>
            <w:tcW w:w="4116" w:type="dxa"/>
          </w:tcPr>
          <w:p w14:paraId="6D76BA7A">
            <w:pPr>
              <w:snapToGrid w:val="0"/>
              <w:spacing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施工工艺</w:t>
            </w:r>
          </w:p>
        </w:tc>
        <w:tc>
          <w:tcPr>
            <w:tcW w:w="3051" w:type="dxa"/>
          </w:tcPr>
          <w:p w14:paraId="2AFB4E87">
            <w:pPr>
              <w:snapToGrid w:val="0"/>
              <w:spacing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质量要求</w:t>
            </w:r>
          </w:p>
        </w:tc>
      </w:tr>
      <w:tr w14:paraId="728B7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1FA04D52">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1、割管</w:t>
            </w:r>
          </w:p>
        </w:tc>
        <w:tc>
          <w:tcPr>
            <w:tcW w:w="4116" w:type="dxa"/>
          </w:tcPr>
          <w:p w14:paraId="2B56F08F">
            <w:pPr>
              <w:autoSpaceDE w:val="0"/>
              <w:autoSpaceDN w:val="0"/>
              <w:adjustRightInd w:val="0"/>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a）管子割开后应将管子割口两侧鳍片多割除20mm。</w:t>
            </w:r>
          </w:p>
          <w:p w14:paraId="1FF4C2E9">
            <w:pPr>
              <w:autoSpaceDE w:val="0"/>
              <w:autoSpaceDN w:val="0"/>
              <w:adjustRightInd w:val="0"/>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b）管子割开后应立即将下管口加封堵并贴上封条。</w:t>
            </w:r>
          </w:p>
          <w:p w14:paraId="79CF5C3F">
            <w:pPr>
              <w:autoSpaceDE w:val="0"/>
              <w:autoSpaceDN w:val="0"/>
              <w:adjustRightInd w:val="0"/>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c）相邻两根或两根以上的非鳍片管子更换，切割部位应上下交错。</w:t>
            </w:r>
          </w:p>
          <w:p w14:paraId="54A15B7B">
            <w:pPr>
              <w:autoSpaceDE w:val="0"/>
              <w:autoSpaceDN w:val="0"/>
              <w:adjustRightInd w:val="0"/>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d）管子切割应采用机械切割。</w:t>
            </w:r>
          </w:p>
          <w:p w14:paraId="7EC1A6C9">
            <w:pPr>
              <w:autoSpaceDE w:val="0"/>
              <w:autoSpaceDN w:val="0"/>
              <w:adjustRightInd w:val="0"/>
              <w:snapToGrid w:val="0"/>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e）更换大面积水冷壁管后，应在更换后对下联箱进行清理。</w:t>
            </w:r>
          </w:p>
        </w:tc>
        <w:tc>
          <w:tcPr>
            <w:tcW w:w="3051" w:type="dxa"/>
          </w:tcPr>
          <w:p w14:paraId="6B7F3BAA">
            <w:pPr>
              <w:autoSpaceDE w:val="0"/>
              <w:autoSpaceDN w:val="0"/>
              <w:adjustRightInd w:val="0"/>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1.管子切割点位置应符合DL612－1996 的5.29 的要</w:t>
            </w:r>
          </w:p>
          <w:p w14:paraId="6493184A">
            <w:pPr>
              <w:autoSpaceDE w:val="0"/>
              <w:autoSpaceDN w:val="0"/>
              <w:adjustRightInd w:val="0"/>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求。</w:t>
            </w:r>
          </w:p>
          <w:p w14:paraId="02AA37E6">
            <w:pPr>
              <w:autoSpaceDE w:val="0"/>
              <w:autoSpaceDN w:val="0"/>
              <w:adjustRightInd w:val="0"/>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2.切割点开口应平整，且与管子轴线保持垂直。</w:t>
            </w:r>
          </w:p>
          <w:p w14:paraId="4E817771">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3.确保下联箱内无杂物。</w:t>
            </w:r>
          </w:p>
        </w:tc>
      </w:tr>
      <w:tr w14:paraId="0FC97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7D02C9FD">
            <w:pPr>
              <w:autoSpaceDE w:val="0"/>
              <w:autoSpaceDN w:val="0"/>
              <w:adjustRightInd w:val="0"/>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2、检查新管</w:t>
            </w:r>
          </w:p>
          <w:p w14:paraId="1CAC8AEC">
            <w:pPr>
              <w:snapToGrid w:val="0"/>
              <w:spacing w:line="360" w:lineRule="auto"/>
              <w:ind w:firstLine="0" w:firstLineChars="0"/>
              <w:jc w:val="both"/>
              <w:rPr>
                <w:rFonts w:hint="eastAsia" w:ascii="宋体" w:hAnsi="宋体" w:eastAsia="宋体" w:cs="宋体"/>
                <w:color w:val="auto"/>
                <w:sz w:val="21"/>
                <w:szCs w:val="21"/>
                <w:highlight w:val="none"/>
              </w:rPr>
            </w:pPr>
          </w:p>
        </w:tc>
        <w:tc>
          <w:tcPr>
            <w:tcW w:w="4116" w:type="dxa"/>
          </w:tcPr>
          <w:p w14:paraId="25CF2505">
            <w:pPr>
              <w:autoSpaceDE w:val="0"/>
              <w:autoSpaceDN w:val="0"/>
              <w:adjustRightInd w:val="0"/>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a）检查外观</w:t>
            </w:r>
          </w:p>
          <w:p w14:paraId="59C9DD94">
            <w:pPr>
              <w:autoSpaceDE w:val="0"/>
              <w:autoSpaceDN w:val="0"/>
              <w:adjustRightInd w:val="0"/>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1）检查管子表面裂纹。</w:t>
            </w:r>
          </w:p>
          <w:p w14:paraId="360B0001">
            <w:pPr>
              <w:autoSpaceDE w:val="0"/>
              <w:autoSpaceDN w:val="0"/>
              <w:adjustRightInd w:val="0"/>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2）检查管子表面压扁、凹坑、撞伤和分层。</w:t>
            </w:r>
          </w:p>
          <w:p w14:paraId="38C15BA5">
            <w:pPr>
              <w:autoSpaceDE w:val="0"/>
              <w:autoSpaceDN w:val="0"/>
              <w:adjustRightInd w:val="0"/>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3）检查管子表面腐蚀。</w:t>
            </w:r>
          </w:p>
          <w:p w14:paraId="45A37EA9">
            <w:pPr>
              <w:autoSpaceDE w:val="0"/>
              <w:autoSpaceDN w:val="0"/>
              <w:adjustRightInd w:val="0"/>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4）外表缺陷的深度超过管子壁厚的10％时，不于采用。</w:t>
            </w:r>
          </w:p>
          <w:p w14:paraId="77403247">
            <w:pPr>
              <w:autoSpaceDE w:val="0"/>
              <w:autoSpaceDN w:val="0"/>
              <w:adjustRightInd w:val="0"/>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5）检查弯管表面拉伤和波浪度。</w:t>
            </w:r>
          </w:p>
          <w:p w14:paraId="783169C8">
            <w:pPr>
              <w:autoSpaceDE w:val="0"/>
              <w:autoSpaceDN w:val="0"/>
              <w:adjustRightInd w:val="0"/>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6）检查弯管弯曲部分不圆度，并通球试验，试验球的直径应为管子内径的85％。</w:t>
            </w:r>
          </w:p>
          <w:p w14:paraId="3764CDAD">
            <w:pPr>
              <w:autoSpaceDE w:val="0"/>
              <w:autoSpaceDN w:val="0"/>
              <w:adjustRightInd w:val="0"/>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7）检查管径及壁厚。</w:t>
            </w:r>
          </w:p>
          <w:p w14:paraId="265903A3">
            <w:pPr>
              <w:autoSpaceDE w:val="0"/>
              <w:autoSpaceDN w:val="0"/>
              <w:adjustRightInd w:val="0"/>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b）测量管子管径及壁厚。</w:t>
            </w:r>
          </w:p>
          <w:p w14:paraId="2B649235">
            <w:pPr>
              <w:autoSpaceDE w:val="0"/>
              <w:autoSpaceDN w:val="0"/>
              <w:adjustRightInd w:val="0"/>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d）检查鳍片与管壁间的焊缝。</w:t>
            </w:r>
          </w:p>
          <w:p w14:paraId="35D49DC5">
            <w:pPr>
              <w:autoSpaceDE w:val="0"/>
              <w:autoSpaceDN w:val="0"/>
              <w:adjustRightInd w:val="0"/>
              <w:snapToGrid w:val="0"/>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e）新管使用前应进行压缩空气进行吹扫。对管焊缝磨平。鳍片对接焊缝拼缝平直，打磨平整。</w:t>
            </w:r>
          </w:p>
        </w:tc>
        <w:tc>
          <w:tcPr>
            <w:tcW w:w="3051" w:type="dxa"/>
          </w:tcPr>
          <w:p w14:paraId="7F3B00A3">
            <w:pPr>
              <w:autoSpaceDE w:val="0"/>
              <w:autoSpaceDN w:val="0"/>
              <w:adjustRightInd w:val="0"/>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1.管子表面无裂纹、撞伤、压扁、沙眼和分层等缺陷。</w:t>
            </w:r>
          </w:p>
          <w:p w14:paraId="5FD6DDD3">
            <w:pPr>
              <w:autoSpaceDE w:val="0"/>
              <w:autoSpaceDN w:val="0"/>
              <w:adjustRightInd w:val="0"/>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2.管子表面光洁，无腐蚀。</w:t>
            </w:r>
          </w:p>
          <w:p w14:paraId="4DBBE921">
            <w:pPr>
              <w:autoSpaceDE w:val="0"/>
              <w:autoSpaceDN w:val="0"/>
              <w:adjustRightInd w:val="0"/>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3.管子壁厚负公差应小于壁厚的10％。</w:t>
            </w:r>
          </w:p>
          <w:p w14:paraId="4BE31978">
            <w:pPr>
              <w:autoSpaceDE w:val="0"/>
              <w:autoSpaceDN w:val="0"/>
              <w:adjustRightInd w:val="0"/>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4.弯管表面无拉伤，其波浪度应符合DL5031－1994 的表4.2.6 的要求。</w:t>
            </w:r>
          </w:p>
          <w:p w14:paraId="7EA34AE8">
            <w:pPr>
              <w:autoSpaceDE w:val="0"/>
              <w:autoSpaceDN w:val="0"/>
              <w:adjustRightInd w:val="0"/>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5.弯管弯曲部分实测壁厚应大于直管的理论计算壁厚。</w:t>
            </w:r>
          </w:p>
          <w:p w14:paraId="5762C8A2">
            <w:pPr>
              <w:autoSpaceDE w:val="0"/>
              <w:autoSpaceDN w:val="0"/>
              <w:adjustRightInd w:val="0"/>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6.弯管的不圆度应小于6％，通球试验合格。</w:t>
            </w:r>
          </w:p>
          <w:p w14:paraId="1BE8C184">
            <w:pPr>
              <w:autoSpaceDE w:val="0"/>
              <w:autoSpaceDN w:val="0"/>
              <w:adjustRightInd w:val="0"/>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7.鳍片焊缝无咬边。</w:t>
            </w:r>
          </w:p>
          <w:p w14:paraId="345EF512">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10.新管内无铁锈等杂质。</w:t>
            </w:r>
          </w:p>
        </w:tc>
      </w:tr>
      <w:tr w14:paraId="5DF64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7C5FF731">
            <w:pPr>
              <w:autoSpaceDE w:val="0"/>
              <w:autoSpaceDN w:val="0"/>
              <w:adjustRightInd w:val="0"/>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3、坡口</w:t>
            </w:r>
          </w:p>
        </w:tc>
        <w:tc>
          <w:tcPr>
            <w:tcW w:w="7167" w:type="dxa"/>
            <w:gridSpan w:val="2"/>
          </w:tcPr>
          <w:p w14:paraId="5FC32A4C">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（1）受热面各垂直管的下部焊口坡口打磨前，要用易溶纸将管口堵严，以防打磨坡口时杂物及破损工具落入管内。</w:t>
            </w:r>
          </w:p>
          <w:p w14:paraId="407F89CC">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管子的坡口形式应按设计图纸规定加工，如无规定时，坡口的形式和尺寸应按能保证焊接质量、填充金属量少，改善劳动条件、便于操作、减少焊接应力和变形，适应探伤要求等原则选用。（坡口尺寸要求见各受热面）。</w:t>
            </w:r>
          </w:p>
          <w:p w14:paraId="6A7F5179">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（3）坡口端面要平整并与管子中心线垂直，其偏斜度</w:t>
            </w:r>
            <w:r>
              <w:rPr>
                <w:rFonts w:hint="eastAsia" w:ascii="宋体" w:hAnsi="宋体" w:eastAsia="宋体" w:cs="宋体"/>
                <w:i/>
                <w:iCs/>
                <w:color w:val="auto"/>
                <w:sz w:val="21"/>
                <w:szCs w:val="21"/>
                <w:highlight w:val="none"/>
              </w:rPr>
              <w:t>Δf</w:t>
            </w:r>
            <w:r>
              <w:rPr>
                <w:rFonts w:hint="eastAsia" w:ascii="宋体" w:hAnsi="宋体" w:eastAsia="宋体" w:cs="宋体"/>
                <w:color w:val="auto"/>
                <w:sz w:val="21"/>
                <w:szCs w:val="21"/>
                <w:highlight w:val="none"/>
              </w:rPr>
              <w:t>不得超过0.5mm。</w:t>
            </w:r>
          </w:p>
          <w:p w14:paraId="6C2B4D6E">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（4）坡口加工后应检查坡口母材处无裂纹、重皮、坡口损伤及毛刺等缺陷。</w:t>
            </w:r>
          </w:p>
          <w:p w14:paraId="30718478">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（5）对口前应将坡口表面及其附近10~15mm 区域内的内外壁的油、漆、垢、锈等清理干净直至发出金属光泽，清理后如过24小时再焊，需要重新清理。</w:t>
            </w:r>
          </w:p>
          <w:p w14:paraId="162BABCB">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（6）对口时，应做到内壁齐平，严格控制对口间隙最大差值（Δ</w:t>
            </w:r>
            <w:r>
              <w:rPr>
                <w:rFonts w:hint="eastAsia" w:ascii="宋体" w:hAnsi="宋体" w:eastAsia="宋体" w:cs="宋体"/>
                <w:i/>
                <w:iCs/>
                <w:color w:val="auto"/>
                <w:sz w:val="21"/>
                <w:szCs w:val="21"/>
                <w:highlight w:val="none"/>
              </w:rPr>
              <w:t>P</w:t>
            </w:r>
            <w:r>
              <w:rPr>
                <w:rFonts w:hint="eastAsia" w:ascii="宋体" w:hAnsi="宋体" w:eastAsia="宋体" w:cs="宋体"/>
                <w:color w:val="auto"/>
                <w:sz w:val="21"/>
                <w:szCs w:val="21"/>
                <w:highlight w:val="none"/>
              </w:rPr>
              <w:t>）和错口量（Δ</w:t>
            </w:r>
            <w:r>
              <w:rPr>
                <w:rFonts w:hint="eastAsia" w:ascii="宋体" w:hAnsi="宋体" w:eastAsia="宋体" w:cs="宋体"/>
                <w:i/>
                <w:iCs/>
                <w:color w:val="auto"/>
                <w:sz w:val="21"/>
                <w:szCs w:val="21"/>
                <w:highlight w:val="none"/>
              </w:rPr>
              <w:t>δ</w:t>
            </w:r>
            <w:r>
              <w:rPr>
                <w:rFonts w:hint="eastAsia" w:ascii="宋体" w:hAnsi="宋体" w:eastAsia="宋体" w:cs="宋体"/>
                <w:color w:val="auto"/>
                <w:sz w:val="21"/>
                <w:szCs w:val="21"/>
                <w:highlight w:val="none"/>
              </w:rPr>
              <w:t>），Δ</w:t>
            </w:r>
            <w:r>
              <w:rPr>
                <w:rFonts w:hint="eastAsia" w:ascii="宋体" w:hAnsi="宋体" w:eastAsia="宋体" w:cs="宋体"/>
                <w:i/>
                <w:iCs/>
                <w:color w:val="auto"/>
                <w:sz w:val="21"/>
                <w:szCs w:val="21"/>
                <w:highlight w:val="none"/>
              </w:rPr>
              <w:t>δ</w:t>
            </w:r>
            <w:r>
              <w:rPr>
                <w:rFonts w:hint="eastAsia" w:ascii="宋体" w:hAnsi="宋体" w:eastAsia="宋体" w:cs="宋体"/>
                <w:color w:val="auto"/>
                <w:sz w:val="21"/>
                <w:szCs w:val="21"/>
                <w:highlight w:val="none"/>
              </w:rPr>
              <w:t>应不超过管子壁厚的10%，且不大于1mm，Δ</w:t>
            </w:r>
            <w:r>
              <w:rPr>
                <w:rFonts w:hint="eastAsia" w:ascii="宋体" w:hAnsi="宋体" w:eastAsia="宋体" w:cs="宋体"/>
                <w:i/>
                <w:iCs/>
                <w:color w:val="auto"/>
                <w:sz w:val="21"/>
                <w:szCs w:val="21"/>
                <w:highlight w:val="none"/>
              </w:rPr>
              <w:t>P</w:t>
            </w:r>
            <w:r>
              <w:rPr>
                <w:rFonts w:hint="eastAsia" w:ascii="宋体" w:hAnsi="宋体" w:eastAsia="宋体" w:cs="宋体"/>
                <w:color w:val="auto"/>
                <w:sz w:val="21"/>
                <w:szCs w:val="21"/>
                <w:highlight w:val="none"/>
              </w:rPr>
              <w:t>也应不超过1 mm。</w:t>
            </w:r>
          </w:p>
          <w:p w14:paraId="49BC7D00">
            <w:pPr>
              <w:snapToGrid w:val="0"/>
              <w:spacing w:line="360" w:lineRule="auto"/>
              <w:ind w:firstLine="0" w:firstLineChars="0"/>
              <w:jc w:val="both"/>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（7）管子对口符合要求后，应固定牢固，避免焊接或热处理过程中管子的移动。</w:t>
            </w:r>
          </w:p>
        </w:tc>
      </w:tr>
      <w:tr w14:paraId="754ED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6E37DEC4">
            <w:pPr>
              <w:autoSpaceDE w:val="0"/>
              <w:autoSpaceDN w:val="0"/>
              <w:adjustRightInd w:val="0"/>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4、新管焊接</w:t>
            </w:r>
          </w:p>
          <w:p w14:paraId="096DDA28">
            <w:pPr>
              <w:snapToGrid w:val="0"/>
              <w:spacing w:line="360" w:lineRule="auto"/>
              <w:ind w:firstLine="0" w:firstLineChars="0"/>
              <w:jc w:val="both"/>
              <w:rPr>
                <w:rFonts w:hint="eastAsia" w:ascii="宋体" w:hAnsi="宋体" w:eastAsia="宋体" w:cs="宋体"/>
                <w:color w:val="auto"/>
                <w:sz w:val="21"/>
                <w:szCs w:val="21"/>
                <w:highlight w:val="none"/>
              </w:rPr>
            </w:pPr>
          </w:p>
        </w:tc>
        <w:tc>
          <w:tcPr>
            <w:tcW w:w="4116" w:type="dxa"/>
          </w:tcPr>
          <w:p w14:paraId="2E9A8226">
            <w:pPr>
              <w:autoSpaceDE w:val="0"/>
              <w:autoSpaceDN w:val="0"/>
              <w:adjustRightInd w:val="0"/>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a）管子对口应按照DL 5190.5-2012 电力建设施工技术规范 第5部分：管道及系统要求进行。</w:t>
            </w:r>
          </w:p>
          <w:p w14:paraId="7AE144DC">
            <w:pPr>
              <w:autoSpaceDE w:val="0"/>
              <w:autoSpaceDN w:val="0"/>
              <w:adjustRightInd w:val="0"/>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b）管子焊接工艺按照DL/T869-2021相关要求进行。</w:t>
            </w:r>
          </w:p>
          <w:p w14:paraId="4B6A7A15">
            <w:pPr>
              <w:autoSpaceDE w:val="0"/>
              <w:autoSpaceDN w:val="0"/>
              <w:adjustRightInd w:val="0"/>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c）鳍片拼缝所使用材质应与鳍片管的膨胀系数一致。</w:t>
            </w:r>
          </w:p>
          <w:p w14:paraId="2B95E30D">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d）新管施工焊口须</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0％无损检测</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采购人指定焊口</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若有缺陷，增加一倍检测比例，并对缺陷进行补焊处理。</w:t>
            </w:r>
          </w:p>
        </w:tc>
        <w:tc>
          <w:tcPr>
            <w:tcW w:w="3051" w:type="dxa"/>
          </w:tcPr>
          <w:p w14:paraId="7A37D098">
            <w:pPr>
              <w:autoSpaceDE w:val="0"/>
              <w:autoSpaceDN w:val="0"/>
              <w:adjustRightInd w:val="0"/>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1.管子焊接的质量标准须符合DL869－2021 的质量标准。</w:t>
            </w:r>
          </w:p>
          <w:p w14:paraId="2F1736B3">
            <w:pPr>
              <w:autoSpaceDE w:val="0"/>
              <w:autoSpaceDN w:val="0"/>
              <w:adjustRightInd w:val="0"/>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2.鳍片拼缝焊缝应保持平整和密封，无超标缺陷。</w:t>
            </w:r>
          </w:p>
          <w:p w14:paraId="4A0D6C9D">
            <w:pPr>
              <w:autoSpaceDE w:val="0"/>
              <w:autoSpaceDN w:val="0"/>
              <w:adjustRightInd w:val="0"/>
              <w:snapToGrid w:val="0"/>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3.新管施工焊口合格率为100％。</w:t>
            </w:r>
          </w:p>
        </w:tc>
      </w:tr>
    </w:tbl>
    <w:p w14:paraId="5DCE706E">
      <w:pPr>
        <w:autoSpaceDE w:val="0"/>
        <w:autoSpaceDN w:val="0"/>
        <w:adjustRightInd w:val="0"/>
        <w:snapToGrid w:val="0"/>
        <w:spacing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3.2检修安全注意事项</w:t>
      </w:r>
    </w:p>
    <w:p w14:paraId="12A54078">
      <w:pPr>
        <w:autoSpaceDE w:val="0"/>
        <w:autoSpaceDN w:val="0"/>
        <w:adjustRightInd w:val="0"/>
        <w:snapToGrid w:val="0"/>
        <w:spacing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（1）进入烟道内从事检修应办理热力机械工作票、动火工作票和高空作业票，工作人员应戴安全帽，穿工作服和劳保皮鞋。</w:t>
      </w:r>
    </w:p>
    <w:p w14:paraId="4D8443E3">
      <w:pPr>
        <w:autoSpaceDE w:val="0"/>
        <w:autoSpaceDN w:val="0"/>
        <w:adjustRightInd w:val="0"/>
        <w:snapToGrid w:val="0"/>
        <w:spacing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（2）进入烟道内检修前，应先清除炉内的松动异物。</w:t>
      </w:r>
    </w:p>
    <w:p w14:paraId="378639E9">
      <w:pPr>
        <w:autoSpaceDE w:val="0"/>
        <w:autoSpaceDN w:val="0"/>
        <w:adjustRightInd w:val="0"/>
        <w:snapToGrid w:val="0"/>
        <w:spacing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（3）有人工作时，禁止带电移动220 伏的临时电灯。</w:t>
      </w:r>
    </w:p>
    <w:p w14:paraId="4D750343">
      <w:pPr>
        <w:autoSpaceDE w:val="0"/>
        <w:autoSpaceDN w:val="0"/>
        <w:adjustRightInd w:val="0"/>
        <w:snapToGrid w:val="0"/>
        <w:spacing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（5）交叉作业时，需确保安全措施牢固可靠。</w:t>
      </w:r>
    </w:p>
    <w:p w14:paraId="284FAFD9">
      <w:pPr>
        <w:autoSpaceDE w:val="0"/>
        <w:autoSpaceDN w:val="0"/>
        <w:adjustRightInd w:val="0"/>
        <w:snapToGrid w:val="0"/>
        <w:spacing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（6）水冷壁管切断后，检修人员需离开现场或歇班无人时，应将管口用锥形木堵头堵严且加封条，防止异物掉入炉管中。</w:t>
      </w:r>
    </w:p>
    <w:p w14:paraId="02F1F484">
      <w:pPr>
        <w:autoSpaceDE w:val="0"/>
        <w:autoSpaceDN w:val="0"/>
        <w:adjustRightInd w:val="0"/>
        <w:snapToGrid w:val="0"/>
        <w:spacing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（8）焊接或切割水冷壁管时，必须由合格的焊工担任此项工作。</w:t>
      </w:r>
    </w:p>
    <w:p w14:paraId="24DBAC36">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（9）膛脚手架必须搭建牢固，脚手架跳板的两端必须用铁丝绑牢在脚手架上。</w:t>
      </w:r>
    </w:p>
    <w:p w14:paraId="15758557">
      <w:pPr>
        <w:pStyle w:val="5"/>
        <w:snapToGrid w:val="0"/>
        <w:spacing w:before="0" w:after="0"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4、防磨喷涂施工技术要求</w:t>
      </w:r>
    </w:p>
    <w:p w14:paraId="2DE941F6">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4.1喷涂工艺过程：工件表面预处理 →工件预热 → 喷涂 → 涂层后处理。</w:t>
      </w:r>
    </w:p>
    <w:p w14:paraId="17508544">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4.2施工工艺参数：</w:t>
      </w:r>
    </w:p>
    <w:tbl>
      <w:tblPr>
        <w:tblStyle w:val="3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1"/>
        <w:gridCol w:w="2256"/>
        <w:gridCol w:w="1911"/>
        <w:gridCol w:w="2035"/>
      </w:tblGrid>
      <w:tr w14:paraId="65D7A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491" w:type="dxa"/>
          </w:tcPr>
          <w:p w14:paraId="57E1F018">
            <w:pPr>
              <w:snapToGrid w:val="0"/>
              <w:spacing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2256" w:type="dxa"/>
          </w:tcPr>
          <w:p w14:paraId="5EE01DDC">
            <w:pPr>
              <w:snapToGrid w:val="0"/>
              <w:spacing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数值</w:t>
            </w:r>
          </w:p>
        </w:tc>
        <w:tc>
          <w:tcPr>
            <w:tcW w:w="1911" w:type="dxa"/>
          </w:tcPr>
          <w:p w14:paraId="446E9697">
            <w:pPr>
              <w:snapToGrid w:val="0"/>
              <w:spacing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2035" w:type="dxa"/>
          </w:tcPr>
          <w:p w14:paraId="5522EE8F">
            <w:pPr>
              <w:snapToGrid w:val="0"/>
              <w:spacing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数值</w:t>
            </w:r>
          </w:p>
        </w:tc>
      </w:tr>
      <w:tr w14:paraId="73834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491" w:type="dxa"/>
            <w:vAlign w:val="center"/>
          </w:tcPr>
          <w:p w14:paraId="3925DF9D">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超音速电弧喷涂粒子速度</w:t>
            </w:r>
          </w:p>
        </w:tc>
        <w:tc>
          <w:tcPr>
            <w:tcW w:w="2256" w:type="dxa"/>
            <w:vAlign w:val="center"/>
          </w:tcPr>
          <w:p w14:paraId="2F23B3A3">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≥386m/s</w:t>
            </w:r>
          </w:p>
        </w:tc>
        <w:tc>
          <w:tcPr>
            <w:tcW w:w="1911" w:type="dxa"/>
            <w:vAlign w:val="center"/>
          </w:tcPr>
          <w:p w14:paraId="661204A0">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超音速电弧涂层结合强度</w:t>
            </w:r>
          </w:p>
        </w:tc>
        <w:tc>
          <w:tcPr>
            <w:tcW w:w="2035" w:type="dxa"/>
            <w:vAlign w:val="center"/>
          </w:tcPr>
          <w:p w14:paraId="7CDD6A09">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≥50Mpa</w:t>
            </w:r>
          </w:p>
        </w:tc>
      </w:tr>
      <w:tr w14:paraId="662E7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491" w:type="dxa"/>
            <w:vAlign w:val="center"/>
          </w:tcPr>
          <w:p w14:paraId="69B39EA6">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超音速电弧涂层硬度</w:t>
            </w:r>
          </w:p>
        </w:tc>
        <w:tc>
          <w:tcPr>
            <w:tcW w:w="2256" w:type="dxa"/>
            <w:vAlign w:val="center"/>
          </w:tcPr>
          <w:p w14:paraId="5CBEB83D">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HV0.3≥650</w:t>
            </w:r>
          </w:p>
        </w:tc>
        <w:tc>
          <w:tcPr>
            <w:tcW w:w="1911" w:type="dxa"/>
            <w:vAlign w:val="center"/>
          </w:tcPr>
          <w:p w14:paraId="7A8C0F5D">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涂层孔隙率</w:t>
            </w:r>
          </w:p>
        </w:tc>
        <w:tc>
          <w:tcPr>
            <w:tcW w:w="2035" w:type="dxa"/>
            <w:vAlign w:val="center"/>
          </w:tcPr>
          <w:p w14:paraId="6F6AEB4D">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≤0.9%</w:t>
            </w:r>
          </w:p>
        </w:tc>
      </w:tr>
      <w:tr w14:paraId="448D0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491" w:type="dxa"/>
            <w:vAlign w:val="center"/>
          </w:tcPr>
          <w:p w14:paraId="542A2862">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抗氧化性</w:t>
            </w:r>
          </w:p>
        </w:tc>
        <w:tc>
          <w:tcPr>
            <w:tcW w:w="2256" w:type="dxa"/>
            <w:vAlign w:val="center"/>
          </w:tcPr>
          <w:p w14:paraId="5BFDB1B4">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+12.16mg/cm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(750</w:t>
            </w:r>
            <w:r>
              <w:rPr>
                <w:rFonts w:hint="eastAsia" w:ascii="宋体" w:hAnsi="宋体" w:eastAsia="宋体" w:cs="宋体"/>
                <w:color w:val="auto"/>
                <w:sz w:val="21"/>
                <w:szCs w:val="21"/>
                <w:highlight w:val="none"/>
                <w:vertAlign w:val="superscript"/>
              </w:rPr>
              <w:t>0</w:t>
            </w:r>
            <w:r>
              <w:rPr>
                <w:rFonts w:hint="eastAsia" w:ascii="宋体" w:hAnsi="宋体" w:eastAsia="宋体" w:cs="宋体"/>
                <w:color w:val="auto"/>
                <w:sz w:val="21"/>
                <w:szCs w:val="21"/>
                <w:highlight w:val="none"/>
              </w:rPr>
              <w:t>C氧化250h)</w:t>
            </w:r>
          </w:p>
        </w:tc>
        <w:tc>
          <w:tcPr>
            <w:tcW w:w="1911" w:type="dxa"/>
            <w:vAlign w:val="center"/>
          </w:tcPr>
          <w:p w14:paraId="715D63D5">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喷涂管壁温度</w:t>
            </w:r>
          </w:p>
        </w:tc>
        <w:tc>
          <w:tcPr>
            <w:tcW w:w="2035" w:type="dxa"/>
            <w:vAlign w:val="center"/>
          </w:tcPr>
          <w:p w14:paraId="06655D8B">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vertAlign w:val="superscript"/>
              </w:rPr>
              <w:t>0</w:t>
            </w:r>
            <w:r>
              <w:rPr>
                <w:rFonts w:hint="eastAsia" w:ascii="宋体" w:hAnsi="宋体" w:eastAsia="宋体" w:cs="宋体"/>
                <w:color w:val="auto"/>
                <w:sz w:val="21"/>
                <w:szCs w:val="21"/>
                <w:highlight w:val="none"/>
              </w:rPr>
              <w:t>C</w:t>
            </w:r>
          </w:p>
        </w:tc>
      </w:tr>
      <w:tr w14:paraId="50A11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491" w:type="dxa"/>
            <w:vAlign w:val="center"/>
          </w:tcPr>
          <w:p w14:paraId="6176EE92">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雾化空气压力</w:t>
            </w:r>
          </w:p>
        </w:tc>
        <w:tc>
          <w:tcPr>
            <w:tcW w:w="2256" w:type="dxa"/>
            <w:vAlign w:val="center"/>
          </w:tcPr>
          <w:p w14:paraId="74A7537B">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0.5-0.6Mpa</w:t>
            </w:r>
          </w:p>
        </w:tc>
        <w:tc>
          <w:tcPr>
            <w:tcW w:w="1911" w:type="dxa"/>
            <w:vAlign w:val="center"/>
          </w:tcPr>
          <w:p w14:paraId="5E399488">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喷涂距离</w:t>
            </w:r>
          </w:p>
        </w:tc>
        <w:tc>
          <w:tcPr>
            <w:tcW w:w="2035" w:type="dxa"/>
            <w:vAlign w:val="center"/>
          </w:tcPr>
          <w:p w14:paraId="0018BF66">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150-200mm</w:t>
            </w:r>
          </w:p>
        </w:tc>
      </w:tr>
      <w:tr w14:paraId="62B0A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491" w:type="dxa"/>
            <w:vAlign w:val="center"/>
          </w:tcPr>
          <w:p w14:paraId="1B575529">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喷涂角度</w:t>
            </w:r>
          </w:p>
        </w:tc>
        <w:tc>
          <w:tcPr>
            <w:tcW w:w="2256" w:type="dxa"/>
            <w:vAlign w:val="center"/>
          </w:tcPr>
          <w:p w14:paraId="19ADD64A">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vertAlign w:val="superscript"/>
              </w:rPr>
              <w:t>0</w:t>
            </w:r>
            <w:r>
              <w:rPr>
                <w:rFonts w:hint="eastAsia" w:ascii="宋体" w:hAnsi="宋体" w:eastAsia="宋体" w:cs="宋体"/>
                <w:color w:val="auto"/>
                <w:sz w:val="21"/>
                <w:szCs w:val="21"/>
                <w:highlight w:val="none"/>
              </w:rPr>
              <w:t>～60</w:t>
            </w:r>
            <w:r>
              <w:rPr>
                <w:rFonts w:hint="eastAsia" w:ascii="宋体" w:hAnsi="宋体" w:eastAsia="宋体" w:cs="宋体"/>
                <w:color w:val="auto"/>
                <w:sz w:val="21"/>
                <w:szCs w:val="21"/>
                <w:highlight w:val="none"/>
                <w:vertAlign w:val="superscript"/>
              </w:rPr>
              <w:t>0</w:t>
            </w:r>
          </w:p>
        </w:tc>
        <w:tc>
          <w:tcPr>
            <w:tcW w:w="1911" w:type="dxa"/>
            <w:vAlign w:val="center"/>
          </w:tcPr>
          <w:p w14:paraId="603750F5">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使喷涂涂层厚度</w:t>
            </w:r>
          </w:p>
        </w:tc>
        <w:tc>
          <w:tcPr>
            <w:tcW w:w="2035" w:type="dxa"/>
            <w:vAlign w:val="center"/>
          </w:tcPr>
          <w:p w14:paraId="6FF29F1E">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0.6-0.8mm</w:t>
            </w:r>
          </w:p>
        </w:tc>
      </w:tr>
    </w:tbl>
    <w:p w14:paraId="168C1159">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4.3喷砂与喷涂每5-6m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间循环进行，喷涂采用#式操作法，喷涂过渡区域宽度为500mm，边缘平滑过渡，无凹凸台阶。</w:t>
      </w:r>
    </w:p>
    <w:p w14:paraId="39667927">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负责提供确保该工程质量的材料，堆焊凹陷处的丝材选用OCr13Ni4MoN焊丝或用1Cr13Ni4MoVNb焊丝，喷涂材料为HDS955及HDS930，并提供合格证书。乙方在现场喷涂设备应无故障，并进行过检定。</w:t>
      </w:r>
    </w:p>
    <w:p w14:paraId="7C3AE537">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采用超音速电弧喷涂工艺，复合涂层，涂层厚度0.6-0.8mm，喷涂材料选用硬度特别高、HDS955作为喷涂底丝（95%镍、5%铝）、耐磨性特别优异的HDS930丝材盖面。在涂层边缘设置过渡区域，过渡区域宽度为500mm，平滑过渡。喷涂前先采取二次喷砂工艺对防磨部位进行表面糙化，即先用石英砂对表面进行清洁，再用金刚砂对管子表面进行糙化处理。</w:t>
      </w:r>
    </w:p>
    <w:p w14:paraId="31CDF274">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乙方应提供符合要求的喷涂用砂，选用14-18目优选砂，其表面粗糙度应达到GB11373-89《热喷涂金属预处理通则》规定的Rz50-90um，表面清洁度达到GB8923-88《涂装前表面锈蚀等级和除锈等级》规定的Sa3.0级，采用2次喷砂工艺。</w:t>
      </w:r>
    </w:p>
    <w:p w14:paraId="33BB0180">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4.7涂层表面采用高温耐磨防腐专用封孔剂封孔。</w:t>
      </w:r>
    </w:p>
    <w:p w14:paraId="36E64D6E">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4.8喷涂后外观表面光滑、平整、致密，不得有塌陷、麻面、起皮、开裂、脱落等现象。</w:t>
      </w:r>
    </w:p>
    <w:p w14:paraId="149B8216">
      <w:pPr>
        <w:pStyle w:val="5"/>
        <w:snapToGrid w:val="0"/>
        <w:spacing w:before="0" w:after="0"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5、浇注料施工技术要求</w:t>
      </w:r>
    </w:p>
    <w:p w14:paraId="5E10539E">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5.1各部位施工浇注料材质均为刚玉</w:t>
      </w:r>
      <w:r>
        <w:rPr>
          <w:rFonts w:hint="eastAsia" w:ascii="宋体" w:hAnsi="宋体" w:eastAsia="宋体" w:cs="宋体"/>
          <w:color w:val="auto"/>
          <w:sz w:val="21"/>
          <w:szCs w:val="21"/>
          <w:highlight w:val="none"/>
          <w:lang w:val="en-US" w:eastAsia="zh-CN"/>
        </w:rPr>
        <w:t>碳化硅可塑料</w:t>
      </w:r>
      <w:r>
        <w:rPr>
          <w:rFonts w:hint="eastAsia" w:ascii="宋体" w:hAnsi="宋体" w:eastAsia="宋体" w:cs="宋体"/>
          <w:color w:val="auto"/>
          <w:sz w:val="21"/>
          <w:szCs w:val="21"/>
          <w:highlight w:val="none"/>
        </w:rPr>
        <w:t>，质量符合</w:t>
      </w:r>
      <w:r>
        <w:rPr>
          <w:rFonts w:hint="eastAsia" w:ascii="宋体" w:hAnsi="宋体" w:eastAsia="宋体" w:cs="宋体"/>
          <w:color w:val="auto"/>
          <w:sz w:val="21"/>
          <w:szCs w:val="21"/>
          <w:highlight w:val="none"/>
          <w:lang w:val="en-US" w:eastAsia="zh-CN"/>
        </w:rPr>
        <w:t>DL</w:t>
      </w:r>
      <w:r>
        <w:rPr>
          <w:rFonts w:hint="eastAsia" w:ascii="宋体" w:hAnsi="宋体" w:eastAsia="宋体" w:cs="宋体"/>
          <w:color w:val="auto"/>
          <w:sz w:val="21"/>
          <w:szCs w:val="21"/>
          <w:highlight w:val="none"/>
        </w:rPr>
        <w:t>/T</w:t>
      </w:r>
      <w:r>
        <w:rPr>
          <w:rFonts w:hint="eastAsia" w:ascii="宋体" w:hAnsi="宋体" w:eastAsia="宋体" w:cs="宋体"/>
          <w:color w:val="auto"/>
          <w:sz w:val="21"/>
          <w:szCs w:val="21"/>
          <w:highlight w:val="none"/>
          <w:lang w:val="en-US" w:eastAsia="zh-CN"/>
        </w:rPr>
        <w:t>902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耐磨耐火材料技术条件与检验规范</w:t>
      </w:r>
      <w:r>
        <w:rPr>
          <w:rFonts w:hint="eastAsia" w:ascii="宋体" w:hAnsi="宋体" w:eastAsia="宋体" w:cs="宋体"/>
          <w:color w:val="auto"/>
          <w:sz w:val="21"/>
          <w:szCs w:val="21"/>
          <w:highlight w:val="none"/>
        </w:rPr>
        <w:t>》规要求，抓钉材质为310S，Y型，长度50mm。</w:t>
      </w:r>
    </w:p>
    <w:p w14:paraId="6ED4756F">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5.2抓钉焊接应在水压试验前完成，呈梅花型布置，布置数量为25个/㎡。</w:t>
      </w:r>
    </w:p>
    <w:p w14:paraId="778BE285">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5.3浇注料敷设前应在膜式壁和抓钉上涂刷一层沥青漆，厚度不小于1mm。</w:t>
      </w:r>
    </w:p>
    <w:p w14:paraId="505D220D">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5.4浇注料制作时水质应符合自来水标准。适宜施工温度30℃，不能在低于5℃的施工环境下进行施工。</w:t>
      </w:r>
    </w:p>
    <w:p w14:paraId="601D1784">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5.5在搅拌前，应计算所需要的物料量，不要盲目开启物料的包装袋。包装袋开启后，应立即使用。</w:t>
      </w:r>
    </w:p>
    <w:p w14:paraId="66206EEA">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5.6将物料倒进搅拌器，干搅直至材料混合均匀。按规定要求进行加水搅拌，加水量严格控制，不能随意增减。</w:t>
      </w:r>
    </w:p>
    <w:p w14:paraId="5E4ECC1A">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5.7浇注料制作完成后，必须具有足够的流动度，并应及时用完，制作好的浇注料超过30min未用完严禁使用。</w:t>
      </w:r>
    </w:p>
    <w:p w14:paraId="5D9B4543">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5.8敷设浇注料后应逐片全部振捣密实，施工完毕后，表面用塑料加厚膜覆盖，隔绝空气养护。</w:t>
      </w:r>
    </w:p>
    <w:p w14:paraId="6E80C811">
      <w:pPr>
        <w:snapToGrid w:val="0"/>
        <w:spacing w:line="360" w:lineRule="auto"/>
        <w:ind w:left="48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5.9当搅拌工作全部结束后，将搅拌器及现场清洗干净，及时断开电源</w:t>
      </w:r>
    </w:p>
    <w:p w14:paraId="71C58149">
      <w:pPr>
        <w:pStyle w:val="5"/>
        <w:snapToGrid w:val="0"/>
        <w:spacing w:before="0" w:after="0"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6、保温施工技术规范</w:t>
      </w:r>
    </w:p>
    <w:p w14:paraId="59A7A41B">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6.1工艺要求：</w:t>
      </w:r>
    </w:p>
    <w:p w14:paraId="3E05ACCC">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（1）汽化烟道本体分两层保温。内层：100mm硅酸铝毡，外层：100mm</w:t>
      </w:r>
      <w:r>
        <w:rPr>
          <w:rFonts w:hint="eastAsia" w:ascii="宋体" w:hAnsi="宋体" w:eastAsia="宋体" w:cs="宋体"/>
          <w:color w:val="auto"/>
          <w:sz w:val="21"/>
          <w:szCs w:val="21"/>
          <w:highlight w:val="none"/>
          <w:lang w:val="en-US" w:eastAsia="zh-CN"/>
        </w:rPr>
        <w:t>硅酸铝毡</w:t>
      </w:r>
      <w:r>
        <w:rPr>
          <w:rFonts w:hint="eastAsia" w:ascii="宋体" w:hAnsi="宋体" w:eastAsia="宋体" w:cs="宋体"/>
          <w:color w:val="auto"/>
          <w:sz w:val="21"/>
          <w:szCs w:val="21"/>
          <w:highlight w:val="none"/>
        </w:rPr>
        <w:t>。外包铁丝网和0.5mm铝皮。</w:t>
      </w:r>
    </w:p>
    <w:p w14:paraId="1DC082F4">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（2）汽化烟道本体外包铝皮需设置加固筋，加固筋采用4×40mm 的扁钢制作，每间隔1.5米设置一道加固筋，钩钉采用8号铁丝现场制作施焊。</w:t>
      </w:r>
    </w:p>
    <w:p w14:paraId="7D7E4EA1">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（3）管道保温厚度为150mm，垂直管道保温，每间隔5米要求按设置保温棉承重托架。</w:t>
      </w:r>
    </w:p>
    <w:p w14:paraId="27B8E79F">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6.2材料要求：</w:t>
      </w:r>
    </w:p>
    <w:p w14:paraId="5C54CAE7">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硅酸铝制品的容重为：130 kg/m³。</w:t>
      </w:r>
    </w:p>
    <w:p w14:paraId="4470C66B">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6.3施工技术要求：</w:t>
      </w:r>
    </w:p>
    <w:p w14:paraId="1335876D">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（1）烟道本体膜式壁保温施工应在锅炉水压试验合格后进行。</w:t>
      </w:r>
    </w:p>
    <w:p w14:paraId="473BC94B">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锅炉本体膜式壁钩钉安装应符合厂家设计要求，其中密封盒周边、一二段补偿器端口等部位保温钩钉布置应适当加密。保温层应紧贴锅炉膜式壁，密封盒周边等部位保温层应密实，同层保温应挤缝、错缝，上下层压缝，错缝、压缝长度宜不小于100mm。</w:t>
      </w:r>
    </w:p>
    <w:p w14:paraId="2503B4F2">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（3）钩钉呈梅花型布置，布置间距不大于350m，布置应均匀，排列整齐，侧面数量不少于6个/㎡，底面数量不少于8个/㎡。</w:t>
      </w:r>
    </w:p>
    <w:p w14:paraId="5E755D1B">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（4）保温层的钩钉不允许直接焊接在设备或管道上，在设备和管道上保温应增设包箍体。</w:t>
      </w:r>
    </w:p>
    <w:p w14:paraId="41C2C91C">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（5）铁丝网铺设应张紧并紧贴保温层，无凸起、翘边，搭接尺寸应不小于 20mm。</w:t>
      </w:r>
    </w:p>
    <w:p w14:paraId="7B0CD194">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（6）金属外保护层施工除应符合下列规定:</w:t>
      </w:r>
    </w:p>
    <w:p w14:paraId="40892903">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外保护层在障碍处应切口整齐、形状规则，预留足够空间，不得影响支吊架、执行机构等设备的正常动作。膨胀补偿器等部位的保温外保护层应采用滑动连接方式，管道吊架处外保护层宜采用可拆卸式金属罩盒。</w:t>
      </w:r>
    </w:p>
    <w:p w14:paraId="06284EB8">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2）外保护层应紧贴保温层，接缝严密、无翘边。保护层搭接尺寸应不小于50mm；纵向接缝错开间距一致，垂直管道纵向应顺水搭接，室外布置的水平管道外保护层纵向接缝宜在管道下半部左右 45°范围内。</w:t>
      </w:r>
    </w:p>
    <w:p w14:paraId="288D42CB">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3）管道外保护层按膨胀方向设置的滑动连接，接口应符合下列规定:中低温管道滑动连接接口设置间距宜为4m~6m，搭接尺寸宜为 75mm~90mm。弯头与直管接口处滑动连接，搭接尺寸应为100mm~150mm。滑动搭接处不得安装固定件且不应出现张口。管道外保护层的环向、纵向搭接处应做凸筋结构。</w:t>
      </w:r>
    </w:p>
    <w:p w14:paraId="03248206">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4）管道弯头外保护层施工应符合规定:分节数应能满足内外弧线圆滑过渡的要求，环向接缝应采用正、反凸筋嵌接，内外弧均应设置拉筋。保温后外径大于或等于 500mm的弯头外保护层分节片搭接尺寸应为 10mm~20mm，宜采用双自攻螺钉固定。</w:t>
      </w:r>
    </w:p>
    <w:p w14:paraId="5364605E">
      <w:pPr>
        <w:pStyle w:val="3"/>
        <w:snapToGrid w:val="0"/>
        <w:spacing w:line="360" w:lineRule="auto"/>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五、</w:t>
      </w:r>
      <w:r>
        <w:rPr>
          <w:rFonts w:hint="eastAsia" w:ascii="宋体" w:hAnsi="宋体" w:eastAsia="宋体" w:cs="宋体"/>
          <w:snapToGrid w:val="0"/>
          <w:color w:val="auto"/>
          <w:sz w:val="21"/>
          <w:szCs w:val="21"/>
          <w:highlight w:val="none"/>
        </w:rPr>
        <w:t>安全文明施工与环境保护</w:t>
      </w:r>
    </w:p>
    <w:p w14:paraId="4EAF5268">
      <w:pPr>
        <w:widowControl w:val="0"/>
        <w:kinsoku/>
        <w:autoSpaceDE/>
        <w:autoSpaceDN/>
        <w:adjustRightInd w:val="0"/>
        <w:snapToGrid w:val="0"/>
        <w:spacing w:before="0" w:line="360" w:lineRule="auto"/>
        <w:ind w:right="0" w:firstLine="480"/>
        <w:jc w:val="both"/>
        <w:textAlignment w:val="auto"/>
        <w:rPr>
          <w:rFonts w:hint="eastAsia" w:ascii="宋体" w:hAnsi="宋体" w:eastAsia="宋体" w:cs="宋体"/>
          <w:snapToGrid/>
          <w:color w:val="auto"/>
          <w:sz w:val="21"/>
          <w:szCs w:val="21"/>
          <w:highlight w:val="none"/>
        </w:rPr>
      </w:pPr>
      <w:r>
        <w:rPr>
          <w:rFonts w:hint="eastAsia" w:ascii="宋体" w:hAnsi="宋体" w:eastAsia="宋体" w:cs="宋体"/>
          <w:snapToGrid/>
          <w:color w:val="auto"/>
          <w:sz w:val="21"/>
          <w:szCs w:val="21"/>
          <w:highlight w:val="none"/>
        </w:rPr>
        <w:t>5.1</w:t>
      </w:r>
      <w:r>
        <w:rPr>
          <w:rFonts w:hint="eastAsia" w:ascii="宋体" w:hAnsi="宋体" w:eastAsia="宋体" w:cs="宋体"/>
          <w:snapToGrid/>
          <w:color w:val="auto"/>
          <w:sz w:val="21"/>
          <w:szCs w:val="21"/>
          <w:highlight w:val="none"/>
          <w:lang w:eastAsia="zh-CN"/>
        </w:rPr>
        <w:t>投标人</w:t>
      </w:r>
      <w:r>
        <w:rPr>
          <w:rFonts w:hint="eastAsia" w:ascii="宋体" w:hAnsi="宋体" w:eastAsia="宋体" w:cs="宋体"/>
          <w:snapToGrid/>
          <w:color w:val="auto"/>
          <w:sz w:val="21"/>
          <w:szCs w:val="21"/>
          <w:highlight w:val="none"/>
        </w:rPr>
        <w:t>必须严格贯彻国家有关安全生产的方针、政策、规定及</w:t>
      </w:r>
      <w:r>
        <w:rPr>
          <w:rFonts w:hint="eastAsia" w:ascii="宋体" w:hAnsi="宋体" w:eastAsia="宋体" w:cs="宋体"/>
          <w:snapToGrid/>
          <w:color w:val="auto"/>
          <w:sz w:val="21"/>
          <w:szCs w:val="21"/>
          <w:highlight w:val="none"/>
          <w:lang w:eastAsia="zh-CN"/>
        </w:rPr>
        <w:t>采购人</w:t>
      </w:r>
      <w:r>
        <w:rPr>
          <w:rFonts w:hint="eastAsia" w:ascii="宋体" w:hAnsi="宋体" w:eastAsia="宋体" w:cs="宋体"/>
          <w:snapToGrid/>
          <w:color w:val="auto"/>
          <w:sz w:val="21"/>
          <w:szCs w:val="21"/>
          <w:highlight w:val="none"/>
        </w:rPr>
        <w:t>有关安全、文明施工及环境保护</w:t>
      </w:r>
      <w:r>
        <w:rPr>
          <w:rFonts w:hint="eastAsia" w:ascii="宋体" w:hAnsi="宋体" w:eastAsia="宋体" w:cs="宋体"/>
          <w:snapToGrid/>
          <w:color w:val="auto"/>
          <w:spacing w:val="0"/>
          <w:sz w:val="21"/>
          <w:szCs w:val="21"/>
          <w:highlight w:val="none"/>
        </w:rPr>
        <w:t xml:space="preserve"> 的规定，把“安全第一，预防为主</w:t>
      </w:r>
      <w:r>
        <w:rPr>
          <w:rFonts w:hint="eastAsia" w:ascii="宋体" w:hAnsi="宋体" w:cs="宋体"/>
          <w:snapToGrid/>
          <w:color w:val="auto"/>
          <w:spacing w:val="0"/>
          <w:sz w:val="21"/>
          <w:szCs w:val="21"/>
          <w:highlight w:val="none"/>
          <w:lang w:eastAsia="zh-CN"/>
        </w:rPr>
        <w:t>，</w:t>
      </w:r>
      <w:r>
        <w:rPr>
          <w:rFonts w:hint="eastAsia" w:ascii="宋体" w:hAnsi="宋体" w:cs="宋体"/>
          <w:snapToGrid/>
          <w:color w:val="auto"/>
          <w:spacing w:val="0"/>
          <w:sz w:val="21"/>
          <w:szCs w:val="21"/>
          <w:highlight w:val="none"/>
          <w:lang w:val="en-US" w:eastAsia="zh-CN"/>
        </w:rPr>
        <w:t>综合治理</w:t>
      </w:r>
      <w:r>
        <w:rPr>
          <w:rFonts w:hint="eastAsia" w:ascii="宋体" w:hAnsi="宋体" w:eastAsia="宋体" w:cs="宋体"/>
          <w:snapToGrid/>
          <w:color w:val="auto"/>
          <w:spacing w:val="0"/>
          <w:sz w:val="21"/>
          <w:szCs w:val="21"/>
          <w:highlight w:val="none"/>
        </w:rPr>
        <w:t>”的安全生产方针落实到施工管理中，建立健全安全文明施工管理网络。</w:t>
      </w:r>
    </w:p>
    <w:p w14:paraId="14A49D39">
      <w:pPr>
        <w:widowControl w:val="0"/>
        <w:kinsoku/>
        <w:autoSpaceDE/>
        <w:autoSpaceDN/>
        <w:adjustRightInd w:val="0"/>
        <w:snapToGrid w:val="0"/>
        <w:spacing w:before="0" w:line="360" w:lineRule="auto"/>
        <w:ind w:right="0" w:firstLine="480"/>
        <w:jc w:val="both"/>
        <w:textAlignment w:val="auto"/>
        <w:rPr>
          <w:rFonts w:hint="eastAsia" w:ascii="宋体" w:hAnsi="宋体" w:eastAsia="宋体" w:cs="宋体"/>
          <w:snapToGrid/>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snapToGrid/>
          <w:color w:val="auto"/>
          <w:spacing w:val="0"/>
          <w:sz w:val="21"/>
          <w:szCs w:val="21"/>
          <w:highlight w:val="none"/>
        </w:rPr>
        <w:t>.2</w:t>
      </w:r>
      <w:r>
        <w:rPr>
          <w:rFonts w:hint="eastAsia" w:ascii="宋体" w:hAnsi="宋体" w:eastAsia="宋体" w:cs="宋体"/>
          <w:snapToGrid/>
          <w:color w:val="auto"/>
          <w:spacing w:val="0"/>
          <w:sz w:val="21"/>
          <w:szCs w:val="21"/>
          <w:highlight w:val="none"/>
          <w:lang w:eastAsia="zh-CN"/>
        </w:rPr>
        <w:t>投标人</w:t>
      </w:r>
      <w:r>
        <w:rPr>
          <w:rFonts w:hint="eastAsia" w:ascii="宋体" w:hAnsi="宋体" w:eastAsia="宋体" w:cs="宋体"/>
          <w:snapToGrid/>
          <w:color w:val="auto"/>
          <w:spacing w:val="0"/>
          <w:sz w:val="21"/>
          <w:szCs w:val="21"/>
          <w:highlight w:val="none"/>
        </w:rPr>
        <w:t>负责施工现场的安全及第三方人身安全，工程开工前按国家有关规定要求提交安全施工措施； 工程开工前3日内购买工人人身意外伤害保险，</w:t>
      </w:r>
      <w:r>
        <w:rPr>
          <w:rFonts w:hint="eastAsia" w:ascii="宋体" w:hAnsi="宋体" w:eastAsia="宋体" w:cs="宋体"/>
          <w:snapToGrid/>
          <w:color w:val="auto"/>
          <w:spacing w:val="0"/>
          <w:sz w:val="21"/>
          <w:szCs w:val="21"/>
          <w:highlight w:val="none"/>
          <w:lang w:eastAsia="zh-CN"/>
        </w:rPr>
        <w:t>投标人</w:t>
      </w:r>
      <w:r>
        <w:rPr>
          <w:rFonts w:hint="eastAsia" w:ascii="宋体" w:hAnsi="宋体" w:eastAsia="宋体" w:cs="宋体"/>
          <w:snapToGrid/>
          <w:color w:val="auto"/>
          <w:spacing w:val="0"/>
          <w:sz w:val="21"/>
          <w:szCs w:val="21"/>
          <w:highlight w:val="none"/>
        </w:rPr>
        <w:t>与现场施工人员必须签订劳动合同，并办理工伤保险。</w:t>
      </w:r>
    </w:p>
    <w:p w14:paraId="7942C5F9">
      <w:pPr>
        <w:widowControl w:val="0"/>
        <w:kinsoku/>
        <w:autoSpaceDE/>
        <w:autoSpaceDN/>
        <w:adjustRightInd w:val="0"/>
        <w:snapToGrid w:val="0"/>
        <w:spacing w:before="0" w:line="360" w:lineRule="auto"/>
        <w:ind w:firstLine="480"/>
        <w:jc w:val="both"/>
        <w:textAlignment w:val="auto"/>
        <w:rPr>
          <w:rFonts w:hint="eastAsia" w:ascii="宋体" w:hAnsi="宋体" w:eastAsia="宋体" w:cs="宋体"/>
          <w:snapToGrid/>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snapToGrid/>
          <w:color w:val="auto"/>
          <w:spacing w:val="0"/>
          <w:sz w:val="21"/>
          <w:szCs w:val="21"/>
          <w:highlight w:val="none"/>
        </w:rPr>
        <w:t>.3</w:t>
      </w:r>
      <w:r>
        <w:rPr>
          <w:rFonts w:hint="eastAsia" w:ascii="宋体" w:hAnsi="宋体" w:eastAsia="宋体" w:cs="宋体"/>
          <w:snapToGrid/>
          <w:color w:val="auto"/>
          <w:spacing w:val="0"/>
          <w:sz w:val="21"/>
          <w:szCs w:val="21"/>
          <w:highlight w:val="none"/>
          <w:lang w:eastAsia="zh-CN"/>
        </w:rPr>
        <w:t>投标人</w:t>
      </w:r>
      <w:r>
        <w:rPr>
          <w:rFonts w:hint="eastAsia" w:ascii="宋体" w:hAnsi="宋体" w:eastAsia="宋体" w:cs="宋体"/>
          <w:snapToGrid/>
          <w:color w:val="auto"/>
          <w:spacing w:val="0"/>
          <w:sz w:val="21"/>
          <w:szCs w:val="21"/>
          <w:highlight w:val="none"/>
        </w:rPr>
        <w:t>须严格按安全标准组织施工，并随时接受</w:t>
      </w:r>
      <w:r>
        <w:rPr>
          <w:rFonts w:hint="eastAsia" w:ascii="宋体" w:hAnsi="宋体" w:eastAsia="宋体" w:cs="宋体"/>
          <w:snapToGrid/>
          <w:color w:val="auto"/>
          <w:spacing w:val="0"/>
          <w:sz w:val="21"/>
          <w:szCs w:val="21"/>
          <w:highlight w:val="none"/>
          <w:lang w:eastAsia="zh-CN"/>
        </w:rPr>
        <w:t>采购人</w:t>
      </w:r>
      <w:r>
        <w:rPr>
          <w:rFonts w:hint="eastAsia" w:ascii="宋体" w:hAnsi="宋体" w:eastAsia="宋体" w:cs="宋体"/>
          <w:snapToGrid/>
          <w:color w:val="auto"/>
          <w:spacing w:val="0"/>
          <w:sz w:val="21"/>
          <w:szCs w:val="21"/>
          <w:highlight w:val="none"/>
        </w:rPr>
        <w:t>或行业安全检查人员依照法规实施的监督检查，</w:t>
      </w:r>
      <w:r>
        <w:rPr>
          <w:rFonts w:hint="eastAsia" w:ascii="宋体" w:hAnsi="宋体" w:eastAsia="宋体" w:cs="宋体"/>
          <w:snapToGrid/>
          <w:color w:val="auto"/>
          <w:sz w:val="21"/>
          <w:szCs w:val="21"/>
          <w:highlight w:val="none"/>
        </w:rPr>
        <w:t xml:space="preserve"> </w:t>
      </w:r>
      <w:r>
        <w:rPr>
          <w:rFonts w:hint="eastAsia" w:ascii="宋体" w:hAnsi="宋体" w:eastAsia="宋体" w:cs="宋体"/>
          <w:snapToGrid/>
          <w:color w:val="auto"/>
          <w:spacing w:val="0"/>
          <w:sz w:val="21"/>
          <w:szCs w:val="21"/>
          <w:highlight w:val="none"/>
        </w:rPr>
        <w:t>采取必要的安全防范措施，发现隐患，及时地进行整改。由于</w:t>
      </w:r>
      <w:r>
        <w:rPr>
          <w:rFonts w:hint="eastAsia" w:ascii="宋体" w:hAnsi="宋体" w:eastAsia="宋体" w:cs="宋体"/>
          <w:snapToGrid/>
          <w:color w:val="auto"/>
          <w:spacing w:val="0"/>
          <w:sz w:val="21"/>
          <w:szCs w:val="21"/>
          <w:highlight w:val="none"/>
          <w:lang w:eastAsia="zh-CN"/>
        </w:rPr>
        <w:t>投标人</w:t>
      </w:r>
      <w:r>
        <w:rPr>
          <w:rFonts w:hint="eastAsia" w:ascii="宋体" w:hAnsi="宋体" w:eastAsia="宋体" w:cs="宋体"/>
          <w:snapToGrid/>
          <w:color w:val="auto"/>
          <w:spacing w:val="0"/>
          <w:sz w:val="21"/>
          <w:szCs w:val="21"/>
          <w:highlight w:val="none"/>
        </w:rPr>
        <w:t>原因造成的安全事故及由此引起的经济损失，所有责任均由</w:t>
      </w:r>
      <w:r>
        <w:rPr>
          <w:rFonts w:hint="eastAsia" w:ascii="宋体" w:hAnsi="宋体" w:eastAsia="宋体" w:cs="宋体"/>
          <w:snapToGrid/>
          <w:color w:val="auto"/>
          <w:spacing w:val="0"/>
          <w:sz w:val="21"/>
          <w:szCs w:val="21"/>
          <w:highlight w:val="none"/>
          <w:lang w:eastAsia="zh-CN"/>
        </w:rPr>
        <w:t>投标人</w:t>
      </w:r>
      <w:r>
        <w:rPr>
          <w:rFonts w:hint="eastAsia" w:ascii="宋体" w:hAnsi="宋体" w:eastAsia="宋体" w:cs="宋体"/>
          <w:snapToGrid/>
          <w:color w:val="auto"/>
          <w:spacing w:val="0"/>
          <w:sz w:val="21"/>
          <w:szCs w:val="21"/>
          <w:highlight w:val="none"/>
        </w:rPr>
        <w:t>承担；由于</w:t>
      </w:r>
      <w:r>
        <w:rPr>
          <w:rFonts w:hint="eastAsia" w:ascii="宋体" w:hAnsi="宋体" w:eastAsia="宋体" w:cs="宋体"/>
          <w:snapToGrid/>
          <w:color w:val="auto"/>
          <w:spacing w:val="0"/>
          <w:sz w:val="21"/>
          <w:szCs w:val="21"/>
          <w:highlight w:val="none"/>
          <w:lang w:eastAsia="zh-CN"/>
        </w:rPr>
        <w:t>投标人</w:t>
      </w:r>
      <w:r>
        <w:rPr>
          <w:rFonts w:hint="eastAsia" w:ascii="宋体" w:hAnsi="宋体" w:eastAsia="宋体" w:cs="宋体"/>
          <w:snapToGrid/>
          <w:color w:val="auto"/>
          <w:spacing w:val="0"/>
          <w:sz w:val="21"/>
          <w:szCs w:val="21"/>
          <w:highlight w:val="none"/>
        </w:rPr>
        <w:t>原因造成</w:t>
      </w:r>
      <w:r>
        <w:rPr>
          <w:rFonts w:hint="eastAsia" w:ascii="宋体" w:hAnsi="宋体" w:eastAsia="宋体" w:cs="宋体"/>
          <w:snapToGrid/>
          <w:color w:val="auto"/>
          <w:spacing w:val="0"/>
          <w:sz w:val="21"/>
          <w:szCs w:val="21"/>
          <w:highlight w:val="none"/>
          <w:lang w:eastAsia="zh-CN"/>
        </w:rPr>
        <w:t>采购人</w:t>
      </w:r>
      <w:r>
        <w:rPr>
          <w:rFonts w:hint="eastAsia" w:ascii="宋体" w:hAnsi="宋体" w:eastAsia="宋体" w:cs="宋体"/>
          <w:snapToGrid/>
          <w:color w:val="auto"/>
          <w:spacing w:val="0"/>
          <w:sz w:val="21"/>
          <w:szCs w:val="21"/>
          <w:highlight w:val="none"/>
        </w:rPr>
        <w:t>承担业主的经济损失则由全部由</w:t>
      </w:r>
      <w:r>
        <w:rPr>
          <w:rFonts w:hint="eastAsia" w:ascii="宋体" w:hAnsi="宋体" w:eastAsia="宋体" w:cs="宋体"/>
          <w:snapToGrid/>
          <w:color w:val="auto"/>
          <w:spacing w:val="0"/>
          <w:sz w:val="21"/>
          <w:szCs w:val="21"/>
          <w:highlight w:val="none"/>
          <w:lang w:eastAsia="zh-CN"/>
        </w:rPr>
        <w:t>投标人</w:t>
      </w:r>
      <w:r>
        <w:rPr>
          <w:rFonts w:hint="eastAsia" w:ascii="宋体" w:hAnsi="宋体" w:eastAsia="宋体" w:cs="宋体"/>
          <w:snapToGrid/>
          <w:color w:val="auto"/>
          <w:spacing w:val="0"/>
          <w:sz w:val="21"/>
          <w:szCs w:val="21"/>
          <w:highlight w:val="none"/>
        </w:rPr>
        <w:t>承担。</w:t>
      </w:r>
    </w:p>
    <w:p w14:paraId="68CA566F">
      <w:pPr>
        <w:snapToGrid w:val="0"/>
        <w:spacing w:before="0" w:line="360" w:lineRule="auto"/>
        <w:ind w:left="0" w:right="0" w:firstLine="480"/>
        <w:rPr>
          <w:rFonts w:hint="eastAsia" w:ascii="宋体" w:hAnsi="宋体" w:eastAsia="宋体" w:cs="宋体"/>
          <w:snapToGrid/>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snapToGrid/>
          <w:color w:val="auto"/>
          <w:sz w:val="21"/>
          <w:szCs w:val="21"/>
          <w:highlight w:val="none"/>
        </w:rPr>
        <w:t>.4工程施工过程中，</w:t>
      </w:r>
      <w:r>
        <w:rPr>
          <w:rFonts w:hint="eastAsia" w:ascii="宋体" w:hAnsi="宋体" w:eastAsia="宋体" w:cs="宋体"/>
          <w:snapToGrid/>
          <w:color w:val="auto"/>
          <w:sz w:val="21"/>
          <w:szCs w:val="21"/>
          <w:highlight w:val="none"/>
          <w:lang w:eastAsia="zh-CN"/>
        </w:rPr>
        <w:t>投标人</w:t>
      </w:r>
      <w:r>
        <w:rPr>
          <w:rFonts w:hint="eastAsia" w:ascii="宋体" w:hAnsi="宋体" w:eastAsia="宋体" w:cs="宋体"/>
          <w:snapToGrid/>
          <w:color w:val="auto"/>
          <w:sz w:val="21"/>
          <w:szCs w:val="21"/>
          <w:highlight w:val="none"/>
        </w:rPr>
        <w:t>应保持施工现场及周边环境的清洁，设备、材料堆放应整齐有序，做到“工 完、料尽、场地清”,搞好文明施工和环境保护，已完工的施工项目在试运移交前负责成品保管。若</w:t>
      </w:r>
      <w:r>
        <w:rPr>
          <w:rFonts w:hint="eastAsia" w:ascii="宋体" w:hAnsi="宋体" w:eastAsia="宋体" w:cs="宋体"/>
          <w:snapToGrid/>
          <w:color w:val="auto"/>
          <w:sz w:val="21"/>
          <w:szCs w:val="21"/>
          <w:highlight w:val="none"/>
          <w:lang w:eastAsia="zh-CN"/>
        </w:rPr>
        <w:t>投标人</w:t>
      </w:r>
      <w:r>
        <w:rPr>
          <w:rFonts w:hint="eastAsia" w:ascii="宋体" w:hAnsi="宋体" w:eastAsia="宋体" w:cs="宋体"/>
          <w:snapToGrid/>
          <w:color w:val="auto"/>
          <w:sz w:val="21"/>
          <w:szCs w:val="21"/>
          <w:highlight w:val="none"/>
        </w:rPr>
        <w:t>不 及时清理垃圾、废料和临时设施，</w:t>
      </w:r>
      <w:r>
        <w:rPr>
          <w:rFonts w:hint="eastAsia" w:ascii="宋体" w:hAnsi="宋体" w:eastAsia="宋体" w:cs="宋体"/>
          <w:snapToGrid/>
          <w:color w:val="auto"/>
          <w:sz w:val="21"/>
          <w:szCs w:val="21"/>
          <w:highlight w:val="none"/>
          <w:lang w:eastAsia="zh-CN"/>
        </w:rPr>
        <w:t>采购人</w:t>
      </w:r>
      <w:r>
        <w:rPr>
          <w:rFonts w:hint="eastAsia" w:ascii="宋体" w:hAnsi="宋体" w:eastAsia="宋体" w:cs="宋体"/>
          <w:snapToGrid/>
          <w:color w:val="auto"/>
          <w:sz w:val="21"/>
          <w:szCs w:val="21"/>
          <w:highlight w:val="none"/>
        </w:rPr>
        <w:t>有权委托其他方清理，费用从工程结算款中扣除。</w:t>
      </w:r>
    </w:p>
    <w:p w14:paraId="6C735B97">
      <w:pPr>
        <w:snapToGrid w:val="0"/>
        <w:spacing w:before="0" w:line="360" w:lineRule="auto"/>
        <w:ind w:left="0" w:right="0" w:firstLine="480"/>
        <w:rPr>
          <w:rFonts w:hint="eastAsia" w:ascii="宋体" w:hAnsi="宋体" w:eastAsia="宋体" w:cs="宋体"/>
          <w:snapToGrid/>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snapToGrid/>
          <w:color w:val="auto"/>
          <w:sz w:val="21"/>
          <w:szCs w:val="21"/>
          <w:highlight w:val="none"/>
        </w:rPr>
        <w:t>.5</w:t>
      </w:r>
      <w:r>
        <w:rPr>
          <w:rFonts w:hint="eastAsia" w:ascii="宋体" w:hAnsi="宋体" w:eastAsia="宋体" w:cs="宋体"/>
          <w:snapToGrid/>
          <w:color w:val="auto"/>
          <w:sz w:val="21"/>
          <w:szCs w:val="21"/>
          <w:highlight w:val="none"/>
          <w:lang w:eastAsia="zh-CN"/>
        </w:rPr>
        <w:t>投标人</w:t>
      </w:r>
      <w:r>
        <w:rPr>
          <w:rFonts w:hint="eastAsia" w:ascii="宋体" w:hAnsi="宋体" w:eastAsia="宋体" w:cs="宋体"/>
          <w:snapToGrid/>
          <w:color w:val="auto"/>
          <w:sz w:val="21"/>
          <w:szCs w:val="21"/>
          <w:highlight w:val="none"/>
        </w:rPr>
        <w:t>负责人是安全施工第一责任者，对</w:t>
      </w:r>
      <w:r>
        <w:rPr>
          <w:rFonts w:hint="eastAsia" w:ascii="宋体" w:hAnsi="宋体" w:eastAsia="宋体" w:cs="宋体"/>
          <w:snapToGrid/>
          <w:color w:val="auto"/>
          <w:sz w:val="21"/>
          <w:szCs w:val="21"/>
          <w:highlight w:val="none"/>
          <w:lang w:eastAsia="zh-CN"/>
        </w:rPr>
        <w:t>投标人</w:t>
      </w:r>
      <w:r>
        <w:rPr>
          <w:rFonts w:hint="eastAsia" w:ascii="宋体" w:hAnsi="宋体" w:eastAsia="宋体" w:cs="宋体"/>
          <w:snapToGrid/>
          <w:color w:val="auto"/>
          <w:sz w:val="21"/>
          <w:szCs w:val="21"/>
          <w:highlight w:val="none"/>
        </w:rPr>
        <w:t>人员的安全负责，</w:t>
      </w:r>
      <w:r>
        <w:rPr>
          <w:rFonts w:hint="eastAsia" w:ascii="宋体" w:hAnsi="宋体" w:eastAsia="宋体" w:cs="宋体"/>
          <w:snapToGrid/>
          <w:color w:val="auto"/>
          <w:sz w:val="21"/>
          <w:szCs w:val="21"/>
          <w:highlight w:val="none"/>
          <w:lang w:eastAsia="zh-CN"/>
        </w:rPr>
        <w:t>投标人</w:t>
      </w:r>
      <w:r>
        <w:rPr>
          <w:rFonts w:hint="eastAsia" w:ascii="宋体" w:hAnsi="宋体" w:eastAsia="宋体" w:cs="宋体"/>
          <w:snapToGrid/>
          <w:color w:val="auto"/>
          <w:sz w:val="21"/>
          <w:szCs w:val="21"/>
          <w:highlight w:val="none"/>
        </w:rPr>
        <w:t>必须按照规定为施工人员配备应有的劳动保护用品、用具，</w:t>
      </w:r>
      <w:r>
        <w:rPr>
          <w:rFonts w:hint="eastAsia" w:ascii="宋体" w:hAnsi="宋体" w:eastAsia="宋体" w:cs="宋体"/>
          <w:snapToGrid/>
          <w:color w:val="auto"/>
          <w:sz w:val="21"/>
          <w:szCs w:val="21"/>
          <w:highlight w:val="none"/>
          <w:lang w:eastAsia="zh-CN"/>
        </w:rPr>
        <w:t>投标人</w:t>
      </w:r>
      <w:r>
        <w:rPr>
          <w:rFonts w:hint="eastAsia" w:ascii="宋体" w:hAnsi="宋体" w:eastAsia="宋体" w:cs="宋体"/>
          <w:snapToGrid/>
          <w:color w:val="auto"/>
          <w:sz w:val="21"/>
          <w:szCs w:val="21"/>
          <w:highlight w:val="none"/>
        </w:rPr>
        <w:t>有30人及以上施工时，应设立专职安全员(具有资格证及一定的现场管 理经验),少于30人时应设兼职安全员。</w:t>
      </w:r>
    </w:p>
    <w:p w14:paraId="0ADA27BE">
      <w:pPr>
        <w:snapToGrid w:val="0"/>
        <w:spacing w:before="0" w:line="360" w:lineRule="auto"/>
        <w:ind w:left="0" w:right="0" w:firstLine="480"/>
        <w:rPr>
          <w:rFonts w:hint="eastAsia" w:ascii="宋体" w:hAnsi="宋体" w:eastAsia="宋体" w:cs="宋体"/>
          <w:snapToGrid/>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snapToGrid/>
          <w:color w:val="auto"/>
          <w:sz w:val="21"/>
          <w:szCs w:val="21"/>
          <w:highlight w:val="none"/>
        </w:rPr>
        <w:t>.6</w:t>
      </w:r>
      <w:r>
        <w:rPr>
          <w:rFonts w:hint="eastAsia" w:ascii="宋体" w:hAnsi="宋体" w:eastAsia="宋体" w:cs="宋体"/>
          <w:snapToGrid/>
          <w:color w:val="auto"/>
          <w:sz w:val="21"/>
          <w:szCs w:val="21"/>
          <w:highlight w:val="none"/>
          <w:lang w:eastAsia="zh-CN"/>
        </w:rPr>
        <w:t>投标人</w:t>
      </w:r>
      <w:r>
        <w:rPr>
          <w:rFonts w:hint="eastAsia" w:ascii="宋体" w:hAnsi="宋体" w:eastAsia="宋体" w:cs="宋体"/>
          <w:snapToGrid/>
          <w:color w:val="auto"/>
          <w:sz w:val="21"/>
          <w:szCs w:val="21"/>
          <w:highlight w:val="none"/>
        </w:rPr>
        <w:t>必须为其现场管理人员和施工人员提供必须的、质量符合有关规定的安全防护用品和用具，确 保其施工人员的人身安全和健康。</w:t>
      </w:r>
    </w:p>
    <w:p w14:paraId="6257BB5B">
      <w:pPr>
        <w:snapToGrid w:val="0"/>
        <w:spacing w:before="0" w:line="360" w:lineRule="auto"/>
        <w:ind w:left="0" w:right="0" w:firstLine="480"/>
        <w:rPr>
          <w:rFonts w:hint="eastAsia" w:ascii="宋体" w:hAnsi="宋体" w:eastAsia="宋体" w:cs="宋体"/>
          <w:snapToGrid/>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snapToGrid/>
          <w:color w:val="auto"/>
          <w:sz w:val="21"/>
          <w:szCs w:val="21"/>
          <w:highlight w:val="none"/>
        </w:rPr>
        <w:t>.7对由于不可抗力引起的事故或损失，根据双方各自的职责，各自承担相应的责任及损失，同时双方应 尽最大的努力减少损失，由于不可抗力而不能达到合同目的或合同无法履行，双方可书面解除合同。</w:t>
      </w:r>
    </w:p>
    <w:p w14:paraId="64FCC39B">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snapToGrid w:val="0"/>
          <w:color w:val="auto"/>
          <w:sz w:val="21"/>
          <w:szCs w:val="21"/>
          <w:highlight w:val="none"/>
        </w:rPr>
        <w:t>.8施工单位应</w:t>
      </w:r>
      <w:r>
        <w:rPr>
          <w:rFonts w:hint="eastAsia" w:ascii="宋体" w:hAnsi="宋体" w:eastAsia="宋体" w:cs="宋体"/>
          <w:color w:val="auto"/>
          <w:sz w:val="21"/>
          <w:szCs w:val="21"/>
          <w:highlight w:val="none"/>
        </w:rPr>
        <w:t>于开工</w:t>
      </w:r>
      <w:r>
        <w:rPr>
          <w:rFonts w:hint="eastAsia" w:ascii="宋体" w:hAnsi="宋体" w:eastAsia="宋体" w:cs="宋体"/>
          <w:snapToGrid w:val="0"/>
          <w:color w:val="auto"/>
          <w:sz w:val="21"/>
          <w:szCs w:val="21"/>
          <w:highlight w:val="none"/>
        </w:rPr>
        <w:t>前三天</w:t>
      </w:r>
      <w:r>
        <w:rPr>
          <w:rFonts w:hint="eastAsia" w:ascii="宋体" w:hAnsi="宋体" w:eastAsia="宋体" w:cs="宋体"/>
          <w:color w:val="auto"/>
          <w:sz w:val="21"/>
          <w:szCs w:val="21"/>
          <w:highlight w:val="none"/>
        </w:rPr>
        <w:t>至广青科技金属有限公司办理安全施工许可证，并提供员工个人体检报告（一年期内体检报告均有效）。</w:t>
      </w:r>
    </w:p>
    <w:p w14:paraId="6D8BC0FA">
      <w:pPr>
        <w:pStyle w:val="3"/>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六、供货范围（</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必须仔细阅读本技术规范书之三、施工工程量中备注内容，内有</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供货基本范围。另，</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供货的材质等技术要求详见以下清单。本清单的数量和范围仅为基本要求，以</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需核实本次</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的图纸等参考文件，凡有遗漏、短缺均为</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负责）</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959"/>
        <w:gridCol w:w="1974"/>
        <w:gridCol w:w="1107"/>
        <w:gridCol w:w="1662"/>
        <w:gridCol w:w="2446"/>
      </w:tblGrid>
      <w:tr w14:paraId="0F9AC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5491989B">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959" w:type="dxa"/>
          </w:tcPr>
          <w:p w14:paraId="73BEEC2E">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1974" w:type="dxa"/>
          </w:tcPr>
          <w:p w14:paraId="1DB5774D">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1107" w:type="dxa"/>
          </w:tcPr>
          <w:p w14:paraId="170AA890">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662" w:type="dxa"/>
          </w:tcPr>
          <w:p w14:paraId="194FB0DF">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2446" w:type="dxa"/>
          </w:tcPr>
          <w:p w14:paraId="2130F7F5">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3034B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9" w:type="dxa"/>
            <w:gridSpan w:val="6"/>
          </w:tcPr>
          <w:p w14:paraId="31B12546">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1、保温材料</w:t>
            </w:r>
          </w:p>
        </w:tc>
      </w:tr>
      <w:tr w14:paraId="5890D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CBF5990">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959" w:type="dxa"/>
          </w:tcPr>
          <w:p w14:paraId="4D12CD00">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内层硅酸铝纤维毡</w:t>
            </w:r>
          </w:p>
        </w:tc>
        <w:tc>
          <w:tcPr>
            <w:tcW w:w="1974" w:type="dxa"/>
          </w:tcPr>
          <w:p w14:paraId="6D2509AC">
            <w:pPr>
              <w:snapToGrid w:val="0"/>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容重：1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 kg/m³</w:t>
            </w:r>
          </w:p>
        </w:tc>
        <w:tc>
          <w:tcPr>
            <w:tcW w:w="1107" w:type="dxa"/>
          </w:tcPr>
          <w:p w14:paraId="61D5A990">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m³</w:t>
            </w:r>
          </w:p>
        </w:tc>
        <w:tc>
          <w:tcPr>
            <w:tcW w:w="1662" w:type="dxa"/>
          </w:tcPr>
          <w:p w14:paraId="2D546CC4">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17.8</w:t>
            </w:r>
          </w:p>
        </w:tc>
        <w:tc>
          <w:tcPr>
            <w:tcW w:w="2446" w:type="dxa"/>
          </w:tcPr>
          <w:p w14:paraId="148B260A">
            <w:pPr>
              <w:snapToGrid w:val="0"/>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单台=（3.7+1.3+0.25）*3.14*2.7=44.5</w:t>
            </w:r>
          </w:p>
          <w:p w14:paraId="5F17978C">
            <w:pPr>
              <w:snapToGrid w:val="0"/>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V</w:t>
            </w:r>
            <w:r>
              <w:rPr>
                <w:rFonts w:hint="eastAsia" w:ascii="宋体" w:hAnsi="宋体" w:eastAsia="宋体" w:cs="宋体"/>
                <w:color w:val="auto"/>
                <w:sz w:val="21"/>
                <w:szCs w:val="21"/>
                <w:highlight w:val="none"/>
                <w:vertAlign w:val="subscript"/>
              </w:rPr>
              <w:t>1</w:t>
            </w:r>
            <w:r>
              <w:rPr>
                <w:rFonts w:hint="eastAsia" w:ascii="宋体" w:hAnsi="宋体" w:eastAsia="宋体" w:cs="宋体"/>
                <w:color w:val="auto"/>
                <w:sz w:val="21"/>
                <w:szCs w:val="21"/>
                <w:highlight w:val="none"/>
              </w:rPr>
              <w:t>总=4*44.5*0.1</w:t>
            </w:r>
          </w:p>
        </w:tc>
      </w:tr>
      <w:tr w14:paraId="07F91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364096A">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959" w:type="dxa"/>
          </w:tcPr>
          <w:p w14:paraId="7A794AB2">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第二层硅酸铝纤维毡</w:t>
            </w:r>
          </w:p>
        </w:tc>
        <w:tc>
          <w:tcPr>
            <w:tcW w:w="1974" w:type="dxa"/>
          </w:tcPr>
          <w:p w14:paraId="60796521">
            <w:pPr>
              <w:snapToGrid w:val="0"/>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容重：130 kg/m³</w:t>
            </w:r>
          </w:p>
        </w:tc>
        <w:tc>
          <w:tcPr>
            <w:tcW w:w="1107" w:type="dxa"/>
          </w:tcPr>
          <w:p w14:paraId="59DB71AD">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m³</w:t>
            </w:r>
          </w:p>
        </w:tc>
        <w:tc>
          <w:tcPr>
            <w:tcW w:w="1662" w:type="dxa"/>
          </w:tcPr>
          <w:p w14:paraId="700C3FEE">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76.24</w:t>
            </w:r>
          </w:p>
        </w:tc>
        <w:tc>
          <w:tcPr>
            <w:tcW w:w="2446" w:type="dxa"/>
          </w:tcPr>
          <w:p w14:paraId="3B21E7DA">
            <w:pPr>
              <w:snapToGrid w:val="0"/>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单台=（3.7+1.3+0.25）*3.14*2.8=46.16</w:t>
            </w:r>
          </w:p>
          <w:p w14:paraId="309226C6">
            <w:pPr>
              <w:snapToGrid w:val="0"/>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V</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rPr>
              <w:t>总=4*46.16*0.1+V</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rPr>
              <w:t>+V</w:t>
            </w:r>
            <w:r>
              <w:rPr>
                <w:rFonts w:hint="eastAsia" w:ascii="宋体" w:hAnsi="宋体" w:eastAsia="宋体" w:cs="宋体"/>
                <w:color w:val="auto"/>
                <w:sz w:val="21"/>
                <w:szCs w:val="21"/>
                <w:highlight w:val="none"/>
                <w:vertAlign w:val="subscript"/>
              </w:rPr>
              <w:t>3</w:t>
            </w:r>
            <w:r>
              <w:rPr>
                <w:rFonts w:hint="eastAsia" w:ascii="宋体" w:hAnsi="宋体" w:eastAsia="宋体" w:cs="宋体"/>
                <w:color w:val="auto"/>
                <w:sz w:val="21"/>
                <w:szCs w:val="21"/>
                <w:highlight w:val="none"/>
              </w:rPr>
              <w:t>+V</w:t>
            </w:r>
            <w:r>
              <w:rPr>
                <w:rFonts w:hint="eastAsia" w:ascii="宋体" w:hAnsi="宋体" w:eastAsia="宋体" w:cs="宋体"/>
                <w:color w:val="auto"/>
                <w:sz w:val="21"/>
                <w:szCs w:val="21"/>
                <w:highlight w:val="none"/>
                <w:vertAlign w:val="subscript"/>
              </w:rPr>
              <w:t>4</w:t>
            </w:r>
          </w:p>
        </w:tc>
      </w:tr>
      <w:tr w14:paraId="55DB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733F788E">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959" w:type="dxa"/>
          </w:tcPr>
          <w:p w14:paraId="4C63696A">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铁丝网</w:t>
            </w:r>
          </w:p>
        </w:tc>
        <w:tc>
          <w:tcPr>
            <w:tcW w:w="1974" w:type="dxa"/>
          </w:tcPr>
          <w:p w14:paraId="314AFAD6">
            <w:pPr>
              <w:snapToGrid w:val="0"/>
              <w:spacing w:line="360" w:lineRule="auto"/>
              <w:ind w:firstLine="0" w:firstLineChars="0"/>
              <w:jc w:val="left"/>
              <w:rPr>
                <w:rFonts w:hint="eastAsia" w:ascii="宋体" w:hAnsi="宋体" w:eastAsia="宋体" w:cs="宋体"/>
                <w:color w:val="auto"/>
                <w:sz w:val="21"/>
                <w:szCs w:val="21"/>
                <w:highlight w:val="none"/>
              </w:rPr>
            </w:pPr>
          </w:p>
        </w:tc>
        <w:tc>
          <w:tcPr>
            <w:tcW w:w="1107" w:type="dxa"/>
          </w:tcPr>
          <w:p w14:paraId="30A76A88">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662" w:type="dxa"/>
          </w:tcPr>
          <w:p w14:paraId="3326C2D8">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w:t>
            </w:r>
          </w:p>
        </w:tc>
        <w:tc>
          <w:tcPr>
            <w:tcW w:w="2446" w:type="dxa"/>
          </w:tcPr>
          <w:p w14:paraId="497987F2">
            <w:pPr>
              <w:snapToGrid w:val="0"/>
              <w:spacing w:line="360" w:lineRule="auto"/>
              <w:ind w:firstLine="0" w:firstLineChars="0"/>
              <w:jc w:val="both"/>
              <w:rPr>
                <w:rFonts w:hint="eastAsia" w:ascii="宋体" w:hAnsi="宋体" w:eastAsia="宋体" w:cs="宋体"/>
                <w:color w:val="auto"/>
                <w:sz w:val="21"/>
                <w:szCs w:val="21"/>
                <w:highlight w:val="none"/>
              </w:rPr>
            </w:pPr>
          </w:p>
        </w:tc>
      </w:tr>
      <w:tr w14:paraId="1D281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57635585">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959" w:type="dxa"/>
          </w:tcPr>
          <w:p w14:paraId="7CF8D397">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铝板</w:t>
            </w:r>
          </w:p>
        </w:tc>
        <w:tc>
          <w:tcPr>
            <w:tcW w:w="1974" w:type="dxa"/>
          </w:tcPr>
          <w:p w14:paraId="30F8198C">
            <w:pPr>
              <w:snapToGrid w:val="0"/>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厚度δ=0.5mm</w:t>
            </w:r>
          </w:p>
        </w:tc>
        <w:tc>
          <w:tcPr>
            <w:tcW w:w="1107" w:type="dxa"/>
          </w:tcPr>
          <w:p w14:paraId="2C42C7D2">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662" w:type="dxa"/>
          </w:tcPr>
          <w:p w14:paraId="30DC16E8">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c>
          <w:tcPr>
            <w:tcW w:w="2446" w:type="dxa"/>
          </w:tcPr>
          <w:p w14:paraId="27A91514">
            <w:pPr>
              <w:snapToGrid w:val="0"/>
              <w:spacing w:line="360" w:lineRule="auto"/>
              <w:ind w:firstLine="0" w:firstLineChars="0"/>
              <w:jc w:val="both"/>
              <w:rPr>
                <w:rFonts w:hint="eastAsia" w:ascii="宋体" w:hAnsi="宋体" w:eastAsia="宋体" w:cs="宋体"/>
                <w:color w:val="auto"/>
                <w:sz w:val="21"/>
                <w:szCs w:val="21"/>
                <w:highlight w:val="none"/>
              </w:rPr>
            </w:pPr>
          </w:p>
        </w:tc>
      </w:tr>
      <w:tr w14:paraId="75E6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354E2EEB">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959" w:type="dxa"/>
          </w:tcPr>
          <w:p w14:paraId="44F7C0EB">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铆钉、自攻螺钉</w:t>
            </w:r>
          </w:p>
        </w:tc>
        <w:tc>
          <w:tcPr>
            <w:tcW w:w="1974" w:type="dxa"/>
          </w:tcPr>
          <w:p w14:paraId="70264585">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M2.5*10</w:t>
            </w:r>
          </w:p>
        </w:tc>
        <w:tc>
          <w:tcPr>
            <w:tcW w:w="1107" w:type="dxa"/>
          </w:tcPr>
          <w:p w14:paraId="743D4515">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w:t>
            </w:r>
          </w:p>
        </w:tc>
        <w:tc>
          <w:tcPr>
            <w:tcW w:w="1662" w:type="dxa"/>
          </w:tcPr>
          <w:p w14:paraId="220E236C">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满足使用</w:t>
            </w:r>
          </w:p>
        </w:tc>
        <w:tc>
          <w:tcPr>
            <w:tcW w:w="2446" w:type="dxa"/>
          </w:tcPr>
          <w:p w14:paraId="2DDAE8AA">
            <w:pPr>
              <w:snapToGrid w:val="0"/>
              <w:spacing w:line="360" w:lineRule="auto"/>
              <w:ind w:firstLine="0" w:firstLineChars="0"/>
              <w:jc w:val="both"/>
              <w:rPr>
                <w:rFonts w:hint="eastAsia" w:ascii="宋体" w:hAnsi="宋体" w:eastAsia="宋体" w:cs="宋体"/>
                <w:color w:val="auto"/>
                <w:sz w:val="21"/>
                <w:szCs w:val="21"/>
                <w:highlight w:val="none"/>
              </w:rPr>
            </w:pPr>
          </w:p>
        </w:tc>
      </w:tr>
      <w:tr w14:paraId="51986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6A6FD20B">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959" w:type="dxa"/>
          </w:tcPr>
          <w:p w14:paraId="7D55DB37">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钩钉或铁丝</w:t>
            </w:r>
          </w:p>
        </w:tc>
        <w:tc>
          <w:tcPr>
            <w:tcW w:w="1974" w:type="dxa"/>
          </w:tcPr>
          <w:p w14:paraId="72330788">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07" w:type="dxa"/>
          </w:tcPr>
          <w:p w14:paraId="37DD6FE6">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kg</w:t>
            </w:r>
          </w:p>
        </w:tc>
        <w:tc>
          <w:tcPr>
            <w:tcW w:w="1662" w:type="dxa"/>
          </w:tcPr>
          <w:p w14:paraId="2BB3AE25">
            <w:pPr>
              <w:snapToGrid w:val="0"/>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满足使用</w:t>
            </w:r>
          </w:p>
        </w:tc>
        <w:tc>
          <w:tcPr>
            <w:tcW w:w="2446" w:type="dxa"/>
          </w:tcPr>
          <w:p w14:paraId="09B45E3B">
            <w:pPr>
              <w:snapToGrid w:val="0"/>
              <w:spacing w:line="360" w:lineRule="auto"/>
              <w:ind w:firstLine="0" w:firstLineChars="0"/>
              <w:jc w:val="both"/>
              <w:rPr>
                <w:rFonts w:hint="eastAsia" w:ascii="宋体" w:hAnsi="宋体" w:eastAsia="宋体" w:cs="宋体"/>
                <w:color w:val="auto"/>
                <w:sz w:val="21"/>
                <w:szCs w:val="21"/>
                <w:highlight w:val="none"/>
              </w:rPr>
            </w:pPr>
          </w:p>
        </w:tc>
      </w:tr>
      <w:tr w14:paraId="507B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9" w:type="dxa"/>
            <w:gridSpan w:val="6"/>
          </w:tcPr>
          <w:p w14:paraId="3D9275B5">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2、防磨浇注材料</w:t>
            </w:r>
          </w:p>
        </w:tc>
      </w:tr>
      <w:tr w14:paraId="72EE0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7E6655A9">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959" w:type="dxa"/>
          </w:tcPr>
          <w:p w14:paraId="3BFF88F2">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刚玉碳化硅可塑料</w:t>
            </w:r>
          </w:p>
        </w:tc>
        <w:tc>
          <w:tcPr>
            <w:tcW w:w="1974" w:type="dxa"/>
          </w:tcPr>
          <w:p w14:paraId="3DD92C36">
            <w:pPr>
              <w:snapToGrid w:val="0"/>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DL/T 902-2017</w:t>
            </w:r>
          </w:p>
        </w:tc>
        <w:tc>
          <w:tcPr>
            <w:tcW w:w="1107" w:type="dxa"/>
          </w:tcPr>
          <w:p w14:paraId="0DBB2575">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m³</w:t>
            </w:r>
          </w:p>
        </w:tc>
        <w:tc>
          <w:tcPr>
            <w:tcW w:w="1662" w:type="dxa"/>
          </w:tcPr>
          <w:p w14:paraId="3EE42EFF">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2446" w:type="dxa"/>
          </w:tcPr>
          <w:p w14:paraId="526C90D3">
            <w:pPr>
              <w:snapToGrid w:val="0"/>
              <w:spacing w:line="360" w:lineRule="auto"/>
              <w:ind w:firstLine="0" w:firstLineChars="0"/>
              <w:jc w:val="both"/>
              <w:rPr>
                <w:rFonts w:hint="eastAsia" w:ascii="宋体" w:hAnsi="宋体" w:eastAsia="宋体" w:cs="宋体"/>
                <w:color w:val="auto"/>
                <w:sz w:val="21"/>
                <w:szCs w:val="21"/>
                <w:highlight w:val="none"/>
              </w:rPr>
            </w:pPr>
          </w:p>
        </w:tc>
      </w:tr>
      <w:tr w14:paraId="1A74E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4DFDC833">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959" w:type="dxa"/>
          </w:tcPr>
          <w:p w14:paraId="7C7EFE08">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抓钉</w:t>
            </w:r>
          </w:p>
        </w:tc>
        <w:tc>
          <w:tcPr>
            <w:tcW w:w="1974" w:type="dxa"/>
          </w:tcPr>
          <w:p w14:paraId="6A4ABB50">
            <w:pPr>
              <w:snapToGrid w:val="0"/>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材质为310S，Y型，L=50mm</w:t>
            </w:r>
          </w:p>
        </w:tc>
        <w:tc>
          <w:tcPr>
            <w:tcW w:w="1107" w:type="dxa"/>
          </w:tcPr>
          <w:p w14:paraId="025CE330">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1662" w:type="dxa"/>
          </w:tcPr>
          <w:p w14:paraId="41C1E147">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800</w:t>
            </w:r>
          </w:p>
        </w:tc>
        <w:tc>
          <w:tcPr>
            <w:tcW w:w="2446" w:type="dxa"/>
          </w:tcPr>
          <w:p w14:paraId="0B5EAA24">
            <w:pPr>
              <w:snapToGrid w:val="0"/>
              <w:spacing w:line="360" w:lineRule="auto"/>
              <w:ind w:firstLine="0" w:firstLineChars="0"/>
              <w:jc w:val="both"/>
              <w:rPr>
                <w:rFonts w:hint="eastAsia" w:ascii="宋体" w:hAnsi="宋体" w:eastAsia="宋体" w:cs="宋体"/>
                <w:color w:val="auto"/>
                <w:sz w:val="21"/>
                <w:szCs w:val="21"/>
                <w:highlight w:val="none"/>
              </w:rPr>
            </w:pPr>
          </w:p>
        </w:tc>
      </w:tr>
      <w:tr w14:paraId="64926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526682F5">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959" w:type="dxa"/>
          </w:tcPr>
          <w:p w14:paraId="137138BA">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沥青漆</w:t>
            </w:r>
          </w:p>
        </w:tc>
        <w:tc>
          <w:tcPr>
            <w:tcW w:w="1974" w:type="dxa"/>
          </w:tcPr>
          <w:p w14:paraId="48113CF2">
            <w:pPr>
              <w:snapToGrid w:val="0"/>
              <w:spacing w:line="360" w:lineRule="auto"/>
              <w:ind w:firstLine="0" w:firstLineChars="0"/>
              <w:jc w:val="both"/>
              <w:rPr>
                <w:rFonts w:hint="eastAsia" w:ascii="宋体" w:hAnsi="宋体" w:eastAsia="宋体" w:cs="宋体"/>
                <w:color w:val="auto"/>
                <w:sz w:val="21"/>
                <w:szCs w:val="21"/>
                <w:highlight w:val="none"/>
              </w:rPr>
            </w:pPr>
          </w:p>
        </w:tc>
        <w:tc>
          <w:tcPr>
            <w:tcW w:w="1107" w:type="dxa"/>
          </w:tcPr>
          <w:p w14:paraId="61A7E5F8">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kg</w:t>
            </w:r>
          </w:p>
        </w:tc>
        <w:tc>
          <w:tcPr>
            <w:tcW w:w="1662" w:type="dxa"/>
          </w:tcPr>
          <w:p w14:paraId="6A9421C4">
            <w:pPr>
              <w:snapToGrid w:val="0"/>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满足使用</w:t>
            </w:r>
          </w:p>
        </w:tc>
        <w:tc>
          <w:tcPr>
            <w:tcW w:w="2446" w:type="dxa"/>
          </w:tcPr>
          <w:p w14:paraId="6B61A2F6">
            <w:pPr>
              <w:snapToGrid w:val="0"/>
              <w:spacing w:line="360" w:lineRule="auto"/>
              <w:ind w:firstLine="0" w:firstLineChars="0"/>
              <w:jc w:val="both"/>
              <w:rPr>
                <w:rFonts w:hint="eastAsia" w:ascii="宋体" w:hAnsi="宋体" w:eastAsia="宋体" w:cs="宋体"/>
                <w:color w:val="auto"/>
                <w:sz w:val="21"/>
                <w:szCs w:val="21"/>
                <w:highlight w:val="none"/>
              </w:rPr>
            </w:pPr>
          </w:p>
        </w:tc>
      </w:tr>
      <w:tr w14:paraId="4808C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9" w:type="dxa"/>
            <w:gridSpan w:val="6"/>
          </w:tcPr>
          <w:p w14:paraId="743DD5A8">
            <w:pPr>
              <w:snapToGrid w:val="0"/>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3、防磨喷涂材料</w:t>
            </w:r>
          </w:p>
        </w:tc>
      </w:tr>
      <w:tr w14:paraId="11B5F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0EEF693">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959" w:type="dxa"/>
          </w:tcPr>
          <w:p w14:paraId="0F2BD633">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喷底材料</w:t>
            </w:r>
          </w:p>
        </w:tc>
        <w:tc>
          <w:tcPr>
            <w:tcW w:w="1974" w:type="dxa"/>
          </w:tcPr>
          <w:p w14:paraId="704969F0">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HDS955</w:t>
            </w:r>
          </w:p>
        </w:tc>
        <w:tc>
          <w:tcPr>
            <w:tcW w:w="1107" w:type="dxa"/>
          </w:tcPr>
          <w:p w14:paraId="180CD65D">
            <w:pPr>
              <w:snapToGrid w:val="0"/>
              <w:spacing w:line="360" w:lineRule="auto"/>
              <w:ind w:firstLine="0" w:firstLineChars="0"/>
              <w:jc w:val="both"/>
              <w:rPr>
                <w:rFonts w:hint="eastAsia" w:ascii="宋体" w:hAnsi="宋体" w:eastAsia="宋体" w:cs="宋体"/>
                <w:color w:val="auto"/>
                <w:sz w:val="21"/>
                <w:szCs w:val="21"/>
                <w:highlight w:val="none"/>
              </w:rPr>
            </w:pPr>
          </w:p>
        </w:tc>
        <w:tc>
          <w:tcPr>
            <w:tcW w:w="1662" w:type="dxa"/>
            <w:vMerge w:val="restart"/>
          </w:tcPr>
          <w:p w14:paraId="30C8AA33">
            <w:pPr>
              <w:snapToGrid w:val="0"/>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总喷涂面积405平米，涂层厚度0.6-0.8mm。需满足此工程量的使用要求</w:t>
            </w:r>
          </w:p>
        </w:tc>
        <w:tc>
          <w:tcPr>
            <w:tcW w:w="2446" w:type="dxa"/>
          </w:tcPr>
          <w:p w14:paraId="57F98A1A">
            <w:pPr>
              <w:snapToGrid w:val="0"/>
              <w:spacing w:line="360" w:lineRule="auto"/>
              <w:ind w:firstLine="0" w:firstLineChars="0"/>
              <w:jc w:val="both"/>
              <w:rPr>
                <w:rFonts w:hint="eastAsia" w:ascii="宋体" w:hAnsi="宋体" w:eastAsia="宋体" w:cs="宋体"/>
                <w:color w:val="auto"/>
                <w:sz w:val="21"/>
                <w:szCs w:val="21"/>
                <w:highlight w:val="none"/>
              </w:rPr>
            </w:pPr>
          </w:p>
        </w:tc>
      </w:tr>
      <w:tr w14:paraId="4E6F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25300C7">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959" w:type="dxa"/>
          </w:tcPr>
          <w:p w14:paraId="76AA42B0">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工作面材料</w:t>
            </w:r>
          </w:p>
        </w:tc>
        <w:tc>
          <w:tcPr>
            <w:tcW w:w="1974" w:type="dxa"/>
          </w:tcPr>
          <w:p w14:paraId="0D066B4F">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HDS930</w:t>
            </w:r>
          </w:p>
        </w:tc>
        <w:tc>
          <w:tcPr>
            <w:tcW w:w="1107" w:type="dxa"/>
          </w:tcPr>
          <w:p w14:paraId="04637EEE">
            <w:pPr>
              <w:snapToGrid w:val="0"/>
              <w:spacing w:line="360" w:lineRule="auto"/>
              <w:ind w:firstLine="0" w:firstLineChars="0"/>
              <w:jc w:val="both"/>
              <w:rPr>
                <w:rFonts w:hint="eastAsia" w:ascii="宋体" w:hAnsi="宋体" w:eastAsia="宋体" w:cs="宋体"/>
                <w:color w:val="auto"/>
                <w:sz w:val="21"/>
                <w:szCs w:val="21"/>
                <w:highlight w:val="none"/>
              </w:rPr>
            </w:pPr>
          </w:p>
        </w:tc>
        <w:tc>
          <w:tcPr>
            <w:tcW w:w="1662" w:type="dxa"/>
            <w:vMerge w:val="continue"/>
          </w:tcPr>
          <w:p w14:paraId="08DB2504">
            <w:pPr>
              <w:snapToGrid w:val="0"/>
              <w:spacing w:line="360" w:lineRule="auto"/>
              <w:ind w:firstLine="480"/>
              <w:jc w:val="left"/>
              <w:rPr>
                <w:rFonts w:hint="eastAsia" w:ascii="宋体" w:hAnsi="宋体" w:eastAsia="宋体" w:cs="宋体"/>
                <w:color w:val="auto"/>
                <w:sz w:val="21"/>
                <w:szCs w:val="21"/>
                <w:highlight w:val="none"/>
              </w:rPr>
            </w:pPr>
          </w:p>
        </w:tc>
        <w:tc>
          <w:tcPr>
            <w:tcW w:w="2446" w:type="dxa"/>
          </w:tcPr>
          <w:p w14:paraId="22886A42">
            <w:pPr>
              <w:snapToGrid w:val="0"/>
              <w:spacing w:line="360" w:lineRule="auto"/>
              <w:ind w:firstLine="0" w:firstLineChars="0"/>
              <w:jc w:val="both"/>
              <w:rPr>
                <w:rFonts w:hint="eastAsia" w:ascii="宋体" w:hAnsi="宋体" w:eastAsia="宋体" w:cs="宋体"/>
                <w:color w:val="auto"/>
                <w:sz w:val="21"/>
                <w:szCs w:val="21"/>
                <w:highlight w:val="none"/>
              </w:rPr>
            </w:pPr>
          </w:p>
        </w:tc>
      </w:tr>
      <w:tr w14:paraId="22D9A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6AF9720">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959" w:type="dxa"/>
          </w:tcPr>
          <w:p w14:paraId="43DFA459">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封孔剂</w:t>
            </w:r>
          </w:p>
        </w:tc>
        <w:tc>
          <w:tcPr>
            <w:tcW w:w="1974" w:type="dxa"/>
          </w:tcPr>
          <w:p w14:paraId="37809357">
            <w:pPr>
              <w:snapToGrid w:val="0"/>
              <w:spacing w:line="360" w:lineRule="auto"/>
              <w:ind w:firstLine="0" w:firstLineChars="0"/>
              <w:jc w:val="both"/>
              <w:rPr>
                <w:rFonts w:hint="eastAsia" w:ascii="宋体" w:hAnsi="宋体" w:eastAsia="宋体" w:cs="宋体"/>
                <w:color w:val="auto"/>
                <w:sz w:val="21"/>
                <w:szCs w:val="21"/>
                <w:highlight w:val="none"/>
              </w:rPr>
            </w:pPr>
          </w:p>
        </w:tc>
        <w:tc>
          <w:tcPr>
            <w:tcW w:w="1107" w:type="dxa"/>
          </w:tcPr>
          <w:p w14:paraId="226D4984">
            <w:pPr>
              <w:snapToGrid w:val="0"/>
              <w:spacing w:line="360" w:lineRule="auto"/>
              <w:ind w:firstLine="0" w:firstLineChars="0"/>
              <w:jc w:val="both"/>
              <w:rPr>
                <w:rFonts w:hint="eastAsia" w:ascii="宋体" w:hAnsi="宋体" w:eastAsia="宋体" w:cs="宋体"/>
                <w:color w:val="auto"/>
                <w:sz w:val="21"/>
                <w:szCs w:val="21"/>
                <w:highlight w:val="none"/>
              </w:rPr>
            </w:pPr>
          </w:p>
        </w:tc>
        <w:tc>
          <w:tcPr>
            <w:tcW w:w="1662" w:type="dxa"/>
            <w:vMerge w:val="continue"/>
          </w:tcPr>
          <w:p w14:paraId="65FAF6DD">
            <w:pPr>
              <w:snapToGrid w:val="0"/>
              <w:spacing w:line="360" w:lineRule="auto"/>
              <w:ind w:firstLine="480"/>
              <w:jc w:val="left"/>
              <w:rPr>
                <w:rFonts w:hint="eastAsia" w:ascii="宋体" w:hAnsi="宋体" w:eastAsia="宋体" w:cs="宋体"/>
                <w:color w:val="auto"/>
                <w:sz w:val="21"/>
                <w:szCs w:val="21"/>
                <w:highlight w:val="none"/>
              </w:rPr>
            </w:pPr>
          </w:p>
        </w:tc>
        <w:tc>
          <w:tcPr>
            <w:tcW w:w="2446" w:type="dxa"/>
          </w:tcPr>
          <w:p w14:paraId="1E1FE41D">
            <w:pPr>
              <w:snapToGrid w:val="0"/>
              <w:spacing w:line="360" w:lineRule="auto"/>
              <w:ind w:firstLine="0" w:firstLineChars="0"/>
              <w:jc w:val="both"/>
              <w:rPr>
                <w:rFonts w:hint="eastAsia" w:ascii="宋体" w:hAnsi="宋体" w:eastAsia="宋体" w:cs="宋体"/>
                <w:color w:val="auto"/>
                <w:sz w:val="21"/>
                <w:szCs w:val="21"/>
                <w:highlight w:val="none"/>
              </w:rPr>
            </w:pPr>
          </w:p>
        </w:tc>
      </w:tr>
      <w:tr w14:paraId="7BDC7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087B63ED">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959" w:type="dxa"/>
          </w:tcPr>
          <w:p w14:paraId="01CDDBF9">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堆焊材料</w:t>
            </w:r>
          </w:p>
        </w:tc>
        <w:tc>
          <w:tcPr>
            <w:tcW w:w="1974" w:type="dxa"/>
          </w:tcPr>
          <w:p w14:paraId="7EAE568A">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OCr13Ni4MoN焊丝或用1Cr13Ni4MoVNb焊丝</w:t>
            </w:r>
          </w:p>
        </w:tc>
        <w:tc>
          <w:tcPr>
            <w:tcW w:w="1107" w:type="dxa"/>
          </w:tcPr>
          <w:p w14:paraId="361AB968">
            <w:pPr>
              <w:snapToGrid w:val="0"/>
              <w:spacing w:line="360" w:lineRule="auto"/>
              <w:ind w:firstLine="0" w:firstLineChars="0"/>
              <w:jc w:val="both"/>
              <w:rPr>
                <w:rFonts w:hint="eastAsia" w:ascii="宋体" w:hAnsi="宋体" w:eastAsia="宋体" w:cs="宋体"/>
                <w:color w:val="auto"/>
                <w:sz w:val="21"/>
                <w:szCs w:val="21"/>
                <w:highlight w:val="none"/>
              </w:rPr>
            </w:pPr>
          </w:p>
        </w:tc>
        <w:tc>
          <w:tcPr>
            <w:tcW w:w="1662" w:type="dxa"/>
            <w:vMerge w:val="continue"/>
          </w:tcPr>
          <w:p w14:paraId="1E0AEB11">
            <w:pPr>
              <w:snapToGrid w:val="0"/>
              <w:spacing w:line="360" w:lineRule="auto"/>
              <w:ind w:firstLine="0" w:firstLineChars="0"/>
              <w:jc w:val="left"/>
              <w:rPr>
                <w:rFonts w:hint="eastAsia" w:ascii="宋体" w:hAnsi="宋体" w:eastAsia="宋体" w:cs="宋体"/>
                <w:color w:val="auto"/>
                <w:sz w:val="21"/>
                <w:szCs w:val="21"/>
                <w:highlight w:val="none"/>
              </w:rPr>
            </w:pPr>
          </w:p>
        </w:tc>
        <w:tc>
          <w:tcPr>
            <w:tcW w:w="2446" w:type="dxa"/>
          </w:tcPr>
          <w:p w14:paraId="684885B1">
            <w:pPr>
              <w:snapToGrid w:val="0"/>
              <w:spacing w:line="360" w:lineRule="auto"/>
              <w:ind w:firstLine="0" w:firstLineChars="0"/>
              <w:jc w:val="both"/>
              <w:rPr>
                <w:rFonts w:hint="eastAsia" w:ascii="宋体" w:hAnsi="宋体" w:eastAsia="宋体" w:cs="宋体"/>
                <w:color w:val="auto"/>
                <w:sz w:val="21"/>
                <w:szCs w:val="21"/>
                <w:highlight w:val="none"/>
              </w:rPr>
            </w:pPr>
          </w:p>
        </w:tc>
      </w:tr>
      <w:tr w14:paraId="65047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9929" w:type="dxa"/>
            <w:gridSpan w:val="6"/>
          </w:tcPr>
          <w:p w14:paraId="47E895AE">
            <w:pPr>
              <w:snapToGrid w:val="0"/>
              <w:spacing w:line="360" w:lineRule="auto"/>
              <w:ind w:firstLine="0" w:firstLineChars="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特别说明：</w:t>
            </w:r>
          </w:p>
          <w:p w14:paraId="3E8BAA73">
            <w:pPr>
              <w:snapToGrid w:val="0"/>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    以上施工材料均作参考，对施工工具及为完成施工的其它施工及施工措施所需的所有物资如脚手架、施工工器具、吊装工具、氧气、乙炔、施工消耗性材料等等均由</w:t>
            </w:r>
            <w:r>
              <w:rPr>
                <w:rFonts w:hint="eastAsia" w:ascii="宋体" w:hAnsi="宋体" w:cs="宋体"/>
                <w:b/>
                <w:color w:val="auto"/>
                <w:sz w:val="21"/>
                <w:szCs w:val="21"/>
                <w:highlight w:val="none"/>
                <w:lang w:eastAsia="zh-CN"/>
              </w:rPr>
              <w:t>投标人</w:t>
            </w:r>
            <w:r>
              <w:rPr>
                <w:rFonts w:hint="eastAsia" w:ascii="宋体" w:hAnsi="宋体" w:eastAsia="宋体" w:cs="宋体"/>
                <w:b/>
                <w:color w:val="auto"/>
                <w:sz w:val="21"/>
                <w:szCs w:val="21"/>
                <w:highlight w:val="none"/>
              </w:rPr>
              <w:t>负责提供，</w:t>
            </w:r>
            <w:r>
              <w:rPr>
                <w:rFonts w:hint="eastAsia" w:ascii="宋体" w:hAnsi="宋体" w:eastAsia="宋体" w:cs="宋体"/>
                <w:b/>
                <w:color w:val="auto"/>
                <w:sz w:val="21"/>
                <w:szCs w:val="21"/>
                <w:highlight w:val="none"/>
                <w:lang w:eastAsia="zh-CN"/>
              </w:rPr>
              <w:t>采购人</w:t>
            </w:r>
            <w:r>
              <w:rPr>
                <w:rFonts w:hint="eastAsia" w:ascii="宋体" w:hAnsi="宋体" w:eastAsia="宋体" w:cs="宋体"/>
                <w:b/>
                <w:color w:val="auto"/>
                <w:sz w:val="21"/>
                <w:szCs w:val="21"/>
                <w:highlight w:val="none"/>
              </w:rPr>
              <w:t>提供电源、水源、气源。</w:t>
            </w:r>
          </w:p>
        </w:tc>
      </w:tr>
    </w:tbl>
    <w:p w14:paraId="3720D271">
      <w:pPr>
        <w:pStyle w:val="3"/>
        <w:snapToGrid w:val="0"/>
        <w:spacing w:line="360" w:lineRule="auto"/>
        <w:rPr>
          <w:rFonts w:hint="eastAsia" w:ascii="宋体" w:hAnsi="宋体" w:eastAsia="宋体" w:cs="宋体"/>
          <w:color w:val="auto"/>
          <w:sz w:val="21"/>
          <w:szCs w:val="21"/>
          <w:highlight w:val="none"/>
        </w:rPr>
      </w:pPr>
      <w:bookmarkStart w:id="20" w:name="_Toc34040406"/>
      <w:r>
        <w:rPr>
          <w:rFonts w:hint="eastAsia" w:ascii="宋体" w:hAnsi="宋体" w:eastAsia="宋体" w:cs="宋体"/>
          <w:color w:val="auto"/>
          <w:sz w:val="21"/>
          <w:szCs w:val="21"/>
          <w:highlight w:val="none"/>
        </w:rPr>
        <w:t>七、质量检验</w:t>
      </w:r>
      <w:bookmarkEnd w:id="20"/>
    </w:p>
    <w:p w14:paraId="2D63F8EB">
      <w:pPr>
        <w:snapToGrid w:val="0"/>
        <w:spacing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 质量检查验收的依据和标准：设计文件、施工图纸、技术资料及设计变更；制造厂家提供的设备图纸，技术说明书中的技术标准和要求；</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和</w:t>
      </w:r>
      <w:r>
        <w:rPr>
          <w:rFonts w:hint="eastAsia" w:ascii="宋体" w:hAnsi="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拟定的技术要求。</w:t>
      </w:r>
    </w:p>
    <w:p w14:paraId="4FE262AD">
      <w:pPr>
        <w:snapToGrid w:val="0"/>
        <w:spacing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6.2验收标准依据：</w:t>
      </w:r>
    </w:p>
    <w:p w14:paraId="69A301D5">
      <w:pPr>
        <w:snapToGrid w:val="0"/>
        <w:spacing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DLT5210.2-2009电力建设施工质量验收及评价规程第2部分：锅炉机组</w:t>
      </w:r>
    </w:p>
    <w:p w14:paraId="70488182">
      <w:pPr>
        <w:snapToGrid w:val="0"/>
        <w:spacing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DLT 5210.5-2009电力建设施工质量验收及评价规程第5部分：管道及系统</w:t>
      </w:r>
    </w:p>
    <w:p w14:paraId="6ED01069">
      <w:pPr>
        <w:snapToGrid w:val="0"/>
        <w:spacing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DL／T 5210.7-2010 电力建设施工质量验收及评定规程 第7部分：焊接</w:t>
      </w:r>
    </w:p>
    <w:p w14:paraId="70D1A87B">
      <w:pPr>
        <w:snapToGrid w:val="0"/>
        <w:spacing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DLT 5210.8-2009 电力建设施工质量验收及评价规程 第8部分：加工配制</w:t>
      </w:r>
    </w:p>
    <w:p w14:paraId="091E1EA4">
      <w:pPr>
        <w:snapToGrid w:val="0"/>
        <w:spacing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DL／T869-2012 火力发电厂焊接技术规程</w:t>
      </w:r>
    </w:p>
    <w:p w14:paraId="00910B75">
      <w:pPr>
        <w:pStyle w:val="3"/>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八、质保期</w:t>
      </w:r>
    </w:p>
    <w:p w14:paraId="36226997">
      <w:pPr>
        <w:snapToGrid w:val="0"/>
        <w:spacing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质量保修期：2年。</w:t>
      </w:r>
    </w:p>
    <w:p w14:paraId="204C12DA">
      <w:pPr>
        <w:pStyle w:val="3"/>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九、工期（限定20天完成，且在2025年1月1日至2025年2月4日期间内，</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需考虑可能有部分工作在春节期间施工。具体开工日期以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正式通知为准）</w:t>
      </w:r>
    </w:p>
    <w:p w14:paraId="6E2D0891">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0" distR="0">
            <wp:extent cx="5274310" cy="3694430"/>
            <wp:effectExtent l="0" t="0" r="889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274310" cy="3694437"/>
                    </a:xfrm>
                    <a:prstGeom prst="rect">
                      <a:avLst/>
                    </a:prstGeom>
                    <a:noFill/>
                    <a:ln>
                      <a:noFill/>
                    </a:ln>
                  </pic:spPr>
                </pic:pic>
              </a:graphicData>
            </a:graphic>
          </wp:inline>
        </w:drawing>
      </w:r>
    </w:p>
    <w:p w14:paraId="64138308">
      <w:pPr>
        <w:pStyle w:val="3"/>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十、附件：</w:t>
      </w:r>
    </w:p>
    <w:p w14:paraId="4F1A08CB">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附件一：风管安装，阀门更换，水位计更换</w:t>
      </w:r>
    </w:p>
    <w:p w14:paraId="4C0A75F4">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附件二：原一段烟道图</w:t>
      </w:r>
    </w:p>
    <w:p w14:paraId="75B69A36">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附件三：新一段烟道图</w:t>
      </w:r>
    </w:p>
    <w:p w14:paraId="11784211">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附件四：原烟道总图</w:t>
      </w:r>
    </w:p>
    <w:p w14:paraId="7FB6A065">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附件五：汽水系统图</w:t>
      </w:r>
    </w:p>
    <w:p w14:paraId="3D8D3F9B">
      <w:pPr>
        <w:rPr>
          <w:rFonts w:hint="eastAsia" w:ascii="宋体" w:hAnsi="宋体" w:eastAsia="宋体" w:cs="宋体"/>
          <w:color w:val="auto"/>
          <w:sz w:val="21"/>
          <w:szCs w:val="21"/>
          <w:highlight w:val="none"/>
        </w:rPr>
      </w:pPr>
    </w:p>
    <w:p w14:paraId="081F69A2">
      <w:pPr>
        <w:keepNext/>
        <w:keepLines/>
        <w:spacing w:line="360" w:lineRule="auto"/>
        <w:outlineLvl w:val="9"/>
        <w:rPr>
          <w:rFonts w:hint="eastAsia" w:ascii="宋体" w:hAnsi="宋体" w:eastAsia="宋体" w:cs="宋体"/>
          <w:b/>
          <w:bCs/>
          <w:color w:val="auto"/>
          <w:sz w:val="21"/>
          <w:szCs w:val="21"/>
          <w:highlight w:val="none"/>
        </w:rPr>
      </w:pPr>
    </w:p>
    <w:bookmarkEnd w:id="6"/>
    <w:bookmarkEnd w:id="7"/>
    <w:bookmarkEnd w:id="8"/>
    <w:bookmarkEnd w:id="9"/>
    <w:bookmarkEnd w:id="10"/>
    <w:bookmarkEnd w:id="11"/>
    <w:bookmarkEnd w:id="12"/>
    <w:bookmarkEnd w:id="13"/>
    <w:bookmarkEnd w:id="14"/>
    <w:bookmarkEnd w:id="15"/>
    <w:bookmarkEnd w:id="16"/>
    <w:bookmarkEnd w:id="17"/>
    <w:bookmarkEnd w:id="18"/>
    <w:bookmarkEnd w:id="19"/>
    <w:p w14:paraId="4AF255F5">
      <w:pPr>
        <w:rPr>
          <w:rFonts w:hint="eastAsia" w:ascii="宋体" w:hAnsi="宋体" w:eastAsia="宋体" w:cs="宋体"/>
          <w:color w:val="auto"/>
          <w:sz w:val="28"/>
          <w:szCs w:val="28"/>
          <w:highlight w:val="none"/>
        </w:rPr>
      </w:pPr>
      <w:bookmarkStart w:id="21" w:name="_Toc31595"/>
      <w:r>
        <w:rPr>
          <w:rFonts w:hint="eastAsia" w:ascii="宋体" w:hAnsi="宋体" w:eastAsia="宋体" w:cs="宋体"/>
          <w:color w:val="auto"/>
          <w:sz w:val="28"/>
          <w:szCs w:val="28"/>
          <w:highlight w:val="none"/>
        </w:rPr>
        <w:br w:type="page"/>
      </w:r>
    </w:p>
    <w:p w14:paraId="42F6088D">
      <w:pPr>
        <w:pStyle w:val="3"/>
        <w:spacing w:before="0"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rPr>
        <w:t>第四部分投标人须知</w:t>
      </w:r>
      <w:bookmarkEnd w:id="21"/>
    </w:p>
    <w:p w14:paraId="15191F79">
      <w:pPr>
        <w:pStyle w:val="4"/>
        <w:numPr>
          <w:ilvl w:val="0"/>
          <w:numId w:val="4"/>
        </w:numPr>
        <w:spacing w:before="0" w:after="0" w:line="480" w:lineRule="auto"/>
        <w:jc w:val="center"/>
        <w:rPr>
          <w:rFonts w:hint="eastAsia" w:ascii="宋体" w:hAnsi="宋体" w:eastAsia="宋体" w:cs="宋体"/>
          <w:color w:val="auto"/>
          <w:highlight w:val="none"/>
        </w:rPr>
      </w:pPr>
      <w:bookmarkStart w:id="22" w:name="_Toc25201"/>
      <w:r>
        <w:rPr>
          <w:rFonts w:hint="eastAsia" w:ascii="宋体" w:hAnsi="宋体" w:eastAsia="宋体" w:cs="宋体"/>
          <w:color w:val="auto"/>
          <w:highlight w:val="none"/>
        </w:rPr>
        <w:t>说明</w:t>
      </w:r>
      <w:bookmarkEnd w:id="22"/>
    </w:p>
    <w:p w14:paraId="11CCE523">
      <w:pPr>
        <w:pStyle w:val="5"/>
        <w:widowControl w:val="0"/>
        <w:numPr>
          <w:ilvl w:val="0"/>
          <w:numId w:val="5"/>
        </w:numPr>
        <w:overflowPunct w:val="0"/>
        <w:rPr>
          <w:rFonts w:hint="eastAsia" w:ascii="宋体" w:hAnsi="宋体" w:eastAsia="宋体" w:cs="宋体"/>
          <w:color w:val="auto"/>
          <w:sz w:val="21"/>
          <w:szCs w:val="21"/>
          <w:highlight w:val="none"/>
        </w:rPr>
      </w:pPr>
      <w:bookmarkStart w:id="23" w:name="_Toc18690"/>
      <w:bookmarkStart w:id="24" w:name="_Toc3534"/>
      <w:r>
        <w:rPr>
          <w:rFonts w:hint="eastAsia" w:ascii="宋体" w:hAnsi="宋体" w:eastAsia="宋体" w:cs="宋体"/>
          <w:color w:val="auto"/>
          <w:sz w:val="21"/>
          <w:szCs w:val="21"/>
          <w:highlight w:val="none"/>
        </w:rPr>
        <w:t>适用范围</w:t>
      </w:r>
      <w:bookmarkEnd w:id="23"/>
      <w:bookmarkEnd w:id="24"/>
    </w:p>
    <w:p w14:paraId="1C8DE49A">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采购范围：见本文件《用户需求书》</w:t>
      </w:r>
    </w:p>
    <w:p w14:paraId="64973693">
      <w:pPr>
        <w:rPr>
          <w:rFonts w:hint="eastAsia" w:ascii="宋体" w:hAnsi="宋体" w:eastAsia="宋体" w:cs="宋体"/>
          <w:color w:val="auto"/>
          <w:highlight w:val="none"/>
        </w:rPr>
      </w:pPr>
    </w:p>
    <w:p w14:paraId="66ED93ED">
      <w:pPr>
        <w:pStyle w:val="5"/>
        <w:widowControl w:val="0"/>
        <w:numPr>
          <w:ilvl w:val="0"/>
          <w:numId w:val="5"/>
        </w:numPr>
        <w:overflowPunct w:val="0"/>
        <w:rPr>
          <w:rFonts w:hint="eastAsia" w:ascii="宋体" w:hAnsi="宋体" w:eastAsia="宋体" w:cs="宋体"/>
          <w:color w:val="auto"/>
          <w:sz w:val="21"/>
          <w:szCs w:val="21"/>
          <w:highlight w:val="none"/>
        </w:rPr>
      </w:pPr>
      <w:bookmarkStart w:id="25" w:name="_Toc1530"/>
      <w:bookmarkStart w:id="26" w:name="_Toc298847174"/>
      <w:bookmarkStart w:id="27" w:name="_Toc28435"/>
      <w:bookmarkStart w:id="28" w:name="_Toc382049092"/>
      <w:bookmarkStart w:id="29" w:name="_Toc20286"/>
      <w:bookmarkStart w:id="30" w:name="_Toc303084246"/>
      <w:r>
        <w:rPr>
          <w:rFonts w:hint="eastAsia" w:ascii="宋体" w:hAnsi="宋体" w:eastAsia="宋体" w:cs="宋体"/>
          <w:color w:val="auto"/>
          <w:sz w:val="21"/>
          <w:szCs w:val="21"/>
          <w:highlight w:val="none"/>
        </w:rPr>
        <w:t>定义</w:t>
      </w:r>
      <w:bookmarkEnd w:id="25"/>
      <w:bookmarkEnd w:id="26"/>
      <w:bookmarkEnd w:id="27"/>
      <w:bookmarkEnd w:id="28"/>
      <w:bookmarkEnd w:id="29"/>
      <w:bookmarkEnd w:id="30"/>
    </w:p>
    <w:p w14:paraId="24694DC6">
      <w:pPr>
        <w:pStyle w:val="51"/>
        <w:widowControl w:val="0"/>
        <w:adjustRightInd/>
        <w:snapToGrid/>
        <w:ind w:left="425" w:hanging="425" w:firstLineChars="0"/>
        <w:jc w:val="both"/>
        <w:rPr>
          <w:rFonts w:hint="eastAsia" w:ascii="宋体" w:hAnsi="宋体" w:eastAsia="宋体" w:cs="宋体"/>
          <w:vanish/>
          <w:color w:val="auto"/>
          <w:szCs w:val="21"/>
          <w:highlight w:val="none"/>
        </w:rPr>
      </w:pPr>
    </w:p>
    <w:p w14:paraId="61D6A359">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采购人：见投标邀请书。</w:t>
      </w:r>
    </w:p>
    <w:p w14:paraId="40111710">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投标人：响应采购并且符合采购文件规定资格条件和参加投标竞争的法人、其他组织或者自然人。</w:t>
      </w:r>
    </w:p>
    <w:p w14:paraId="1F8CC3F7">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法人：法人是依法在国内进行注册并具有民事权利能力和民事行为能力，依法独立享有民事权利和承担民事义务的组织。</w:t>
      </w:r>
    </w:p>
    <w:p w14:paraId="3BC04004">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中标人：指经评标委员会评审推荐、采购人确认的获得本项目中标资格的投标人。</w:t>
      </w:r>
    </w:p>
    <w:p w14:paraId="65660A91">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采购代理机构：见投标邀请书。</w:t>
      </w:r>
    </w:p>
    <w:p w14:paraId="5FFD48AC">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评标委员会：评标委员会是依据相关规定组建的专门负责本次采购其评标工作的临时性机构。</w:t>
      </w:r>
    </w:p>
    <w:p w14:paraId="213007E7">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合同：指由本次采购所产生的合同或合约文件。</w:t>
      </w:r>
    </w:p>
    <w:p w14:paraId="6CC7CD26">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章：公章是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p>
    <w:p w14:paraId="26BB81EC">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时间：本文件规定按日计算期间的，开始当天不计入，从次日开始计算。期限的最后一日是国家法定节假日的，顺延到节假日后的次日为期限的最后一日。</w:t>
      </w:r>
    </w:p>
    <w:p w14:paraId="687BA8B2">
      <w:pPr>
        <w:widowControl w:val="0"/>
        <w:numPr>
          <w:ilvl w:val="1"/>
          <w:numId w:val="5"/>
        </w:numPr>
        <w:overflowPunct w:val="0"/>
        <w:rPr>
          <w:rFonts w:hint="eastAsia" w:ascii="宋体" w:hAnsi="宋体" w:cs="宋体"/>
          <w:b/>
          <w:bCs/>
          <w:color w:val="auto"/>
          <w:szCs w:val="21"/>
          <w:highlight w:val="none"/>
        </w:rPr>
      </w:pPr>
      <w:r>
        <w:rPr>
          <w:rFonts w:hint="eastAsia" w:ascii="宋体" w:hAnsi="宋体" w:cs="宋体"/>
          <w:b/>
          <w:bCs/>
          <w:color w:val="auto"/>
          <w:spacing w:val="0"/>
          <w:kern w:val="0"/>
          <w:sz w:val="21"/>
          <w:szCs w:val="21"/>
          <w:highlight w:val="none"/>
          <w:lang w:val="en-US" w:eastAsia="zh-CN"/>
        </w:rPr>
        <w:t>本采购文件所述罗马数字Ⅰ、Ⅱ、Ⅲ段汽化烟道与正整数一、二、三段汽化烟道描述意思一致。</w:t>
      </w:r>
    </w:p>
    <w:p w14:paraId="30805B7F">
      <w:pPr>
        <w:rPr>
          <w:rFonts w:hint="eastAsia" w:ascii="宋体" w:hAnsi="宋体" w:eastAsia="宋体" w:cs="宋体"/>
          <w:color w:val="auto"/>
          <w:highlight w:val="none"/>
        </w:rPr>
      </w:pPr>
    </w:p>
    <w:p w14:paraId="1FABC1C3">
      <w:pPr>
        <w:pStyle w:val="5"/>
        <w:widowControl w:val="0"/>
        <w:numPr>
          <w:ilvl w:val="0"/>
          <w:numId w:val="5"/>
        </w:numPr>
        <w:overflowPunct w:val="0"/>
        <w:rPr>
          <w:rFonts w:hint="eastAsia" w:ascii="宋体" w:hAnsi="宋体" w:eastAsia="宋体" w:cs="宋体"/>
          <w:color w:val="auto"/>
          <w:sz w:val="21"/>
          <w:szCs w:val="21"/>
          <w:highlight w:val="none"/>
        </w:rPr>
      </w:pPr>
      <w:bookmarkStart w:id="31" w:name="_Toc10625"/>
      <w:bookmarkStart w:id="32" w:name="_Toc11624"/>
      <w:r>
        <w:rPr>
          <w:rFonts w:hint="eastAsia" w:ascii="宋体" w:hAnsi="宋体" w:eastAsia="宋体" w:cs="宋体"/>
          <w:color w:val="auto"/>
          <w:sz w:val="21"/>
          <w:szCs w:val="21"/>
          <w:highlight w:val="none"/>
        </w:rPr>
        <w:t>货物和服务</w:t>
      </w:r>
      <w:bookmarkEnd w:id="31"/>
      <w:bookmarkEnd w:id="32"/>
    </w:p>
    <w:p w14:paraId="717B2CBD">
      <w:pPr>
        <w:pStyle w:val="51"/>
        <w:widowControl w:val="0"/>
        <w:adjustRightInd/>
        <w:snapToGrid/>
        <w:ind w:left="425" w:hanging="425" w:firstLineChars="0"/>
        <w:jc w:val="both"/>
        <w:rPr>
          <w:rFonts w:hint="eastAsia" w:ascii="宋体" w:hAnsi="宋体" w:eastAsia="宋体" w:cs="宋体"/>
          <w:vanish/>
          <w:color w:val="auto"/>
          <w:szCs w:val="21"/>
          <w:highlight w:val="none"/>
        </w:rPr>
      </w:pPr>
    </w:p>
    <w:p w14:paraId="167071AA">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货物是指各种形态和种类的物品，包括原材料、燃料、设备、产品等。</w:t>
      </w:r>
    </w:p>
    <w:p w14:paraId="02DC1621">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服务是指除货物和工程以外的其他采购对象。</w:t>
      </w:r>
    </w:p>
    <w:p w14:paraId="4FEA6DA4">
      <w:pPr>
        <w:rPr>
          <w:rFonts w:hint="eastAsia" w:ascii="宋体" w:hAnsi="宋体" w:eastAsia="宋体" w:cs="宋体"/>
          <w:color w:val="auto"/>
          <w:highlight w:val="none"/>
        </w:rPr>
      </w:pPr>
    </w:p>
    <w:p w14:paraId="0503F51D">
      <w:pPr>
        <w:pStyle w:val="5"/>
        <w:widowControl w:val="0"/>
        <w:numPr>
          <w:ilvl w:val="0"/>
          <w:numId w:val="5"/>
        </w:numPr>
        <w:overflowPunct w:val="0"/>
        <w:rPr>
          <w:rFonts w:hint="eastAsia" w:ascii="宋体" w:hAnsi="宋体" w:eastAsia="宋体" w:cs="宋体"/>
          <w:color w:val="auto"/>
          <w:sz w:val="21"/>
          <w:szCs w:val="21"/>
          <w:highlight w:val="none"/>
        </w:rPr>
      </w:pPr>
      <w:bookmarkStart w:id="33" w:name="_Toc1673"/>
      <w:bookmarkStart w:id="34" w:name="_Toc15719"/>
      <w:r>
        <w:rPr>
          <w:rFonts w:hint="eastAsia" w:ascii="宋体" w:hAnsi="宋体" w:eastAsia="宋体" w:cs="宋体"/>
          <w:color w:val="auto"/>
          <w:sz w:val="21"/>
          <w:szCs w:val="21"/>
          <w:highlight w:val="none"/>
        </w:rPr>
        <w:t>投标费用</w:t>
      </w:r>
      <w:bookmarkEnd w:id="33"/>
      <w:bookmarkEnd w:id="34"/>
    </w:p>
    <w:p w14:paraId="2D857D59">
      <w:pPr>
        <w:pStyle w:val="51"/>
        <w:widowControl w:val="0"/>
        <w:adjustRightInd/>
        <w:snapToGrid/>
        <w:ind w:left="425" w:hanging="425" w:firstLineChars="0"/>
        <w:jc w:val="both"/>
        <w:rPr>
          <w:rFonts w:hint="eastAsia" w:ascii="宋体" w:hAnsi="宋体" w:eastAsia="宋体" w:cs="宋体"/>
          <w:vanish/>
          <w:color w:val="auto"/>
          <w:szCs w:val="21"/>
          <w:highlight w:val="none"/>
        </w:rPr>
      </w:pPr>
    </w:p>
    <w:p w14:paraId="0111C868">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投标人应承担所有与编写投标文件和参加投标有关的自身的所有费用，不论投标的结果如何，采购代理机构和采购人在任何情况下均无义务和责任承担这些费用。</w:t>
      </w:r>
    </w:p>
    <w:p w14:paraId="683AF922">
      <w:pPr>
        <w:widowControl w:val="0"/>
        <w:adjustRightInd/>
        <w:snapToGrid/>
        <w:jc w:val="both"/>
        <w:rPr>
          <w:rFonts w:hint="eastAsia" w:ascii="宋体" w:hAnsi="宋体" w:eastAsia="宋体" w:cs="宋体"/>
          <w:color w:val="auto"/>
          <w:szCs w:val="21"/>
          <w:highlight w:val="none"/>
        </w:rPr>
      </w:pPr>
    </w:p>
    <w:p w14:paraId="6436B12A">
      <w:pPr>
        <w:pStyle w:val="5"/>
        <w:widowControl w:val="0"/>
        <w:numPr>
          <w:ilvl w:val="0"/>
          <w:numId w:val="5"/>
        </w:numPr>
        <w:overflowPunct w:val="0"/>
        <w:rPr>
          <w:rFonts w:hint="eastAsia" w:ascii="宋体" w:hAnsi="宋体" w:eastAsia="宋体" w:cs="宋体"/>
          <w:color w:val="auto"/>
          <w:sz w:val="21"/>
          <w:szCs w:val="21"/>
          <w:highlight w:val="none"/>
        </w:rPr>
      </w:pPr>
      <w:bookmarkStart w:id="35" w:name="_Toc21477"/>
      <w:bookmarkStart w:id="36" w:name="_Toc6180"/>
      <w:r>
        <w:rPr>
          <w:rFonts w:hint="eastAsia" w:ascii="宋体" w:hAnsi="宋体" w:eastAsia="宋体" w:cs="宋体"/>
          <w:color w:val="auto"/>
          <w:sz w:val="21"/>
          <w:szCs w:val="21"/>
          <w:highlight w:val="none"/>
        </w:rPr>
        <w:t>知识产权</w:t>
      </w:r>
      <w:bookmarkEnd w:id="35"/>
      <w:bookmarkEnd w:id="36"/>
    </w:p>
    <w:p w14:paraId="7047AFCE">
      <w:pPr>
        <w:pStyle w:val="51"/>
        <w:widowControl w:val="0"/>
        <w:adjustRightInd/>
        <w:snapToGrid/>
        <w:ind w:left="425" w:hanging="425" w:firstLineChars="0"/>
        <w:jc w:val="both"/>
        <w:rPr>
          <w:rFonts w:hint="eastAsia" w:ascii="宋体" w:hAnsi="宋体" w:eastAsia="宋体" w:cs="宋体"/>
          <w:vanish/>
          <w:color w:val="auto"/>
          <w:szCs w:val="21"/>
          <w:highlight w:val="none"/>
        </w:rPr>
      </w:pPr>
    </w:p>
    <w:p w14:paraId="685A179B">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057E7A51">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采购人享有本项目实施过程中产生的知识成果及知识产权。</w:t>
      </w:r>
    </w:p>
    <w:p w14:paraId="43C1DAF6">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14:paraId="47CEA2C1">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采购货物为计算机办公设备时，投标人提供的产品必须是预装正版操作系统软件的计算机产品。</w:t>
      </w:r>
    </w:p>
    <w:p w14:paraId="22185526">
      <w:pPr>
        <w:widowControl w:val="0"/>
        <w:adjustRightInd/>
        <w:snapToGrid/>
        <w:ind w:left="567"/>
        <w:jc w:val="both"/>
        <w:rPr>
          <w:rFonts w:hint="eastAsia" w:ascii="宋体" w:hAnsi="宋体" w:eastAsia="宋体" w:cs="宋体"/>
          <w:color w:val="auto"/>
          <w:szCs w:val="21"/>
          <w:highlight w:val="none"/>
        </w:rPr>
      </w:pPr>
    </w:p>
    <w:p w14:paraId="7586F71B">
      <w:pPr>
        <w:pStyle w:val="5"/>
        <w:widowControl w:val="0"/>
        <w:numPr>
          <w:ilvl w:val="0"/>
          <w:numId w:val="5"/>
        </w:numPr>
        <w:overflowPunct w:val="0"/>
        <w:rPr>
          <w:rFonts w:hint="eastAsia" w:ascii="宋体" w:hAnsi="宋体" w:eastAsia="宋体" w:cs="宋体"/>
          <w:color w:val="auto"/>
          <w:sz w:val="21"/>
          <w:szCs w:val="21"/>
          <w:highlight w:val="none"/>
        </w:rPr>
      </w:pPr>
      <w:bookmarkStart w:id="37" w:name="_Toc2352"/>
      <w:bookmarkStart w:id="38" w:name="_Toc25122"/>
      <w:r>
        <w:rPr>
          <w:rFonts w:hint="eastAsia" w:ascii="宋体" w:hAnsi="宋体" w:eastAsia="宋体" w:cs="宋体"/>
          <w:color w:val="auto"/>
          <w:sz w:val="21"/>
          <w:szCs w:val="21"/>
          <w:highlight w:val="none"/>
        </w:rPr>
        <w:t>关于联合体投标</w:t>
      </w:r>
      <w:bookmarkEnd w:id="37"/>
      <w:bookmarkEnd w:id="38"/>
    </w:p>
    <w:p w14:paraId="5291C55C">
      <w:pPr>
        <w:pStyle w:val="51"/>
        <w:widowControl w:val="0"/>
        <w:adjustRightInd/>
        <w:snapToGrid/>
        <w:ind w:left="425" w:hanging="425" w:firstLineChars="0"/>
        <w:jc w:val="both"/>
        <w:rPr>
          <w:rFonts w:hint="eastAsia" w:ascii="宋体" w:hAnsi="宋体" w:eastAsia="宋体" w:cs="宋体"/>
          <w:vanish/>
          <w:color w:val="auto"/>
          <w:szCs w:val="21"/>
          <w:highlight w:val="none"/>
        </w:rPr>
      </w:pPr>
    </w:p>
    <w:p w14:paraId="377A5452">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对接受联合体投标的项目：两个以上的自然人、法人或者其他组织可以组成一个联合体，以一个投标人的身份共同参加采购活动。</w:t>
      </w:r>
    </w:p>
    <w:p w14:paraId="7DBF2A1F">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以联合体形式参与项目的</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在领购采购文件时，应提供所有联合体组成成员的营业执照复印件，并加盖各联合体组成成员的公章。</w:t>
      </w:r>
    </w:p>
    <w:p w14:paraId="4B648E3D">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联合体各方均应具有独立承担民事责任能力的法人或其他组织。</w:t>
      </w:r>
    </w:p>
    <w:p w14:paraId="75531D08">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两个以上的自然人、法人或者其他组织组成一个联合体，以一个</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的身份共同参加采购活动的，应当对所有联合体成员进行信用记录查询，联合体成员存在不良信用记录的，视同联合体存在不良信用记录。</w:t>
      </w:r>
    </w:p>
    <w:p w14:paraId="324DB8F7">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采购文件对投标人资格条件有规定的，联合体各方均应当具备规定的相应资格条件。由同一专业的单位组成的联合体，按照资质等级较低的单位确定资质等级。</w:t>
      </w:r>
    </w:p>
    <w:p w14:paraId="43BDF912">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14:paraId="45DA3070">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为联合体的，可以由联合体中的任意一方交纳保证金，其交纳的保证金对联合体各方均具有约束力。</w:t>
      </w:r>
    </w:p>
    <w:p w14:paraId="5A9E3B6F">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除联合体协议明确授权盖章单位外，联合体投标时投标文件中所有要求盖章的地方均须加盖联合体所有组成成员的公章，否则该处盖章无效。</w:t>
      </w:r>
    </w:p>
    <w:p w14:paraId="3EFEA51D">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联合体进行评分时，业绩、奖项等的认定和评分根据共同投标协议约定的各方承担的工作和相应责任，确定一方打分，不累加打分；评审标准不明确或难以明确以哪一方计算评分情况时，则按主体方情况评分。</w:t>
      </w:r>
    </w:p>
    <w:p w14:paraId="26497F3A">
      <w:pPr>
        <w:widowControl w:val="0"/>
        <w:adjustRightInd/>
        <w:snapToGrid/>
        <w:ind w:left="567"/>
        <w:jc w:val="both"/>
        <w:rPr>
          <w:rFonts w:hint="eastAsia" w:ascii="宋体" w:hAnsi="宋体" w:eastAsia="宋体" w:cs="宋体"/>
          <w:color w:val="auto"/>
          <w:szCs w:val="21"/>
          <w:highlight w:val="none"/>
        </w:rPr>
      </w:pPr>
    </w:p>
    <w:p w14:paraId="274E7028">
      <w:pPr>
        <w:pStyle w:val="5"/>
        <w:widowControl w:val="0"/>
        <w:numPr>
          <w:ilvl w:val="0"/>
          <w:numId w:val="5"/>
        </w:numPr>
        <w:overflowPunct w:val="0"/>
        <w:rPr>
          <w:rFonts w:hint="eastAsia" w:ascii="宋体" w:hAnsi="宋体" w:eastAsia="宋体" w:cs="宋体"/>
          <w:color w:val="auto"/>
          <w:sz w:val="21"/>
          <w:szCs w:val="21"/>
          <w:highlight w:val="none"/>
        </w:rPr>
      </w:pPr>
      <w:bookmarkStart w:id="39" w:name="_Toc3572"/>
      <w:bookmarkStart w:id="40" w:name="_Toc10603"/>
      <w:r>
        <w:rPr>
          <w:rFonts w:hint="eastAsia" w:ascii="宋体" w:hAnsi="宋体" w:eastAsia="宋体" w:cs="宋体"/>
          <w:color w:val="auto"/>
          <w:sz w:val="21"/>
          <w:szCs w:val="21"/>
          <w:highlight w:val="none"/>
        </w:rPr>
        <w:t>关于分支机构投标</w:t>
      </w:r>
      <w:bookmarkEnd w:id="39"/>
      <w:bookmarkEnd w:id="40"/>
    </w:p>
    <w:p w14:paraId="68B76D36">
      <w:pPr>
        <w:pStyle w:val="51"/>
        <w:widowControl w:val="0"/>
        <w:adjustRightInd/>
        <w:snapToGrid/>
        <w:ind w:left="425" w:hanging="425" w:firstLineChars="0"/>
        <w:jc w:val="both"/>
        <w:rPr>
          <w:rFonts w:hint="eastAsia" w:ascii="宋体" w:hAnsi="宋体" w:eastAsia="宋体" w:cs="宋体"/>
          <w:vanish/>
          <w:color w:val="auto"/>
          <w:szCs w:val="21"/>
          <w:highlight w:val="none"/>
        </w:rPr>
      </w:pPr>
      <w:bookmarkStart w:id="41" w:name="EB389f116341dd4693875bc7987e7327f3"/>
    </w:p>
    <w:p w14:paraId="7E08E356">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可接受分支机构投标的项目，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41"/>
    </w:p>
    <w:p w14:paraId="28CA0BDF">
      <w:pPr>
        <w:widowControl w:val="0"/>
        <w:adjustRightInd/>
        <w:snapToGrid/>
        <w:ind w:left="567"/>
        <w:jc w:val="both"/>
        <w:rPr>
          <w:rFonts w:hint="eastAsia" w:ascii="宋体" w:hAnsi="宋体" w:eastAsia="宋体" w:cs="宋体"/>
          <w:color w:val="auto"/>
          <w:szCs w:val="21"/>
          <w:highlight w:val="none"/>
        </w:rPr>
      </w:pPr>
    </w:p>
    <w:p w14:paraId="28FC6A20">
      <w:pPr>
        <w:pStyle w:val="5"/>
        <w:widowControl w:val="0"/>
        <w:numPr>
          <w:ilvl w:val="0"/>
          <w:numId w:val="5"/>
        </w:numPr>
        <w:overflowPunct w:val="0"/>
        <w:rPr>
          <w:rFonts w:hint="eastAsia" w:ascii="宋体" w:hAnsi="宋体" w:eastAsia="宋体" w:cs="宋体"/>
          <w:color w:val="auto"/>
          <w:sz w:val="21"/>
          <w:szCs w:val="21"/>
          <w:highlight w:val="none"/>
        </w:rPr>
      </w:pPr>
      <w:bookmarkStart w:id="42" w:name="_Toc16068"/>
      <w:r>
        <w:rPr>
          <w:rFonts w:hint="eastAsia" w:ascii="宋体" w:hAnsi="宋体" w:eastAsia="宋体" w:cs="宋体"/>
          <w:color w:val="auto"/>
          <w:sz w:val="21"/>
          <w:szCs w:val="21"/>
          <w:highlight w:val="none"/>
        </w:rPr>
        <w:t>踏勘现场</w:t>
      </w:r>
      <w:bookmarkEnd w:id="42"/>
    </w:p>
    <w:p w14:paraId="13542B20">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《投标资料表》规定组织踏勘现场的，采购人按《投标资料表》规定的时间、地点组织响应人踏勘项目现场；</w:t>
      </w:r>
    </w:p>
    <w:p w14:paraId="7E3040BD">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响应人踏勘现场发生的费用自理；</w:t>
      </w:r>
    </w:p>
    <w:p w14:paraId="3E672369">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除采购人的原因外，响应人自行负责在踏勘现场中所发生的人员伤亡和财产损失；</w:t>
      </w:r>
    </w:p>
    <w:p w14:paraId="45BA47C3">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采购人在踏勘现场中介绍的实施地点和相关的周边环境情况，供响应人在编制响应文件时参考，采购人不对响应人据此作出的判断和决策负责；</w:t>
      </w:r>
    </w:p>
    <w:p w14:paraId="45E90056">
      <w:pPr>
        <w:rPr>
          <w:rFonts w:hint="eastAsia" w:ascii="宋体" w:hAnsi="宋体" w:eastAsia="宋体" w:cs="宋体"/>
          <w:color w:val="auto"/>
          <w:highlight w:val="none"/>
        </w:rPr>
      </w:pPr>
    </w:p>
    <w:p w14:paraId="1DA1EDD4">
      <w:pPr>
        <w:pStyle w:val="4"/>
        <w:numPr>
          <w:ilvl w:val="0"/>
          <w:numId w:val="4"/>
        </w:numPr>
        <w:spacing w:before="0" w:after="0" w:line="360" w:lineRule="auto"/>
        <w:jc w:val="center"/>
        <w:rPr>
          <w:rFonts w:hint="eastAsia" w:ascii="宋体" w:hAnsi="宋体" w:eastAsia="宋体" w:cs="宋体"/>
          <w:color w:val="auto"/>
          <w:highlight w:val="none"/>
        </w:rPr>
      </w:pPr>
      <w:bookmarkStart w:id="43" w:name="_Toc9444"/>
      <w:bookmarkStart w:id="44" w:name="_Toc14732"/>
      <w:r>
        <w:rPr>
          <w:rFonts w:hint="eastAsia" w:ascii="宋体" w:hAnsi="宋体" w:eastAsia="宋体" w:cs="宋体"/>
          <w:color w:val="auto"/>
          <w:highlight w:val="none"/>
        </w:rPr>
        <w:t>采购文件</w:t>
      </w:r>
      <w:bookmarkEnd w:id="43"/>
      <w:bookmarkEnd w:id="44"/>
    </w:p>
    <w:p w14:paraId="0040BE23">
      <w:pPr>
        <w:pStyle w:val="5"/>
        <w:numPr>
          <w:ilvl w:val="0"/>
          <w:numId w:val="5"/>
        </w:numPr>
        <w:overflowPunct w:val="0"/>
        <w:rPr>
          <w:rFonts w:hint="eastAsia" w:ascii="宋体" w:hAnsi="宋体" w:eastAsia="宋体" w:cs="宋体"/>
          <w:vanish/>
          <w:color w:val="auto"/>
          <w:szCs w:val="21"/>
          <w:highlight w:val="none"/>
        </w:rPr>
      </w:pPr>
      <w:bookmarkStart w:id="45" w:name="_Toc25451"/>
      <w:bookmarkStart w:id="46" w:name="_Toc10638"/>
      <w:r>
        <w:rPr>
          <w:rFonts w:hint="eastAsia" w:ascii="宋体" w:hAnsi="宋体" w:eastAsia="宋体" w:cs="宋体"/>
          <w:color w:val="auto"/>
          <w:sz w:val="21"/>
          <w:szCs w:val="21"/>
          <w:highlight w:val="none"/>
        </w:rPr>
        <w:t>采购文件的组成</w:t>
      </w:r>
      <w:bookmarkEnd w:id="45"/>
      <w:bookmarkEnd w:id="46"/>
    </w:p>
    <w:p w14:paraId="6B63921B">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采购文件包括：</w:t>
      </w:r>
    </w:p>
    <w:p w14:paraId="1E55130E">
      <w:pPr>
        <w:widowControl w:val="0"/>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（1）投标邀请书；</w:t>
      </w:r>
    </w:p>
    <w:p w14:paraId="795BB543">
      <w:pPr>
        <w:widowControl w:val="0"/>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（2）投标资料表；</w:t>
      </w:r>
    </w:p>
    <w:p w14:paraId="577EC965">
      <w:pPr>
        <w:widowControl w:val="0"/>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（3）用户需求书；</w:t>
      </w:r>
    </w:p>
    <w:p w14:paraId="4B5ADE37">
      <w:pPr>
        <w:widowControl w:val="0"/>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（4）投标人须知；</w:t>
      </w:r>
    </w:p>
    <w:p w14:paraId="4F986EEB">
      <w:pPr>
        <w:widowControl w:val="0"/>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（5）拟签订的合同文本；</w:t>
      </w:r>
    </w:p>
    <w:p w14:paraId="4E5D99EA">
      <w:pPr>
        <w:widowControl w:val="0"/>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（6）投标文件格式；</w:t>
      </w:r>
    </w:p>
    <w:p w14:paraId="6EBB9739">
      <w:pPr>
        <w:widowControl w:val="0"/>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（7）在采购过程中由采购代理机构发出的澄清更正文件等。</w:t>
      </w:r>
    </w:p>
    <w:p w14:paraId="625404B7">
      <w:pPr>
        <w:rPr>
          <w:rFonts w:hint="eastAsia" w:ascii="宋体" w:hAnsi="宋体" w:eastAsia="宋体" w:cs="宋体"/>
          <w:color w:val="auto"/>
          <w:highlight w:val="none"/>
        </w:rPr>
      </w:pPr>
    </w:p>
    <w:p w14:paraId="464E9B4E">
      <w:pPr>
        <w:pStyle w:val="5"/>
        <w:widowControl w:val="0"/>
        <w:numPr>
          <w:ilvl w:val="0"/>
          <w:numId w:val="5"/>
        </w:numPr>
        <w:overflowPunct w:val="0"/>
        <w:rPr>
          <w:rFonts w:hint="eastAsia" w:ascii="宋体" w:hAnsi="宋体" w:eastAsia="宋体" w:cs="宋体"/>
          <w:color w:val="auto"/>
          <w:sz w:val="21"/>
          <w:szCs w:val="21"/>
          <w:highlight w:val="none"/>
        </w:rPr>
      </w:pPr>
      <w:bookmarkStart w:id="47" w:name="_Toc30490"/>
      <w:bookmarkStart w:id="48" w:name="_Toc21392"/>
      <w:r>
        <w:rPr>
          <w:rFonts w:hint="eastAsia" w:ascii="宋体" w:hAnsi="宋体" w:eastAsia="宋体" w:cs="宋体"/>
          <w:color w:val="auto"/>
          <w:sz w:val="21"/>
          <w:szCs w:val="21"/>
          <w:highlight w:val="none"/>
        </w:rPr>
        <w:t>采购文件的澄清或修改</w:t>
      </w:r>
      <w:bookmarkEnd w:id="47"/>
      <w:bookmarkEnd w:id="48"/>
    </w:p>
    <w:p w14:paraId="03A94FE7">
      <w:pPr>
        <w:pStyle w:val="51"/>
        <w:widowControl w:val="0"/>
        <w:numPr>
          <w:ilvl w:val="-1"/>
          <w:numId w:val="0"/>
        </w:numPr>
        <w:adjustRightInd/>
        <w:snapToGrid/>
        <w:ind w:left="0" w:firstLine="0" w:firstLineChars="0"/>
        <w:jc w:val="both"/>
        <w:rPr>
          <w:rFonts w:hint="eastAsia" w:ascii="宋体" w:hAnsi="宋体" w:eastAsia="宋体" w:cs="宋体"/>
          <w:vanish/>
          <w:color w:val="auto"/>
          <w:szCs w:val="21"/>
          <w:highlight w:val="none"/>
        </w:rPr>
      </w:pPr>
    </w:p>
    <w:p w14:paraId="0EA784CA">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或者采购代理机构可以对已发出的采购文件、资格预审文件、投标邀请书进行必要的澄清或者修改。澄清或者修改的内容为采购文件、资格预审文件、投标邀请书的组成部分，具有约束作用。当采购文件、采购文件的澄清或修改等在同一内容的表述上不一致时，以最后发出的书面文件及公告为准。</w:t>
      </w:r>
    </w:p>
    <w:p w14:paraId="60B9AD06">
      <w:pPr>
        <w:widowControl w:val="0"/>
        <w:numPr>
          <w:ilvl w:val="1"/>
          <w:numId w:val="5"/>
        </w:numPr>
        <w:overflowPunct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采购期间，投标人有义务上网查看，公告一经上网发布，即视为送达。因投标人未及时上网查看而造成的所有后果，由投标人自行承担。</w:t>
      </w:r>
    </w:p>
    <w:p w14:paraId="5113DDBA">
      <w:pPr>
        <w:widowControl w:val="0"/>
        <w:adjustRightInd/>
        <w:snapToGrid/>
        <w:ind w:left="567"/>
        <w:jc w:val="both"/>
        <w:rPr>
          <w:rFonts w:hint="eastAsia" w:ascii="宋体" w:hAnsi="宋体" w:eastAsia="宋体" w:cs="宋体"/>
          <w:color w:val="auto"/>
          <w:szCs w:val="21"/>
          <w:highlight w:val="none"/>
        </w:rPr>
      </w:pPr>
    </w:p>
    <w:p w14:paraId="696C15A7">
      <w:pPr>
        <w:pStyle w:val="4"/>
        <w:numPr>
          <w:ilvl w:val="0"/>
          <w:numId w:val="4"/>
        </w:numPr>
        <w:spacing w:before="0" w:after="0" w:line="360" w:lineRule="auto"/>
        <w:jc w:val="center"/>
        <w:rPr>
          <w:rFonts w:hint="eastAsia" w:ascii="宋体" w:hAnsi="宋体" w:eastAsia="宋体" w:cs="宋体"/>
          <w:color w:val="auto"/>
          <w:highlight w:val="none"/>
        </w:rPr>
      </w:pPr>
      <w:bookmarkStart w:id="49" w:name="_Toc10333"/>
      <w:bookmarkStart w:id="50" w:name="_Toc12343"/>
      <w:r>
        <w:rPr>
          <w:rFonts w:hint="eastAsia" w:ascii="宋体" w:hAnsi="宋体" w:eastAsia="宋体" w:cs="宋体"/>
          <w:color w:val="auto"/>
          <w:highlight w:val="none"/>
        </w:rPr>
        <w:t>投标文件的编制</w:t>
      </w:r>
      <w:bookmarkEnd w:id="49"/>
      <w:bookmarkEnd w:id="50"/>
    </w:p>
    <w:p w14:paraId="5D21B74A">
      <w:pPr>
        <w:pStyle w:val="5"/>
        <w:widowControl w:val="0"/>
        <w:numPr>
          <w:ilvl w:val="0"/>
          <w:numId w:val="5"/>
        </w:numPr>
        <w:overflowPunct w:val="0"/>
        <w:rPr>
          <w:rFonts w:hint="eastAsia" w:ascii="宋体" w:hAnsi="宋体" w:eastAsia="宋体" w:cs="宋体"/>
          <w:color w:val="auto"/>
          <w:sz w:val="21"/>
          <w:szCs w:val="21"/>
          <w:highlight w:val="none"/>
        </w:rPr>
      </w:pPr>
      <w:bookmarkStart w:id="51" w:name="_Toc16938"/>
      <w:bookmarkStart w:id="52" w:name="_Toc12048"/>
      <w:r>
        <w:rPr>
          <w:rFonts w:hint="eastAsia" w:ascii="宋体" w:hAnsi="宋体" w:eastAsia="宋体" w:cs="宋体"/>
          <w:color w:val="auto"/>
          <w:sz w:val="21"/>
          <w:szCs w:val="21"/>
          <w:highlight w:val="none"/>
        </w:rPr>
        <w:t>投标文件的语言及度量衡单位</w:t>
      </w:r>
      <w:bookmarkEnd w:id="51"/>
      <w:bookmarkEnd w:id="52"/>
    </w:p>
    <w:p w14:paraId="198FBF02">
      <w:pPr>
        <w:pStyle w:val="51"/>
        <w:widowControl w:val="0"/>
        <w:numPr>
          <w:ilvl w:val="0"/>
          <w:numId w:val="0"/>
        </w:numPr>
        <w:adjustRightInd/>
        <w:snapToGrid/>
        <w:ind w:leftChars="0"/>
        <w:jc w:val="both"/>
        <w:rPr>
          <w:rFonts w:hint="eastAsia" w:ascii="宋体" w:hAnsi="宋体" w:eastAsia="宋体" w:cs="宋体"/>
          <w:vanish/>
          <w:color w:val="auto"/>
          <w:szCs w:val="21"/>
          <w:highlight w:val="none"/>
        </w:rPr>
      </w:pPr>
    </w:p>
    <w:p w14:paraId="7FF5C9E8">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14:paraId="26999966">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除非采购文件在技术规格中另有规定，投标人在投标文件中及其与采购代理机构和采购人所有往来文件中的所有计量单位均应采用中华人民共和国法定计量单位。</w:t>
      </w:r>
    </w:p>
    <w:p w14:paraId="42CF2C4D">
      <w:pPr>
        <w:widowControl w:val="0"/>
        <w:adjustRightInd/>
        <w:snapToGrid/>
        <w:ind w:left="567"/>
        <w:jc w:val="both"/>
        <w:rPr>
          <w:rFonts w:hint="eastAsia" w:ascii="宋体" w:hAnsi="宋体" w:eastAsia="宋体" w:cs="宋体"/>
          <w:color w:val="auto"/>
          <w:szCs w:val="21"/>
          <w:highlight w:val="none"/>
        </w:rPr>
      </w:pPr>
    </w:p>
    <w:p w14:paraId="0B9F99DC">
      <w:pPr>
        <w:pStyle w:val="5"/>
        <w:widowControl w:val="0"/>
        <w:numPr>
          <w:ilvl w:val="0"/>
          <w:numId w:val="5"/>
        </w:numPr>
        <w:overflowPunct w:val="0"/>
        <w:rPr>
          <w:rFonts w:hint="eastAsia" w:ascii="宋体" w:hAnsi="宋体" w:eastAsia="宋体" w:cs="宋体"/>
          <w:color w:val="auto"/>
          <w:sz w:val="21"/>
          <w:szCs w:val="21"/>
          <w:highlight w:val="none"/>
        </w:rPr>
      </w:pPr>
      <w:bookmarkStart w:id="53" w:name="_Toc28866"/>
      <w:bookmarkStart w:id="54" w:name="_Toc11466"/>
      <w:bookmarkStart w:id="55" w:name="_Toc307934854"/>
      <w:bookmarkStart w:id="56" w:name="_Toc382049103"/>
      <w:bookmarkStart w:id="57" w:name="_Toc27953"/>
      <w:bookmarkStart w:id="58" w:name="_Toc303084256"/>
      <w:r>
        <w:rPr>
          <w:rFonts w:hint="eastAsia" w:ascii="宋体" w:hAnsi="宋体" w:eastAsia="宋体" w:cs="宋体"/>
          <w:color w:val="auto"/>
          <w:sz w:val="21"/>
          <w:szCs w:val="21"/>
          <w:highlight w:val="none"/>
        </w:rPr>
        <w:t>投标文件的组成</w:t>
      </w:r>
      <w:bookmarkEnd w:id="53"/>
      <w:bookmarkEnd w:id="54"/>
      <w:bookmarkEnd w:id="55"/>
      <w:bookmarkEnd w:id="56"/>
      <w:bookmarkEnd w:id="57"/>
      <w:bookmarkEnd w:id="58"/>
    </w:p>
    <w:p w14:paraId="61B7E05D">
      <w:pPr>
        <w:pStyle w:val="51"/>
        <w:widowControl w:val="0"/>
        <w:numPr>
          <w:ilvl w:val="0"/>
          <w:numId w:val="0"/>
        </w:numPr>
        <w:adjustRightInd/>
        <w:snapToGrid/>
        <w:ind w:leftChars="0"/>
        <w:jc w:val="both"/>
        <w:rPr>
          <w:rFonts w:hint="eastAsia" w:ascii="宋体" w:hAnsi="宋体" w:eastAsia="宋体" w:cs="宋体"/>
          <w:vanish/>
          <w:color w:val="auto"/>
          <w:szCs w:val="21"/>
          <w:highlight w:val="none"/>
        </w:rPr>
      </w:pPr>
    </w:p>
    <w:p w14:paraId="0A3CBF7F">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包括但不限于采购文件附件格式中要求提供的表格。</w:t>
      </w:r>
    </w:p>
    <w:p w14:paraId="417075AD">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上述文件须按顺序装订成册，并编制投标文件目录。除上述文件资料外投标人还须按投标人须知的要求制作“唱标信封”。“唱标信封”作为投标文件的一部分，但须单独密封。</w:t>
      </w:r>
    </w:p>
    <w:p w14:paraId="67F4AD2F">
      <w:pPr>
        <w:rPr>
          <w:rFonts w:hint="eastAsia" w:ascii="宋体" w:hAnsi="宋体" w:eastAsia="宋体" w:cs="宋体"/>
          <w:color w:val="auto"/>
          <w:highlight w:val="none"/>
        </w:rPr>
      </w:pPr>
    </w:p>
    <w:p w14:paraId="32A41E4F">
      <w:pPr>
        <w:pStyle w:val="5"/>
        <w:widowControl w:val="0"/>
        <w:numPr>
          <w:ilvl w:val="0"/>
          <w:numId w:val="5"/>
        </w:numPr>
        <w:overflowPunct w:val="0"/>
        <w:rPr>
          <w:rFonts w:hint="eastAsia" w:ascii="宋体" w:hAnsi="宋体" w:eastAsia="宋体" w:cs="宋体"/>
          <w:color w:val="auto"/>
          <w:sz w:val="21"/>
          <w:szCs w:val="21"/>
          <w:highlight w:val="none"/>
        </w:rPr>
      </w:pPr>
      <w:bookmarkStart w:id="59" w:name="_Toc5904"/>
      <w:bookmarkStart w:id="60" w:name="_Toc755"/>
      <w:r>
        <w:rPr>
          <w:rFonts w:hint="eastAsia" w:ascii="宋体" w:hAnsi="宋体" w:eastAsia="宋体" w:cs="宋体"/>
          <w:color w:val="auto"/>
          <w:sz w:val="21"/>
          <w:szCs w:val="21"/>
          <w:highlight w:val="none"/>
        </w:rPr>
        <w:t>投标文件编制</w:t>
      </w:r>
      <w:bookmarkEnd w:id="59"/>
      <w:bookmarkEnd w:id="60"/>
    </w:p>
    <w:p w14:paraId="6729AFA0">
      <w:pPr>
        <w:pStyle w:val="51"/>
        <w:widowControl w:val="0"/>
        <w:numPr>
          <w:ilvl w:val="0"/>
          <w:numId w:val="0"/>
        </w:numPr>
        <w:adjustRightInd/>
        <w:snapToGrid/>
        <w:ind w:leftChars="0"/>
        <w:jc w:val="both"/>
        <w:rPr>
          <w:rFonts w:hint="eastAsia" w:ascii="宋体" w:hAnsi="宋体" w:eastAsia="宋体" w:cs="宋体"/>
          <w:vanish/>
          <w:color w:val="auto"/>
          <w:szCs w:val="21"/>
          <w:highlight w:val="none"/>
        </w:rPr>
      </w:pPr>
      <w:bookmarkStart w:id="61" w:name="_Toc303084258"/>
    </w:p>
    <w:p w14:paraId="04E86805">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按采购文件的规定以及附件要求的内容和格式完整地填写（表格可以按同样格式扩展）和提供资料，投标人必须对投标文件所提供的全部材料的真实性承担法律责任，并无条件接受采购人或采购代理机构对其中任何资料进行核实的要求。</w:t>
      </w:r>
    </w:p>
    <w:p w14:paraId="34835182">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因投标文件编制存在歧义对投标人产生负面影响的，投标人自行承担后果。</w:t>
      </w:r>
    </w:p>
    <w:p w14:paraId="639B1F4B">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名称与投标人公章不一致，若</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名称已进行变更，应在投标文件中提供相应的证明材料并加盖公章，否则投标文件无效。</w:t>
      </w:r>
    </w:p>
    <w:p w14:paraId="72833A1F">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投标文件密封、标记及内容与本项目采购信息不符，导致无法分辨所投项目为本项目的，投标文件无效。</w:t>
      </w:r>
    </w:p>
    <w:p w14:paraId="7C74110E">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投标人须客观撰写投标人简介（格式自理，并提供相关证明）以及所投的产品或服务说明。</w:t>
      </w:r>
    </w:p>
    <w:p w14:paraId="3694A893">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投标文件若出现以下内容，经评标委员会认定有可能间接影响评审秩序，作废标处理。</w:t>
      </w:r>
    </w:p>
    <w:p w14:paraId="1C895785">
      <w:pPr>
        <w:pStyle w:val="51"/>
        <w:widowControl w:val="0"/>
        <w:numPr>
          <w:ilvl w:val="0"/>
          <w:numId w:val="6"/>
        </w:numPr>
        <w:adjustRightInd/>
        <w:snapToGrid/>
        <w:ind w:firstLineChars="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投标文件内出现无官方证明文件的行业地域排名或使用“国家级”、“最高级”、“最佳”等用语字眼的。</w:t>
      </w:r>
    </w:p>
    <w:p w14:paraId="350EFBD5">
      <w:pPr>
        <w:pStyle w:val="51"/>
        <w:widowControl w:val="0"/>
        <w:numPr>
          <w:ilvl w:val="0"/>
          <w:numId w:val="6"/>
        </w:numPr>
        <w:adjustRightInd/>
        <w:snapToGrid/>
        <w:ind w:firstLineChars="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投标文件内出现恶意诋毁、贬低其他生产经营者的商品或者服务的内容。</w:t>
      </w:r>
    </w:p>
    <w:p w14:paraId="29EE19D1">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有下列情形之一的，视为投标人串通投标，其投标无效：</w:t>
      </w:r>
    </w:p>
    <w:p w14:paraId="3E689B8F">
      <w:pPr>
        <w:widowControl w:val="0"/>
        <w:adjustRightInd/>
        <w:snapToGrid/>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（1）不同投标人的投标文件由同一单位或者个人编制；</w:t>
      </w:r>
    </w:p>
    <w:p w14:paraId="2F809FA1">
      <w:pPr>
        <w:widowControl w:val="0"/>
        <w:adjustRightInd/>
        <w:snapToGrid/>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（2）不同投标人委托同一单位或者个人办理投标事宜；</w:t>
      </w:r>
    </w:p>
    <w:p w14:paraId="4F8699FB">
      <w:pPr>
        <w:widowControl w:val="0"/>
        <w:adjustRightInd/>
        <w:snapToGrid/>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（3）不同投标人的投标文件载明的项目管理成员或者联系人员为同一人；</w:t>
      </w:r>
    </w:p>
    <w:p w14:paraId="37E3E948">
      <w:pPr>
        <w:widowControl w:val="0"/>
        <w:adjustRightInd/>
        <w:snapToGrid/>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（4）不同投标人的投标文件异常一致或者投标报价呈规律性差异；</w:t>
      </w:r>
    </w:p>
    <w:p w14:paraId="690454DE">
      <w:pPr>
        <w:widowControl w:val="0"/>
        <w:adjustRightInd/>
        <w:snapToGrid/>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（5）不同投标人的投标文件相互混装；</w:t>
      </w:r>
    </w:p>
    <w:p w14:paraId="261390F6">
      <w:pPr>
        <w:widowControl w:val="0"/>
        <w:adjustRightInd/>
        <w:snapToGrid/>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（6）不同投标人的投标保证金从同一单位或者个人的账户转出。</w:t>
      </w:r>
    </w:p>
    <w:bookmarkEnd w:id="61"/>
    <w:p w14:paraId="7D5C35E2">
      <w:pPr>
        <w:rPr>
          <w:rFonts w:hint="eastAsia" w:ascii="宋体" w:hAnsi="宋体" w:eastAsia="宋体" w:cs="宋体"/>
          <w:color w:val="auto"/>
          <w:highlight w:val="none"/>
        </w:rPr>
      </w:pPr>
    </w:p>
    <w:p w14:paraId="6BEF90A2">
      <w:pPr>
        <w:pStyle w:val="5"/>
        <w:widowControl w:val="0"/>
        <w:numPr>
          <w:ilvl w:val="0"/>
          <w:numId w:val="5"/>
        </w:numPr>
        <w:overflowPunct w:val="0"/>
        <w:rPr>
          <w:rFonts w:hint="eastAsia" w:ascii="宋体" w:hAnsi="宋体" w:eastAsia="宋体" w:cs="宋体"/>
          <w:color w:val="auto"/>
          <w:sz w:val="21"/>
          <w:szCs w:val="21"/>
          <w:highlight w:val="none"/>
        </w:rPr>
      </w:pPr>
      <w:bookmarkStart w:id="62" w:name="_Toc7134"/>
      <w:bookmarkStart w:id="63" w:name="_Toc6154"/>
      <w:r>
        <w:rPr>
          <w:rFonts w:hint="eastAsia" w:ascii="宋体" w:hAnsi="宋体" w:eastAsia="宋体" w:cs="宋体"/>
          <w:color w:val="auto"/>
          <w:sz w:val="21"/>
          <w:szCs w:val="21"/>
          <w:highlight w:val="none"/>
        </w:rPr>
        <w:t>投标报价说明</w:t>
      </w:r>
      <w:bookmarkEnd w:id="62"/>
      <w:bookmarkEnd w:id="63"/>
    </w:p>
    <w:p w14:paraId="20ABF64B">
      <w:pPr>
        <w:pStyle w:val="51"/>
        <w:widowControl w:val="0"/>
        <w:numPr>
          <w:ilvl w:val="0"/>
          <w:numId w:val="0"/>
        </w:numPr>
        <w:adjustRightInd/>
        <w:snapToGrid/>
        <w:ind w:leftChars="0"/>
        <w:jc w:val="both"/>
        <w:rPr>
          <w:rFonts w:hint="eastAsia" w:ascii="宋体" w:hAnsi="宋体" w:eastAsia="宋体" w:cs="宋体"/>
          <w:vanish/>
          <w:color w:val="auto"/>
          <w:szCs w:val="21"/>
          <w:highlight w:val="none"/>
        </w:rPr>
      </w:pPr>
    </w:p>
    <w:p w14:paraId="296664C5">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本次采购，投标人应按用户需求中的要求进行投标报价，少报无效。</w:t>
      </w:r>
    </w:p>
    <w:p w14:paraId="352DF2F4">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投标人所提供的货物或服务均以人民币（或相关费率）报价。</w:t>
      </w:r>
    </w:p>
    <w:p w14:paraId="459CAE1B">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投标报价应包含完成本次采购所有服务内容的费用，包含各种税务费及合同实施过程中的全部费用和售后服务费等。</w:t>
      </w:r>
    </w:p>
    <w:p w14:paraId="1DF3ED94">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F95C5B0">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中标后开出的所有发票必须与中标人的名称一致。</w:t>
      </w:r>
    </w:p>
    <w:p w14:paraId="1081F2E4">
      <w:pPr>
        <w:rPr>
          <w:rFonts w:hint="eastAsia" w:ascii="宋体" w:hAnsi="宋体" w:eastAsia="宋体" w:cs="宋体"/>
          <w:color w:val="auto"/>
          <w:highlight w:val="none"/>
        </w:rPr>
      </w:pPr>
    </w:p>
    <w:p w14:paraId="6085A4A6">
      <w:pPr>
        <w:pStyle w:val="5"/>
        <w:widowControl w:val="0"/>
        <w:numPr>
          <w:ilvl w:val="0"/>
          <w:numId w:val="5"/>
        </w:numPr>
        <w:overflowPunct w:val="0"/>
        <w:rPr>
          <w:rFonts w:hint="eastAsia" w:ascii="宋体" w:hAnsi="宋体" w:eastAsia="宋体" w:cs="宋体"/>
          <w:color w:val="auto"/>
          <w:sz w:val="21"/>
          <w:szCs w:val="21"/>
          <w:highlight w:val="none"/>
        </w:rPr>
      </w:pPr>
      <w:bookmarkStart w:id="64" w:name="_Toc17669"/>
      <w:bookmarkStart w:id="65" w:name="_Toc14501"/>
      <w:r>
        <w:rPr>
          <w:rFonts w:hint="eastAsia" w:ascii="宋体" w:hAnsi="宋体" w:eastAsia="宋体" w:cs="宋体"/>
          <w:color w:val="auto"/>
          <w:sz w:val="21"/>
          <w:szCs w:val="21"/>
          <w:highlight w:val="none"/>
        </w:rPr>
        <w:t>投标人所提供的服务或货物的证明文件</w:t>
      </w:r>
      <w:bookmarkEnd w:id="64"/>
      <w:bookmarkEnd w:id="65"/>
    </w:p>
    <w:p w14:paraId="52098AB8">
      <w:pPr>
        <w:pStyle w:val="51"/>
        <w:widowControl w:val="0"/>
        <w:numPr>
          <w:ilvl w:val="0"/>
          <w:numId w:val="0"/>
        </w:numPr>
        <w:adjustRightInd/>
        <w:snapToGrid/>
        <w:ind w:leftChars="0"/>
        <w:jc w:val="both"/>
        <w:rPr>
          <w:rFonts w:hint="eastAsia" w:ascii="宋体" w:hAnsi="宋体" w:eastAsia="宋体" w:cs="宋体"/>
          <w:vanish/>
          <w:color w:val="auto"/>
          <w:szCs w:val="21"/>
          <w:highlight w:val="none"/>
        </w:rPr>
      </w:pPr>
    </w:p>
    <w:p w14:paraId="7148805C">
      <w:pPr>
        <w:widowControl w:val="0"/>
        <w:numPr>
          <w:ilvl w:val="1"/>
          <w:numId w:val="5"/>
        </w:numPr>
        <w:overflowPunct w:val="0"/>
        <w:rPr>
          <w:rFonts w:hint="eastAsia" w:ascii="宋体" w:hAnsi="宋体" w:eastAsia="宋体" w:cs="宋体"/>
          <w:color w:val="auto"/>
          <w:szCs w:val="21"/>
          <w:highlight w:val="none"/>
        </w:rPr>
      </w:pPr>
      <w:bookmarkStart w:id="66" w:name="_Hlt107925638"/>
      <w:bookmarkEnd w:id="66"/>
      <w:bookmarkStart w:id="67" w:name="_Hlt107925668"/>
      <w:bookmarkEnd w:id="67"/>
      <w:r>
        <w:rPr>
          <w:rFonts w:hint="eastAsia" w:ascii="宋体" w:hAnsi="宋体" w:eastAsia="宋体" w:cs="宋体"/>
          <w:color w:val="auto"/>
          <w:szCs w:val="21"/>
          <w:highlight w:val="none"/>
        </w:rPr>
        <w:t>证明服务或货物的文件，它可以是文字资料、图纸和数据包括但不限于：服务主要内容、标准、质量、人员资质、计划安排、报告审核等的详细说明；对采购文件第三部分《用户需求书》中规定的要求进行详细应答和说明。</w:t>
      </w:r>
    </w:p>
    <w:p w14:paraId="688C2139">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有下列情形之一的，视为投标人弄虚作假，其投标无效：</w:t>
      </w:r>
    </w:p>
    <w:p w14:paraId="5BA84FBD">
      <w:pPr>
        <w:pStyle w:val="51"/>
        <w:widowControl w:val="0"/>
        <w:adjustRightInd/>
        <w:snapToGrid/>
        <w:ind w:left="425"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1、使用通过受让或者租借等方式获取的资格、资质证书投标的，属于以他人名义投标。</w:t>
      </w:r>
    </w:p>
    <w:p w14:paraId="724B7A18">
      <w:pPr>
        <w:pStyle w:val="51"/>
        <w:widowControl w:val="0"/>
        <w:adjustRightInd/>
        <w:snapToGrid/>
        <w:ind w:left="425"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2、投标人有下列情形之一的，属于以其他方式弄虚作假的行为：</w:t>
      </w:r>
    </w:p>
    <w:p w14:paraId="06ECCB1A">
      <w:pPr>
        <w:pStyle w:val="51"/>
        <w:widowControl w:val="0"/>
        <w:adjustRightInd/>
        <w:snapToGrid/>
        <w:ind w:left="425"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（1）使用伪造、变造的许可证件；</w:t>
      </w:r>
    </w:p>
    <w:p w14:paraId="2610426D">
      <w:pPr>
        <w:pStyle w:val="51"/>
        <w:widowControl w:val="0"/>
        <w:adjustRightInd/>
        <w:snapToGrid/>
        <w:ind w:left="425"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（2）提供虚假的财务状况或者业绩；</w:t>
      </w:r>
    </w:p>
    <w:p w14:paraId="4978E3AC">
      <w:pPr>
        <w:pStyle w:val="51"/>
        <w:widowControl w:val="0"/>
        <w:adjustRightInd/>
        <w:snapToGrid/>
        <w:ind w:left="425"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（3）提供虚假的项目负责人或者主要技术人员简历、劳动关系证明；</w:t>
      </w:r>
    </w:p>
    <w:p w14:paraId="20C3C3D3">
      <w:pPr>
        <w:pStyle w:val="51"/>
        <w:widowControl w:val="0"/>
        <w:adjustRightInd/>
        <w:snapToGrid/>
        <w:ind w:left="425"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（4）提供虚假的信用状况；</w:t>
      </w:r>
    </w:p>
    <w:p w14:paraId="2F21EB97">
      <w:pPr>
        <w:pStyle w:val="51"/>
        <w:widowControl w:val="0"/>
        <w:adjustRightInd/>
        <w:snapToGrid/>
        <w:ind w:left="425"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（5）其他弄虚作假的行为。</w:t>
      </w:r>
    </w:p>
    <w:p w14:paraId="5A00EC0B">
      <w:pPr>
        <w:pStyle w:val="5"/>
        <w:widowControl w:val="0"/>
        <w:numPr>
          <w:ilvl w:val="0"/>
          <w:numId w:val="5"/>
        </w:numPr>
        <w:overflowPunct w:val="0"/>
        <w:rPr>
          <w:rFonts w:hint="eastAsia" w:ascii="宋体" w:hAnsi="宋体" w:eastAsia="宋体" w:cs="宋体"/>
          <w:color w:val="auto"/>
          <w:sz w:val="21"/>
          <w:szCs w:val="21"/>
          <w:highlight w:val="none"/>
        </w:rPr>
      </w:pPr>
      <w:bookmarkStart w:id="68" w:name="_Toc8324"/>
      <w:bookmarkStart w:id="69" w:name="_Toc2409"/>
      <w:r>
        <w:rPr>
          <w:rFonts w:hint="eastAsia" w:ascii="宋体" w:hAnsi="宋体" w:eastAsia="宋体" w:cs="宋体"/>
          <w:color w:val="auto"/>
          <w:sz w:val="21"/>
          <w:szCs w:val="21"/>
          <w:highlight w:val="none"/>
        </w:rPr>
        <w:t>投标有效期</w:t>
      </w:r>
      <w:bookmarkEnd w:id="68"/>
      <w:bookmarkEnd w:id="69"/>
    </w:p>
    <w:p w14:paraId="6BC88F60">
      <w:pPr>
        <w:pStyle w:val="51"/>
        <w:widowControl w:val="0"/>
        <w:numPr>
          <w:ilvl w:val="0"/>
          <w:numId w:val="0"/>
        </w:numPr>
        <w:adjustRightInd/>
        <w:snapToGrid/>
        <w:ind w:leftChars="0"/>
        <w:jc w:val="both"/>
        <w:rPr>
          <w:rFonts w:hint="eastAsia" w:ascii="宋体" w:hAnsi="宋体" w:eastAsia="宋体" w:cs="宋体"/>
          <w:vanish/>
          <w:color w:val="auto"/>
          <w:szCs w:val="21"/>
          <w:highlight w:val="none"/>
        </w:rPr>
      </w:pPr>
    </w:p>
    <w:p w14:paraId="7734BE18">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投标文件应根据投标人须知的规定在投标截止日后的90天内保持有效。</w:t>
      </w:r>
    </w:p>
    <w:p w14:paraId="21DF3952">
      <w:pPr>
        <w:widowControl w:val="0"/>
        <w:adjustRightInd/>
        <w:snapToGrid/>
        <w:ind w:left="567"/>
        <w:jc w:val="both"/>
        <w:rPr>
          <w:rFonts w:hint="eastAsia" w:ascii="宋体" w:hAnsi="宋体" w:eastAsia="宋体" w:cs="宋体"/>
          <w:color w:val="auto"/>
          <w:highlight w:val="none"/>
        </w:rPr>
      </w:pPr>
    </w:p>
    <w:p w14:paraId="7D67C891">
      <w:pPr>
        <w:pStyle w:val="5"/>
        <w:widowControl w:val="0"/>
        <w:numPr>
          <w:ilvl w:val="0"/>
          <w:numId w:val="5"/>
        </w:numPr>
        <w:overflowPunct w:val="0"/>
        <w:rPr>
          <w:rFonts w:hint="eastAsia" w:ascii="宋体" w:hAnsi="宋体" w:eastAsia="宋体" w:cs="宋体"/>
          <w:color w:val="auto"/>
          <w:sz w:val="21"/>
          <w:szCs w:val="21"/>
          <w:highlight w:val="none"/>
        </w:rPr>
      </w:pPr>
      <w:bookmarkStart w:id="70" w:name="_Toc26564"/>
      <w:bookmarkStart w:id="71" w:name="_Toc12582"/>
      <w:r>
        <w:rPr>
          <w:rFonts w:hint="eastAsia" w:ascii="宋体" w:hAnsi="宋体" w:eastAsia="宋体" w:cs="宋体"/>
          <w:color w:val="auto"/>
          <w:sz w:val="21"/>
          <w:szCs w:val="21"/>
          <w:highlight w:val="none"/>
        </w:rPr>
        <w:t>投标保证金</w:t>
      </w:r>
      <w:bookmarkEnd w:id="70"/>
      <w:bookmarkEnd w:id="71"/>
    </w:p>
    <w:p w14:paraId="6D3F5D64">
      <w:pPr>
        <w:pStyle w:val="51"/>
        <w:widowControl w:val="0"/>
        <w:numPr>
          <w:ilvl w:val="0"/>
          <w:numId w:val="0"/>
        </w:numPr>
        <w:adjustRightInd/>
        <w:snapToGrid/>
        <w:ind w:leftChars="0"/>
        <w:jc w:val="both"/>
        <w:rPr>
          <w:rFonts w:hint="eastAsia" w:ascii="宋体" w:hAnsi="宋体" w:eastAsia="宋体" w:cs="宋体"/>
          <w:vanish/>
          <w:color w:val="auto"/>
          <w:szCs w:val="21"/>
          <w:highlight w:val="none"/>
        </w:rPr>
      </w:pPr>
      <w:bookmarkStart w:id="72" w:name="_Ref179619405"/>
    </w:p>
    <w:p w14:paraId="339C5BC5">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投标人应在投标文件递交截止前提交相应的投标保证金，并作为其投标的一部分。</w:t>
      </w:r>
      <w:bookmarkEnd w:id="72"/>
    </w:p>
    <w:p w14:paraId="03613DCF">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投标保证金是为了保护采购代理机构和采购人免遭因投标人的行为而蒙受的损失。采购代理机构和采购人在因投标人的行为受到损害时可根据本须知（17.7）的规定没收投标人的投标保证金。</w:t>
      </w:r>
    </w:p>
    <w:p w14:paraId="189A314C">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采用转账、电汇方式方式提交，应符合以下要求：采用银行转账、电汇方式提交的，保证金汇入《投标资料表》中投标保证金专用账户，不接收由以投标人分支机构、私人账户和其他单位转入的保证金。投标保证金必须在投标文件递交截止前到账，投标保证金未按规定时间到达指定账户或提交金额不足的，将被视为无效投标。且在备注或用途中注明本项目的项目编号。</w:t>
      </w:r>
    </w:p>
    <w:p w14:paraId="2239598C">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凡没有根据本须知（17.1和17.3）的规定随附有效的投标保证金的投标，将被视为非响应性投标予以拒绝。</w:t>
      </w:r>
    </w:p>
    <w:p w14:paraId="11396BBF">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投标保证金有效期应当与投标有效期一致。采购人如果按照采购文件另外规定延长了投标文件有效期，则投标担保的有效期也相应延长。</w:t>
      </w:r>
    </w:p>
    <w:p w14:paraId="2FE89C32">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中标人在签订采购合同并按采购文件第（33）条规定提交履约担保金后，携带退保证金声明函、投标保证金汇款单复印件（加盖公章）和合同正本到采购人处办理投标保证金（无息）退回手续。</w:t>
      </w:r>
    </w:p>
    <w:p w14:paraId="63EBAA3D">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下列任何情况发生时，投标保证金将不予退还：</w:t>
      </w:r>
    </w:p>
    <w:p w14:paraId="1722A48B">
      <w:pPr>
        <w:widowControl w:val="0"/>
        <w:adjustRightInd/>
        <w:snapToGrid/>
        <w:ind w:left="540" w:leftChars="25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（1）投标人在采购文件中规定的投标有效期内撤回其投标；</w:t>
      </w:r>
    </w:p>
    <w:p w14:paraId="0A02631C">
      <w:pPr>
        <w:widowControl w:val="0"/>
        <w:adjustRightInd/>
        <w:snapToGrid/>
        <w:ind w:left="540" w:leftChars="25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（2）中标人无正当理由不与采购人订立合同，在签订合同时向采购人提出附加条件，或者不按照采购文件要求提交履约保证金的；</w:t>
      </w:r>
    </w:p>
    <w:p w14:paraId="0AC5A06B">
      <w:pPr>
        <w:widowControl w:val="0"/>
        <w:adjustRightInd/>
        <w:snapToGrid/>
        <w:ind w:left="540" w:leftChars="25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（3）中标人将本项目转让给他人，或者在投标文件中未说明，且未经采购人同意，将中标项目分包给他人的；</w:t>
      </w:r>
    </w:p>
    <w:p w14:paraId="4F84E1F8">
      <w:pPr>
        <w:widowControl w:val="0"/>
        <w:adjustRightInd/>
        <w:snapToGrid/>
        <w:ind w:left="540" w:leftChars="25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（4）投标人提供虚假投标文件或虚假补充文件的。</w:t>
      </w:r>
    </w:p>
    <w:p w14:paraId="603E75F4">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在中标通知书发出后，未中标投标人的投标保证金，由采购人自行返还至投标人的原转出账户。</w:t>
      </w:r>
    </w:p>
    <w:p w14:paraId="1C40DDC6">
      <w:pPr>
        <w:rPr>
          <w:rFonts w:hint="eastAsia" w:ascii="宋体" w:hAnsi="宋体" w:eastAsia="宋体" w:cs="宋体"/>
          <w:color w:val="auto"/>
          <w:highlight w:val="none"/>
        </w:rPr>
      </w:pPr>
    </w:p>
    <w:p w14:paraId="5D30C7FA">
      <w:pPr>
        <w:pStyle w:val="4"/>
        <w:numPr>
          <w:ilvl w:val="0"/>
          <w:numId w:val="4"/>
        </w:numPr>
        <w:spacing w:before="0" w:after="0" w:line="360" w:lineRule="auto"/>
        <w:jc w:val="center"/>
        <w:rPr>
          <w:rFonts w:hint="eastAsia" w:ascii="宋体" w:hAnsi="宋体" w:eastAsia="宋体" w:cs="宋体"/>
          <w:color w:val="auto"/>
          <w:highlight w:val="none"/>
        </w:rPr>
      </w:pPr>
      <w:bookmarkStart w:id="73" w:name="_Toc30352"/>
      <w:bookmarkStart w:id="74" w:name="_Toc18672"/>
      <w:r>
        <w:rPr>
          <w:rFonts w:hint="eastAsia" w:ascii="宋体" w:hAnsi="宋体" w:eastAsia="宋体" w:cs="宋体"/>
          <w:color w:val="auto"/>
          <w:highlight w:val="none"/>
        </w:rPr>
        <w:t>投标文件的递交</w:t>
      </w:r>
      <w:bookmarkEnd w:id="73"/>
      <w:bookmarkEnd w:id="74"/>
    </w:p>
    <w:p w14:paraId="1D5E8FF5">
      <w:pPr>
        <w:pStyle w:val="5"/>
        <w:widowControl w:val="0"/>
        <w:numPr>
          <w:ilvl w:val="0"/>
          <w:numId w:val="5"/>
        </w:numPr>
        <w:overflowPunct w:val="0"/>
        <w:rPr>
          <w:rFonts w:hint="eastAsia" w:ascii="宋体" w:hAnsi="宋体" w:eastAsia="宋体" w:cs="宋体"/>
          <w:color w:val="auto"/>
          <w:sz w:val="21"/>
          <w:szCs w:val="21"/>
          <w:highlight w:val="none"/>
        </w:rPr>
      </w:pPr>
      <w:bookmarkStart w:id="75" w:name="_Toc24150"/>
      <w:bookmarkStart w:id="76" w:name="_Toc303084264"/>
      <w:bookmarkStart w:id="77" w:name="_Toc382049111"/>
      <w:bookmarkStart w:id="78" w:name="_Toc9759"/>
      <w:bookmarkStart w:id="79" w:name="_Toc24997"/>
      <w:r>
        <w:rPr>
          <w:rFonts w:hint="eastAsia" w:ascii="宋体" w:hAnsi="宋体" w:eastAsia="宋体" w:cs="宋体"/>
          <w:color w:val="auto"/>
          <w:sz w:val="21"/>
          <w:szCs w:val="21"/>
          <w:highlight w:val="none"/>
        </w:rPr>
        <w:t>投标文件的装订，签署，密封和标记</w:t>
      </w:r>
      <w:bookmarkEnd w:id="75"/>
      <w:bookmarkEnd w:id="76"/>
      <w:bookmarkEnd w:id="77"/>
      <w:bookmarkEnd w:id="78"/>
      <w:bookmarkEnd w:id="79"/>
    </w:p>
    <w:p w14:paraId="60B2D41F">
      <w:pPr>
        <w:pStyle w:val="51"/>
        <w:widowControl w:val="0"/>
        <w:numPr>
          <w:ilvl w:val="0"/>
          <w:numId w:val="0"/>
        </w:numPr>
        <w:adjustRightInd/>
        <w:snapToGrid/>
        <w:ind w:leftChars="0"/>
        <w:jc w:val="both"/>
        <w:rPr>
          <w:rFonts w:hint="eastAsia" w:ascii="宋体" w:hAnsi="宋体" w:eastAsia="宋体" w:cs="宋体"/>
          <w:vanish/>
          <w:color w:val="auto"/>
          <w:szCs w:val="21"/>
          <w:highlight w:val="none"/>
        </w:rPr>
      </w:pPr>
    </w:p>
    <w:p w14:paraId="1E498764">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投标人应按《投标资料表》的份数准备价格文件、商务文件、技术文件、唱标信封和电子文件（</w:t>
      </w:r>
      <w:r>
        <w:rPr>
          <w:rFonts w:hint="eastAsia" w:ascii="宋体" w:hAnsi="宋体" w:eastAsia="宋体" w:cs="宋体"/>
          <w:b/>
          <w:color w:val="auto"/>
          <w:szCs w:val="21"/>
          <w:highlight w:val="none"/>
        </w:rPr>
        <w:t>价格文件、商务文件、技术文件分别单独装订成册</w:t>
      </w:r>
      <w:r>
        <w:rPr>
          <w:rFonts w:hint="eastAsia" w:ascii="宋体" w:hAnsi="宋体" w:eastAsia="宋体" w:cs="宋体"/>
          <w:color w:val="auto"/>
          <w:szCs w:val="21"/>
          <w:highlight w:val="none"/>
        </w:rPr>
        <w:t>），每一份投标文件均需编上页次，装订成册（不允许使用活页夹，否则由此产生的风险由投标人自行承担）。所有投标文件必须封入密封完好的信封或包装，封口加盖公章。</w:t>
      </w:r>
    </w:p>
    <w:p w14:paraId="49AF0080">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14:paraId="6CA6376E">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联合体投标文件的【正本】及【副本】的封面及骑缝均须加盖所有联合体组成成员的公章。（文件每页盖章等同于盖骑缝章）</w:t>
      </w:r>
    </w:p>
    <w:p w14:paraId="68CAB007">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电子文件内容包括：由投标人自行制作的与正本文件一致的所有文件。电子文件由光盘或U盘储存，并注明投标人名称及项目名称、采购项目编号，随投标文件一同密封提交。</w:t>
      </w:r>
    </w:p>
    <w:p w14:paraId="7C158DB3">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除投标人对错误处修改外，全套投标文件应无涂改或行间插字和增删。如有修改，修改处须由法定代表人或其正式授权代表在旁边签字及盖章。</w:t>
      </w:r>
    </w:p>
    <w:p w14:paraId="2B663EC8">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投标人应将投标文件进行非透明的封装，以防止投标文件内容的泄露。采购代理机构将拒绝接收采用透明包装进行密封的投标文件。</w:t>
      </w:r>
    </w:p>
    <w:p w14:paraId="1F391D4A">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密封破损导致投标文件内容直接或间接泄露的投标文件，采购代理机构将拒绝接收。</w:t>
      </w:r>
    </w:p>
    <w:p w14:paraId="5CA944C5">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方便开标唱标，投标人应将开标一览表和授权委托书单独密封提交，并在信封上标明“唱标信封”字样。唱标信封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唱标信封”份数及签章等要求与投标文件正本相同（1份）。</w:t>
      </w:r>
    </w:p>
    <w:p w14:paraId="3F88ED6E">
      <w:pPr>
        <w:widowControl w:val="0"/>
        <w:numPr>
          <w:ilvl w:val="1"/>
          <w:numId w:val="5"/>
        </w:numPr>
        <w:overflowPunct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未单独提交唱标信封的投标人投标文件不进行唱标，投标文件作无效处理。</w:t>
      </w:r>
    </w:p>
    <w:p w14:paraId="0ED9C85A">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所有的信封均应注明： </w:t>
      </w:r>
    </w:p>
    <w:p w14:paraId="7B996714">
      <w:pPr>
        <w:widowControl w:val="0"/>
        <w:numPr>
          <w:ilvl w:val="0"/>
          <w:numId w:val="7"/>
        </w:numPr>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收件人： </w:t>
      </w:r>
    </w:p>
    <w:p w14:paraId="3B6756DD">
      <w:pPr>
        <w:widowControl w:val="0"/>
        <w:numPr>
          <w:ilvl w:val="0"/>
          <w:numId w:val="7"/>
        </w:numPr>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名称：</w:t>
      </w:r>
    </w:p>
    <w:p w14:paraId="0268776D">
      <w:pPr>
        <w:widowControl w:val="0"/>
        <w:numPr>
          <w:ilvl w:val="0"/>
          <w:numId w:val="7"/>
        </w:numPr>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p w14:paraId="7FC7B84C">
      <w:pPr>
        <w:widowControl w:val="0"/>
        <w:numPr>
          <w:ilvl w:val="0"/>
          <w:numId w:val="7"/>
        </w:numPr>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项目采购项目编号：</w:t>
      </w:r>
    </w:p>
    <w:p w14:paraId="2C68E997">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密封信封上的项目编号错误或项目名称出现严重歧义的（包括采购内容不符），采购代理机构将拒绝接收。</w:t>
      </w:r>
    </w:p>
    <w:p w14:paraId="0B789682">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采购代理机构对所有投标文件的误投或提前启封概不负责。</w:t>
      </w:r>
    </w:p>
    <w:p w14:paraId="50EC1AC0">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投标人同时参加几个包投标时必须按采购文件要求按包号分别制作投标文件，分别密封递交。</w:t>
      </w:r>
    </w:p>
    <w:p w14:paraId="5AE9A53B">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传真、电传的投标文件将被拒绝。</w:t>
      </w:r>
    </w:p>
    <w:p w14:paraId="1BB3361E">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递交的投标文件中所提供的通讯方式应保持联络畅通，因联系不上而导致的所有后果由投标人自行承担。</w:t>
      </w:r>
    </w:p>
    <w:p w14:paraId="1CB5B8EB">
      <w:pPr>
        <w:rPr>
          <w:rFonts w:hint="eastAsia" w:ascii="宋体" w:hAnsi="宋体" w:eastAsia="宋体" w:cs="宋体"/>
          <w:color w:val="auto"/>
          <w:highlight w:val="none"/>
        </w:rPr>
      </w:pPr>
    </w:p>
    <w:p w14:paraId="5C8673F2">
      <w:pPr>
        <w:pStyle w:val="5"/>
        <w:widowControl w:val="0"/>
        <w:numPr>
          <w:ilvl w:val="0"/>
          <w:numId w:val="5"/>
        </w:numPr>
        <w:overflowPunct w:val="0"/>
        <w:rPr>
          <w:rFonts w:hint="eastAsia" w:ascii="宋体" w:hAnsi="宋体" w:eastAsia="宋体" w:cs="宋体"/>
          <w:color w:val="auto"/>
          <w:sz w:val="21"/>
          <w:szCs w:val="21"/>
          <w:highlight w:val="none"/>
        </w:rPr>
      </w:pPr>
      <w:bookmarkStart w:id="80" w:name="_Toc25895"/>
      <w:bookmarkStart w:id="81" w:name="_Toc27686"/>
      <w:r>
        <w:rPr>
          <w:rFonts w:hint="eastAsia" w:ascii="宋体" w:hAnsi="宋体" w:eastAsia="宋体" w:cs="宋体"/>
          <w:color w:val="auto"/>
          <w:sz w:val="21"/>
          <w:szCs w:val="21"/>
          <w:highlight w:val="none"/>
        </w:rPr>
        <w:t>迟交的投标文件</w:t>
      </w:r>
      <w:bookmarkEnd w:id="80"/>
      <w:bookmarkEnd w:id="81"/>
    </w:p>
    <w:p w14:paraId="490ABE50">
      <w:pPr>
        <w:pStyle w:val="51"/>
        <w:widowControl w:val="0"/>
        <w:numPr>
          <w:ilvl w:val="0"/>
          <w:numId w:val="0"/>
        </w:numPr>
        <w:adjustRightInd/>
        <w:snapToGrid/>
        <w:ind w:leftChars="0"/>
        <w:jc w:val="both"/>
        <w:rPr>
          <w:rFonts w:hint="eastAsia" w:ascii="宋体" w:hAnsi="宋体" w:eastAsia="宋体" w:cs="宋体"/>
          <w:vanish/>
          <w:color w:val="auto"/>
          <w:szCs w:val="21"/>
          <w:highlight w:val="none"/>
        </w:rPr>
      </w:pPr>
    </w:p>
    <w:p w14:paraId="7289A670">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投标人在投标截止时间之后提交的投标文件，采购代理机构将拒绝接收。</w:t>
      </w:r>
    </w:p>
    <w:p w14:paraId="6CE19D29">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有违反其他法律规定情形的，采购代理机构将拒绝接收。</w:t>
      </w:r>
    </w:p>
    <w:p w14:paraId="653C09B6">
      <w:pPr>
        <w:rPr>
          <w:rFonts w:hint="eastAsia" w:ascii="宋体" w:hAnsi="宋体" w:eastAsia="宋体" w:cs="宋体"/>
          <w:color w:val="auto"/>
          <w:highlight w:val="none"/>
        </w:rPr>
      </w:pPr>
    </w:p>
    <w:p w14:paraId="0AC9EA0D">
      <w:pPr>
        <w:pStyle w:val="5"/>
        <w:widowControl w:val="0"/>
        <w:numPr>
          <w:ilvl w:val="0"/>
          <w:numId w:val="5"/>
        </w:numPr>
        <w:overflowPunct w:val="0"/>
        <w:rPr>
          <w:rFonts w:hint="eastAsia" w:ascii="宋体" w:hAnsi="宋体" w:eastAsia="宋体" w:cs="宋体"/>
          <w:color w:val="auto"/>
          <w:sz w:val="21"/>
          <w:szCs w:val="21"/>
          <w:highlight w:val="none"/>
        </w:rPr>
      </w:pPr>
      <w:bookmarkStart w:id="82" w:name="_Toc8776"/>
      <w:bookmarkStart w:id="83" w:name="_Toc9143"/>
      <w:r>
        <w:rPr>
          <w:rFonts w:hint="eastAsia" w:ascii="宋体" w:hAnsi="宋体" w:eastAsia="宋体" w:cs="宋体"/>
          <w:color w:val="auto"/>
          <w:sz w:val="21"/>
          <w:szCs w:val="21"/>
          <w:highlight w:val="none"/>
        </w:rPr>
        <w:t>投标样品（如需提交）</w:t>
      </w:r>
      <w:bookmarkEnd w:id="82"/>
      <w:bookmarkEnd w:id="83"/>
    </w:p>
    <w:p w14:paraId="26F63B89">
      <w:pPr>
        <w:pStyle w:val="51"/>
        <w:widowControl w:val="0"/>
        <w:numPr>
          <w:ilvl w:val="0"/>
          <w:numId w:val="0"/>
        </w:numPr>
        <w:adjustRightInd/>
        <w:snapToGrid/>
        <w:ind w:leftChars="0"/>
        <w:jc w:val="both"/>
        <w:rPr>
          <w:rFonts w:hint="eastAsia" w:ascii="宋体" w:hAnsi="宋体" w:eastAsia="宋体" w:cs="宋体"/>
          <w:vanish/>
          <w:color w:val="auto"/>
          <w:szCs w:val="21"/>
          <w:highlight w:val="none"/>
        </w:rPr>
      </w:pPr>
    </w:p>
    <w:p w14:paraId="6FBF372F">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如有必要，采购代理机构可以要求投标人提供本服务项目涉及的部分设备或产品样品，投标人在投标时应提交《样品清单》。</w:t>
      </w:r>
    </w:p>
    <w:p w14:paraId="51763093">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为方便评标，投标人在提供样品时，应在所提供的样品表面显著位置标注投标人的名称、包号、样品名称、采购文件规定的服务或货物编号。</w:t>
      </w:r>
    </w:p>
    <w:p w14:paraId="4405E6B5">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14:paraId="77589F8F">
      <w:pPr>
        <w:rPr>
          <w:rFonts w:hint="eastAsia" w:ascii="宋体" w:hAnsi="宋体" w:eastAsia="宋体" w:cs="宋体"/>
          <w:color w:val="auto"/>
          <w:highlight w:val="none"/>
        </w:rPr>
      </w:pPr>
    </w:p>
    <w:p w14:paraId="16F349D6">
      <w:pPr>
        <w:pStyle w:val="5"/>
        <w:widowControl w:val="0"/>
        <w:numPr>
          <w:ilvl w:val="0"/>
          <w:numId w:val="5"/>
        </w:numPr>
        <w:overflowPunct w:val="0"/>
        <w:rPr>
          <w:rFonts w:hint="eastAsia" w:ascii="宋体" w:hAnsi="宋体" w:eastAsia="宋体" w:cs="宋体"/>
          <w:color w:val="auto"/>
          <w:sz w:val="21"/>
          <w:szCs w:val="21"/>
          <w:highlight w:val="none"/>
        </w:rPr>
      </w:pPr>
      <w:bookmarkStart w:id="84" w:name="_Toc9777"/>
      <w:bookmarkStart w:id="85" w:name="_Toc382049112"/>
      <w:bookmarkStart w:id="86" w:name="_Toc303084265"/>
      <w:bookmarkStart w:id="87" w:name="_Toc1712"/>
      <w:bookmarkStart w:id="88" w:name="_Toc17522"/>
      <w:r>
        <w:rPr>
          <w:rFonts w:hint="eastAsia" w:ascii="宋体" w:hAnsi="宋体" w:eastAsia="宋体" w:cs="宋体"/>
          <w:color w:val="auto"/>
          <w:sz w:val="21"/>
          <w:szCs w:val="21"/>
          <w:highlight w:val="none"/>
        </w:rPr>
        <w:t>投标截止期</w:t>
      </w:r>
      <w:bookmarkEnd w:id="84"/>
      <w:bookmarkEnd w:id="85"/>
      <w:bookmarkEnd w:id="86"/>
      <w:bookmarkEnd w:id="87"/>
      <w:bookmarkEnd w:id="88"/>
    </w:p>
    <w:p w14:paraId="221B2C4A">
      <w:pPr>
        <w:pStyle w:val="51"/>
        <w:widowControl w:val="0"/>
        <w:numPr>
          <w:ilvl w:val="0"/>
          <w:numId w:val="0"/>
        </w:numPr>
        <w:adjustRightInd/>
        <w:snapToGrid/>
        <w:ind w:leftChars="0"/>
        <w:jc w:val="both"/>
        <w:rPr>
          <w:rFonts w:hint="eastAsia" w:ascii="宋体" w:hAnsi="宋体" w:eastAsia="宋体" w:cs="宋体"/>
          <w:vanish/>
          <w:color w:val="auto"/>
          <w:szCs w:val="21"/>
          <w:highlight w:val="none"/>
        </w:rPr>
      </w:pPr>
    </w:p>
    <w:p w14:paraId="0834DA3C">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投标人应在采购文件规定的截止日期和时间内，将投标文件送达到指定地点。</w:t>
      </w:r>
    </w:p>
    <w:p w14:paraId="0797B3D3">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采购代理机构可按本须知规定以澄清或修改通知的方式，酌情延长递交投标文件的截止时间。在此情况下，投标人的所有权利和义务以及投标人受制约的截止时间，均以延长后新的投标截止时间为准。</w:t>
      </w:r>
    </w:p>
    <w:p w14:paraId="39FD4674">
      <w:pPr>
        <w:rPr>
          <w:rFonts w:hint="eastAsia" w:ascii="宋体" w:hAnsi="宋体" w:eastAsia="宋体" w:cs="宋体"/>
          <w:color w:val="auto"/>
          <w:highlight w:val="none"/>
        </w:rPr>
      </w:pPr>
    </w:p>
    <w:p w14:paraId="0B049537">
      <w:pPr>
        <w:pStyle w:val="5"/>
        <w:widowControl w:val="0"/>
        <w:numPr>
          <w:ilvl w:val="0"/>
          <w:numId w:val="5"/>
        </w:numPr>
        <w:overflowPunct w:val="0"/>
        <w:rPr>
          <w:rFonts w:hint="eastAsia" w:ascii="宋体" w:hAnsi="宋体" w:eastAsia="宋体" w:cs="宋体"/>
          <w:color w:val="auto"/>
          <w:sz w:val="21"/>
          <w:szCs w:val="21"/>
          <w:highlight w:val="none"/>
        </w:rPr>
      </w:pPr>
      <w:bookmarkStart w:id="89" w:name="_Toc14518"/>
      <w:bookmarkStart w:id="90" w:name="_Toc31417"/>
      <w:r>
        <w:rPr>
          <w:rFonts w:hint="eastAsia" w:ascii="宋体" w:hAnsi="宋体" w:eastAsia="宋体" w:cs="宋体"/>
          <w:color w:val="auto"/>
          <w:sz w:val="21"/>
          <w:szCs w:val="21"/>
          <w:highlight w:val="none"/>
        </w:rPr>
        <w:t>投标文件的补充、修改与撤回</w:t>
      </w:r>
      <w:bookmarkEnd w:id="89"/>
      <w:bookmarkEnd w:id="90"/>
    </w:p>
    <w:p w14:paraId="28B31D61">
      <w:pPr>
        <w:pStyle w:val="51"/>
        <w:widowControl w:val="0"/>
        <w:numPr>
          <w:ilvl w:val="0"/>
          <w:numId w:val="0"/>
        </w:numPr>
        <w:adjustRightInd/>
        <w:snapToGrid/>
        <w:ind w:leftChars="0"/>
        <w:jc w:val="both"/>
        <w:rPr>
          <w:rFonts w:hint="eastAsia" w:ascii="宋体" w:hAnsi="宋体" w:eastAsia="宋体" w:cs="宋体"/>
          <w:vanish/>
          <w:color w:val="auto"/>
          <w:szCs w:val="21"/>
          <w:highlight w:val="none"/>
        </w:rPr>
      </w:pPr>
    </w:p>
    <w:p w14:paraId="5E37E64C">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投标人在提交投标文件截止时间前，可以对所提交的投标文件进行补充、修改或撤回，并以纸质版形式通知采购代理机构。在提交投标文件截止时间之后，投标人不得对其投标文件做出任何的补充和修改。</w:t>
      </w:r>
    </w:p>
    <w:p w14:paraId="4A0AE32D">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投标人对投标文件的补充、修改的内容应当按采购文件要求的签署、盖章、密封后，作为投标文件的组成部分。并按照采购文件规定密封和标记的要求提交，并在投标文件密封袋上标明“补充、修改”字样。</w:t>
      </w:r>
    </w:p>
    <w:p w14:paraId="2B2D7664">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投标文件一经递交不予退还。</w:t>
      </w:r>
    </w:p>
    <w:p w14:paraId="0C0BBC3E">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在提交投标文件截止时间至投标有效期满之前，投标人不得撤回其投标，否则其投标保证金将不予退还。</w:t>
      </w:r>
    </w:p>
    <w:p w14:paraId="116B3999">
      <w:pPr>
        <w:pStyle w:val="13"/>
        <w:rPr>
          <w:rFonts w:hint="eastAsia" w:ascii="宋体" w:hAnsi="宋体" w:eastAsia="宋体" w:cs="宋体"/>
          <w:color w:val="auto"/>
          <w:highlight w:val="none"/>
        </w:rPr>
      </w:pPr>
    </w:p>
    <w:p w14:paraId="2B85FFAB">
      <w:pPr>
        <w:pStyle w:val="4"/>
        <w:numPr>
          <w:ilvl w:val="0"/>
          <w:numId w:val="4"/>
        </w:numPr>
        <w:spacing w:before="0" w:after="0" w:line="360" w:lineRule="auto"/>
        <w:jc w:val="center"/>
        <w:rPr>
          <w:rFonts w:hint="eastAsia" w:ascii="宋体" w:hAnsi="宋体" w:eastAsia="宋体" w:cs="宋体"/>
          <w:color w:val="auto"/>
          <w:highlight w:val="none"/>
        </w:rPr>
      </w:pPr>
      <w:bookmarkStart w:id="91" w:name="_Toc4693"/>
      <w:bookmarkStart w:id="92" w:name="_Toc7410"/>
      <w:r>
        <w:rPr>
          <w:rFonts w:hint="eastAsia" w:ascii="宋体" w:hAnsi="宋体" w:eastAsia="宋体" w:cs="宋体"/>
          <w:color w:val="auto"/>
          <w:highlight w:val="none"/>
        </w:rPr>
        <w:t>开标与评标</w:t>
      </w:r>
      <w:bookmarkEnd w:id="91"/>
      <w:bookmarkEnd w:id="92"/>
    </w:p>
    <w:p w14:paraId="3B407050">
      <w:pPr>
        <w:pStyle w:val="5"/>
        <w:widowControl w:val="0"/>
        <w:numPr>
          <w:ilvl w:val="0"/>
          <w:numId w:val="5"/>
        </w:numPr>
        <w:overflowPunct w:val="0"/>
        <w:rPr>
          <w:rFonts w:hint="eastAsia" w:ascii="宋体" w:hAnsi="宋体" w:eastAsia="宋体" w:cs="宋体"/>
          <w:color w:val="auto"/>
          <w:sz w:val="21"/>
          <w:szCs w:val="21"/>
          <w:highlight w:val="none"/>
        </w:rPr>
      </w:pPr>
      <w:bookmarkStart w:id="93" w:name="_Toc20009"/>
      <w:bookmarkStart w:id="94" w:name="_Toc31671"/>
      <w:r>
        <w:rPr>
          <w:rFonts w:hint="eastAsia" w:ascii="宋体" w:hAnsi="宋体" w:eastAsia="宋体" w:cs="宋体"/>
          <w:color w:val="auto"/>
          <w:sz w:val="21"/>
          <w:szCs w:val="21"/>
          <w:highlight w:val="none"/>
        </w:rPr>
        <w:t>开标</w:t>
      </w:r>
      <w:bookmarkEnd w:id="93"/>
      <w:bookmarkEnd w:id="94"/>
    </w:p>
    <w:p w14:paraId="68A10A66">
      <w:pPr>
        <w:pStyle w:val="51"/>
        <w:widowControl w:val="0"/>
        <w:numPr>
          <w:ilvl w:val="0"/>
          <w:numId w:val="0"/>
        </w:numPr>
        <w:adjustRightInd/>
        <w:snapToGrid/>
        <w:ind w:leftChars="0"/>
        <w:jc w:val="both"/>
        <w:rPr>
          <w:rFonts w:hint="eastAsia" w:ascii="宋体" w:hAnsi="宋体" w:eastAsia="宋体" w:cs="宋体"/>
          <w:vanish/>
          <w:color w:val="auto"/>
          <w:szCs w:val="21"/>
          <w:highlight w:val="none"/>
        </w:rPr>
      </w:pPr>
    </w:p>
    <w:p w14:paraId="16BFF4C8">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采购代理机构按本采购文件所规定的时间和地点公开开标，并邀请所有投标人代表参加。</w:t>
      </w:r>
    </w:p>
    <w:p w14:paraId="235630A5">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开标程序：</w:t>
      </w:r>
    </w:p>
    <w:p w14:paraId="7BA1D7EA">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开标会由采购代理机构主持，投标人的法定代表人或其授权代表携带有效身份证明准时参加开标会并签名报到。</w:t>
      </w:r>
    </w:p>
    <w:p w14:paraId="17C42509">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开标时，由投标人或者其推选的代表检查投标文件的密封情况；经确认无误后，由采购人或者采购代理机构工作人员当众拆封，宣布投标人名称、投标价格和采购文件规定的需要宣布的其他内容；</w:t>
      </w:r>
    </w:p>
    <w:p w14:paraId="0F0DED00">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14:paraId="7D6091FD">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投标人未参加开标的，视同认可开标结果。</w:t>
      </w:r>
    </w:p>
    <w:p w14:paraId="7710999A">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合格投标人不足3家的，不得开标；</w:t>
      </w:r>
    </w:p>
    <w:p w14:paraId="58F9E63A">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开标过程应当由采购人或者采购代理机构负责记录，由参加开标的各投标人代表和相关工作人员签字确认。</w:t>
      </w:r>
    </w:p>
    <w:p w14:paraId="11423D83">
      <w:pPr>
        <w:widowControl w:val="0"/>
        <w:adjustRightInd/>
        <w:snapToGrid/>
        <w:ind w:left="567"/>
        <w:jc w:val="both"/>
        <w:rPr>
          <w:rFonts w:hint="eastAsia" w:ascii="宋体" w:hAnsi="宋体" w:eastAsia="宋体" w:cs="宋体"/>
          <w:color w:val="auto"/>
          <w:highlight w:val="none"/>
        </w:rPr>
      </w:pPr>
    </w:p>
    <w:p w14:paraId="4EC18317">
      <w:pPr>
        <w:pStyle w:val="5"/>
        <w:widowControl w:val="0"/>
        <w:numPr>
          <w:ilvl w:val="0"/>
          <w:numId w:val="5"/>
        </w:numPr>
        <w:overflowPunct w:val="0"/>
        <w:rPr>
          <w:rFonts w:hint="eastAsia" w:ascii="宋体" w:hAnsi="宋体" w:eastAsia="宋体" w:cs="宋体"/>
          <w:color w:val="auto"/>
          <w:sz w:val="21"/>
          <w:szCs w:val="21"/>
          <w:highlight w:val="none"/>
        </w:rPr>
      </w:pPr>
      <w:bookmarkStart w:id="95" w:name="_Toc15560"/>
      <w:bookmarkStart w:id="96" w:name="_Toc3528"/>
      <w:r>
        <w:rPr>
          <w:rFonts w:hint="eastAsia" w:ascii="宋体" w:hAnsi="宋体" w:eastAsia="宋体" w:cs="宋体"/>
          <w:color w:val="auto"/>
          <w:sz w:val="21"/>
          <w:szCs w:val="21"/>
          <w:highlight w:val="none"/>
        </w:rPr>
        <w:t>评标委员会及评标方法</w:t>
      </w:r>
      <w:bookmarkEnd w:id="95"/>
      <w:bookmarkEnd w:id="96"/>
    </w:p>
    <w:p w14:paraId="4B1D2EFE">
      <w:pPr>
        <w:pStyle w:val="51"/>
        <w:widowControl w:val="0"/>
        <w:numPr>
          <w:ilvl w:val="0"/>
          <w:numId w:val="0"/>
        </w:numPr>
        <w:adjustRightInd/>
        <w:snapToGrid/>
        <w:ind w:leftChars="0"/>
        <w:jc w:val="both"/>
        <w:rPr>
          <w:rFonts w:hint="eastAsia" w:ascii="宋体" w:hAnsi="宋体" w:eastAsia="宋体" w:cs="宋体"/>
          <w:vanish/>
          <w:color w:val="auto"/>
          <w:szCs w:val="21"/>
          <w:highlight w:val="none"/>
        </w:rPr>
      </w:pPr>
    </w:p>
    <w:p w14:paraId="01CA16E3">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依法组成评标委员会，评标委员会由采购人和有关技术、经济等方面的专家组成，成员人数为五人或五人以上单数，其中技术、经济等方面的专家不少于成员总数的三分之二，并负责评标工作。</w:t>
      </w:r>
    </w:p>
    <w:p w14:paraId="1C579627">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评审方法：本次采购的评审方法采用综合评分法。</w:t>
      </w:r>
    </w:p>
    <w:p w14:paraId="62167CB3">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定标原则：在最大限度满足采购文件实质性要求前提下，按照采购文件规定的各项评价因素进行量化打分，以评标总得分最高的投标人作为中标候选人或中标人。</w:t>
      </w:r>
    </w:p>
    <w:p w14:paraId="63DB70F1">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14:paraId="70829FD0">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14:paraId="2FA980D0">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评标委员会和采购人在评审过程中有权核对投标文件中相关材料的原件，投标人在接到通知后应在评标委员会规定的时间内提交原件核查。</w:t>
      </w:r>
    </w:p>
    <w:p w14:paraId="2C9A8F62">
      <w:pPr>
        <w:rPr>
          <w:rFonts w:hint="eastAsia" w:ascii="宋体" w:hAnsi="宋体" w:eastAsia="宋体" w:cs="宋体"/>
          <w:color w:val="auto"/>
          <w:highlight w:val="none"/>
        </w:rPr>
      </w:pPr>
    </w:p>
    <w:p w14:paraId="7C24FEA7">
      <w:pPr>
        <w:pStyle w:val="5"/>
        <w:widowControl w:val="0"/>
        <w:numPr>
          <w:ilvl w:val="0"/>
          <w:numId w:val="5"/>
        </w:numPr>
        <w:overflowPunct w:val="0"/>
        <w:rPr>
          <w:rFonts w:hint="eastAsia" w:ascii="宋体" w:hAnsi="宋体" w:eastAsia="宋体" w:cs="宋体"/>
          <w:color w:val="auto"/>
          <w:sz w:val="21"/>
          <w:szCs w:val="21"/>
          <w:highlight w:val="none"/>
        </w:rPr>
      </w:pPr>
      <w:bookmarkStart w:id="97" w:name="_Toc4198"/>
      <w:bookmarkStart w:id="98" w:name="_Toc22022"/>
      <w:r>
        <w:rPr>
          <w:rFonts w:hint="eastAsia" w:ascii="宋体" w:hAnsi="宋体" w:eastAsia="宋体" w:cs="宋体"/>
          <w:color w:val="auto"/>
          <w:sz w:val="21"/>
          <w:szCs w:val="21"/>
          <w:highlight w:val="none"/>
        </w:rPr>
        <w:t>评审原则及评标过程的保密</w:t>
      </w:r>
      <w:bookmarkEnd w:id="97"/>
      <w:bookmarkEnd w:id="98"/>
    </w:p>
    <w:p w14:paraId="7464EBD1">
      <w:pPr>
        <w:pStyle w:val="51"/>
        <w:widowControl w:val="0"/>
        <w:numPr>
          <w:ilvl w:val="0"/>
          <w:numId w:val="0"/>
        </w:numPr>
        <w:adjustRightInd/>
        <w:snapToGrid/>
        <w:ind w:leftChars="0"/>
        <w:jc w:val="both"/>
        <w:rPr>
          <w:rFonts w:hint="eastAsia" w:ascii="宋体" w:hAnsi="宋体" w:eastAsia="宋体" w:cs="宋体"/>
          <w:vanish/>
          <w:color w:val="auto"/>
          <w:szCs w:val="21"/>
          <w:highlight w:val="none"/>
        </w:rPr>
      </w:pPr>
    </w:p>
    <w:p w14:paraId="6049CBA5">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评审的基本原则：评标委员会将依据采购文件的规定，遵循“公开、公平、公正、择优、信用”的原则进行评审工作。</w:t>
      </w:r>
    </w:p>
    <w:p w14:paraId="2DD74636">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从公开开标到签订合同，凡与审查、澄清、评审和投标有关的资料以及定标意见相关的事项，均不得向投标人及与评标无关的其他人透露。</w:t>
      </w:r>
    </w:p>
    <w:p w14:paraId="08D35A6A">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任何单位和个人不得非法干预、影响评标的过程和结果。</w:t>
      </w:r>
    </w:p>
    <w:p w14:paraId="6C15685C">
      <w:pPr>
        <w:rPr>
          <w:rFonts w:hint="eastAsia" w:ascii="宋体" w:hAnsi="宋体" w:eastAsia="宋体" w:cs="宋体"/>
          <w:color w:val="auto"/>
          <w:highlight w:val="none"/>
        </w:rPr>
      </w:pPr>
    </w:p>
    <w:p w14:paraId="080FB4F7">
      <w:pPr>
        <w:pStyle w:val="5"/>
        <w:widowControl w:val="0"/>
        <w:numPr>
          <w:ilvl w:val="0"/>
          <w:numId w:val="5"/>
        </w:numPr>
        <w:overflowPunct w:val="0"/>
        <w:rPr>
          <w:rFonts w:hint="eastAsia" w:ascii="宋体" w:hAnsi="宋体" w:eastAsia="宋体" w:cs="宋体"/>
          <w:color w:val="auto"/>
          <w:sz w:val="21"/>
          <w:szCs w:val="21"/>
          <w:highlight w:val="none"/>
        </w:rPr>
      </w:pPr>
      <w:bookmarkStart w:id="99" w:name="_Toc14506"/>
      <w:r>
        <w:rPr>
          <w:rFonts w:hint="eastAsia" w:ascii="宋体" w:hAnsi="宋体" w:eastAsia="宋体" w:cs="宋体"/>
          <w:color w:val="auto"/>
          <w:sz w:val="21"/>
          <w:szCs w:val="21"/>
          <w:highlight w:val="none"/>
        </w:rPr>
        <w:t>评标程序</w:t>
      </w:r>
      <w:bookmarkEnd w:id="99"/>
    </w:p>
    <w:p w14:paraId="24D9D946">
      <w:pPr>
        <w:widowControl w:val="0"/>
        <w:numPr>
          <w:ilvl w:val="1"/>
          <w:numId w:val="5"/>
        </w:numPr>
        <w:overflowPunct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资格性、符合性审查</w:t>
      </w:r>
    </w:p>
    <w:p w14:paraId="21D6150F">
      <w:pPr>
        <w:widowControl w:val="0"/>
        <w:overflowPunct w:val="0"/>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开采购项目开标结束后，评标委员会根据《资格性、符合性审查表》将依法对投标人进行资格性、符合性审查。投标人必须严格按照《资格性、符合性审查表》的评审内容的要求如实提供证明材料并应加盖投标人公章，对缺漏或不符合项将直接导致无效投标。合格投标人不足3家的，不得评标。未通过资格性、符合性审查的投标人不进入评标阶段的评审。</w:t>
      </w:r>
    </w:p>
    <w:p w14:paraId="619A0625">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《资格性、符合性审查表》</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9438"/>
      </w:tblGrid>
      <w:tr w14:paraId="1E966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4BE3372F">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7F11CA93">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 审 内 容</w:t>
            </w:r>
          </w:p>
        </w:tc>
      </w:tr>
      <w:tr w14:paraId="4D09D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tcBorders>
              <w:top w:val="single" w:color="auto" w:sz="4" w:space="0"/>
              <w:left w:val="single" w:color="auto" w:sz="4" w:space="0"/>
              <w:right w:val="single" w:color="auto" w:sz="4" w:space="0"/>
              <w:tl2br w:val="nil"/>
              <w:tr2bl w:val="nil"/>
            </w:tcBorders>
            <w:vAlign w:val="center"/>
          </w:tcPr>
          <w:p w14:paraId="71D65F55">
            <w:pPr>
              <w:numPr>
                <w:ilvl w:val="0"/>
                <w:numId w:val="8"/>
              </w:numPr>
              <w:tabs>
                <w:tab w:val="left" w:pos="176"/>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2A75DB3F">
            <w:pPr>
              <w:tabs>
                <w:tab w:val="left" w:pos="612"/>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须为在中华人民共和国境内登记注册的具有独立承担民事责任能力的法人或其他组织【提供《营业执照》复印件（加盖公章）或《事业单位法人证书》复印件（加盖公章）或其他主体证书复印件（加盖公章）】；</w:t>
            </w:r>
          </w:p>
        </w:tc>
      </w:tr>
      <w:tr w14:paraId="63FC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l2br w:val="nil"/>
              <w:tr2bl w:val="nil"/>
            </w:tcBorders>
            <w:vAlign w:val="center"/>
          </w:tcPr>
          <w:p w14:paraId="183A50FB">
            <w:pPr>
              <w:tabs>
                <w:tab w:val="left" w:pos="176"/>
                <w:tab w:val="left" w:pos="420"/>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2160C431">
            <w:pPr>
              <w:tabs>
                <w:tab w:val="left" w:pos="612"/>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（2）参加采购活动前三年内，在经营活动中没有重大违法记录（须提供书面声明）；</w:t>
            </w:r>
          </w:p>
        </w:tc>
      </w:tr>
      <w:tr w14:paraId="5E0E5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l2br w:val="nil"/>
              <w:tr2bl w:val="nil"/>
            </w:tcBorders>
            <w:vAlign w:val="center"/>
          </w:tcPr>
          <w:p w14:paraId="6DA9779C">
            <w:pPr>
              <w:tabs>
                <w:tab w:val="left" w:pos="176"/>
                <w:tab w:val="left" w:pos="420"/>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51240A5A">
            <w:pPr>
              <w:tabs>
                <w:tab w:val="left" w:pos="612"/>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（3）投标人的单位负责人为同一人或者存在直接控股、管理关系的不同投标人，不得参加同一合同项下的采购活动；</w:t>
            </w:r>
          </w:p>
        </w:tc>
      </w:tr>
      <w:tr w14:paraId="01FDD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l2br w:val="nil"/>
              <w:tr2bl w:val="nil"/>
            </w:tcBorders>
            <w:vAlign w:val="center"/>
          </w:tcPr>
          <w:p w14:paraId="06B6A058">
            <w:pPr>
              <w:tabs>
                <w:tab w:val="left" w:pos="176"/>
                <w:tab w:val="left" w:pos="420"/>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285C60B0">
            <w:pPr>
              <w:tabs>
                <w:tab w:val="left" w:pos="612"/>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（4）未被列入“信用中国”网站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www.creditchina.gov.cn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“记录失信被执行人或重大税收违法失信主体或政府采购严重违法失信行为”记录名单。以代理机构于投标截止日当天在“信用中国”网站查询结果为准，如相关失信记录已失效，投标人需提供相关证明资料；</w:t>
            </w:r>
          </w:p>
        </w:tc>
      </w:tr>
      <w:tr w14:paraId="2E480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99" w:type="dxa"/>
            <w:vMerge w:val="continue"/>
            <w:tcBorders>
              <w:left w:val="single" w:color="auto" w:sz="4" w:space="0"/>
              <w:right w:val="single" w:color="auto" w:sz="4" w:space="0"/>
              <w:tl2br w:val="nil"/>
              <w:tr2bl w:val="nil"/>
            </w:tcBorders>
            <w:vAlign w:val="center"/>
          </w:tcPr>
          <w:p w14:paraId="39AC66BE">
            <w:pPr>
              <w:tabs>
                <w:tab w:val="left" w:pos="176"/>
                <w:tab w:val="left" w:pos="420"/>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05A72318">
            <w:pPr>
              <w:tabs>
                <w:tab w:val="left" w:pos="612"/>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（5）未被列入</w:t>
            </w:r>
            <w:r>
              <w:rPr>
                <w:rFonts w:hint="eastAsia" w:ascii="宋体" w:hAnsi="宋体" w:eastAsia="宋体" w:cs="宋体"/>
                <w:color w:val="auto"/>
                <w:szCs w:val="21"/>
                <w:highlight w:val="none"/>
                <w:lang w:val="en-US" w:eastAsia="zh-CN"/>
              </w:rPr>
              <w:t>采购人及上级</w:t>
            </w:r>
            <w:r>
              <w:rPr>
                <w:rFonts w:hint="eastAsia" w:ascii="宋体" w:hAnsi="宋体" w:eastAsia="宋体" w:cs="宋体"/>
                <w:color w:val="auto"/>
                <w:szCs w:val="21"/>
                <w:highlight w:val="none"/>
              </w:rPr>
              <w:t>企业相关领域黑名单。</w:t>
            </w:r>
          </w:p>
        </w:tc>
      </w:tr>
      <w:tr w14:paraId="7B018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bottom w:val="single" w:color="auto" w:sz="4" w:space="0"/>
              <w:right w:val="single" w:color="auto" w:sz="4" w:space="0"/>
              <w:tl2br w:val="nil"/>
              <w:tr2bl w:val="nil"/>
            </w:tcBorders>
            <w:vAlign w:val="center"/>
          </w:tcPr>
          <w:p w14:paraId="11993406">
            <w:pPr>
              <w:tabs>
                <w:tab w:val="left" w:pos="176"/>
                <w:tab w:val="left" w:pos="420"/>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79C72EF4">
            <w:pPr>
              <w:tabs>
                <w:tab w:val="left" w:pos="612"/>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cs="宋体"/>
                <w:color w:val="auto"/>
                <w:szCs w:val="21"/>
                <w:highlight w:val="none"/>
                <w:lang w:eastAsia="zh-CN"/>
              </w:rPr>
              <w:t>投标人须具有有效的电力工程施工总承包叁级(或以上)证书</w:t>
            </w:r>
            <w:r>
              <w:rPr>
                <w:rFonts w:hint="eastAsia" w:ascii="宋体" w:hAnsi="宋体" w:eastAsia="宋体" w:cs="宋体"/>
                <w:color w:val="auto"/>
                <w:szCs w:val="21"/>
                <w:highlight w:val="none"/>
              </w:rPr>
              <w:t>。</w:t>
            </w:r>
          </w:p>
        </w:tc>
      </w:tr>
      <w:tr w14:paraId="3D3E0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0DE024FF">
            <w:pPr>
              <w:numPr>
                <w:ilvl w:val="0"/>
                <w:numId w:val="8"/>
              </w:numPr>
              <w:tabs>
                <w:tab w:val="left" w:pos="176"/>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5E27EA26">
            <w:pPr>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投标人按照采购文件要求提交投标保证金；</w:t>
            </w:r>
          </w:p>
        </w:tc>
      </w:tr>
      <w:tr w14:paraId="664C7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1176D716">
            <w:pPr>
              <w:numPr>
                <w:ilvl w:val="0"/>
                <w:numId w:val="8"/>
              </w:numPr>
              <w:tabs>
                <w:tab w:val="left" w:pos="176"/>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35D1109B">
            <w:pP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投标文件按照采购文件要求签署盖章；</w:t>
            </w:r>
          </w:p>
        </w:tc>
      </w:tr>
      <w:tr w14:paraId="760F7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52D798C8">
            <w:pPr>
              <w:numPr>
                <w:ilvl w:val="0"/>
                <w:numId w:val="8"/>
              </w:numPr>
              <w:tabs>
                <w:tab w:val="left" w:pos="176"/>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57F77285">
            <w:pP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投标总价未超出采购预算或最高限价；</w:t>
            </w:r>
          </w:p>
        </w:tc>
      </w:tr>
      <w:tr w14:paraId="49F0A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36BA1396">
            <w:pPr>
              <w:tabs>
                <w:tab w:val="left" w:pos="176"/>
                <w:tab w:val="left" w:pos="612"/>
              </w:tabs>
              <w:ind w:firstLine="210" w:firstLineChars="1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5866E96D">
            <w:pPr>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投标文件未含有采购人不能接受的附加条件；</w:t>
            </w:r>
          </w:p>
        </w:tc>
      </w:tr>
      <w:tr w14:paraId="0B443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73914D68">
            <w:pPr>
              <w:tabs>
                <w:tab w:val="left" w:pos="176"/>
                <w:tab w:val="left" w:pos="612"/>
              </w:tabs>
              <w:ind w:firstLine="210" w:firstLineChars="1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5CD2EA64">
            <w:pP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无负偏离标注“★”符号的条款。</w:t>
            </w:r>
          </w:p>
        </w:tc>
      </w:tr>
      <w:tr w14:paraId="06B7A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1B28B5CC">
            <w:pPr>
              <w:tabs>
                <w:tab w:val="left" w:pos="176"/>
                <w:tab w:val="left" w:pos="612"/>
              </w:tabs>
              <w:ind w:firstLine="210" w:firstLineChars="1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6371B095">
            <w:pPr>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rPr>
              <w:t>未出现</w:t>
            </w:r>
            <w:r>
              <w:rPr>
                <w:rFonts w:hint="eastAsia" w:ascii="宋体" w:hAnsi="宋体" w:eastAsia="宋体" w:cs="宋体"/>
                <w:color w:val="auto"/>
                <w:szCs w:val="21"/>
                <w:highlight w:val="none"/>
                <w:lang w:bidi="ar"/>
              </w:rPr>
              <w:t>法律、法规和采购文件规定的其他无效情形。</w:t>
            </w:r>
          </w:p>
        </w:tc>
      </w:tr>
    </w:tbl>
    <w:p w14:paraId="0419ECB7">
      <w:pPr>
        <w:widowControl w:val="0"/>
        <w:overflowPunct w:val="0"/>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资格性、符合性审查中带有不合格分项的投标文件，将作无效标处理。经评标委员会确认的无效投标文件，采购人和采购代理机构将予以拒绝，并且不允许通过修正或撤消其不符合要求的差异，使之成为具有符合性的投标文件。经评标委员会资格性、符合性审查确认具有有效投标文件的投标人不足三家时将重新组织采购</w:t>
      </w:r>
    </w:p>
    <w:p w14:paraId="78A8D128">
      <w:pPr>
        <w:widowControl w:val="0"/>
        <w:numPr>
          <w:ilvl w:val="1"/>
          <w:numId w:val="5"/>
        </w:numPr>
        <w:overflowPunct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投标文件报价出现前后不一致的，评标委员会按照下列规定修正：</w:t>
      </w:r>
    </w:p>
    <w:p w14:paraId="795369AF">
      <w:pPr>
        <w:widowControl w:val="0"/>
        <w:numPr>
          <w:ilvl w:val="0"/>
          <w:numId w:val="9"/>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投标文件中开标一览表（报价表）内容与投标文件中相应内容不一致的，以开标一览表（报价表）为准；</w:t>
      </w:r>
    </w:p>
    <w:p w14:paraId="30B1CD78">
      <w:pPr>
        <w:widowControl w:val="0"/>
        <w:numPr>
          <w:ilvl w:val="0"/>
          <w:numId w:val="9"/>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大写金额和小写金额不一致的，以大写金额为准；</w:t>
      </w:r>
    </w:p>
    <w:p w14:paraId="5779AEC6">
      <w:pPr>
        <w:widowControl w:val="0"/>
        <w:numPr>
          <w:ilvl w:val="0"/>
          <w:numId w:val="9"/>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单价金额小数点或者百分比有明显错位的，以开标一览表的总价为准，并修改单价；</w:t>
      </w:r>
    </w:p>
    <w:p w14:paraId="08A38C61">
      <w:pPr>
        <w:widowControl w:val="0"/>
        <w:numPr>
          <w:ilvl w:val="0"/>
          <w:numId w:val="9"/>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总价金额与按单价汇总金额不一致的，以单价金额计算结果为准。</w:t>
      </w:r>
    </w:p>
    <w:p w14:paraId="7BCEB3F1">
      <w:pPr>
        <w:widowControl w:val="0"/>
        <w:numPr>
          <w:ilvl w:val="0"/>
          <w:numId w:val="9"/>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同时出现两种以上不一致的，按照前款规定的顺序修正。修正后的报价按照经投标人确认后产生约束力，投标人不确认的，其投标无效。</w:t>
      </w:r>
    </w:p>
    <w:p w14:paraId="634FF340">
      <w:pPr>
        <w:widowControl w:val="0"/>
        <w:overflowPunct w:val="0"/>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26.3  评标委员会认为投标人的报价明显低于其他通过符合性审查投标人的报价，有可能影响产品质量或者不能诚信履约的，应当要求其在评标现场合理的时间内提供书面说明（以现场通知时间为准），必要时提交相关证明材料；投标人不能证明其报价合理性的，评标委员会应当将其作为无效投标处理。</w:t>
      </w:r>
    </w:p>
    <w:p w14:paraId="30724BC5">
      <w:pPr>
        <w:widowControl w:val="0"/>
        <w:overflowPunct w:val="0"/>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26.4  对于投标文件中不构成实质性偏差的不正规、不一致或不规则，评标委员会可以接受，但这种接受不能损害或影响任何投标人的相对排序。</w:t>
      </w:r>
    </w:p>
    <w:p w14:paraId="374BB680">
      <w:pPr>
        <w:widowControl w:val="0"/>
        <w:overflowPunct w:val="0"/>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26.5  在详细评标之前，评标委员会要审查每份投标文件是否实质上响应了采购文件的要求。实质上响应的投标应该是与采购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14:paraId="18BD7C65">
      <w:pPr>
        <w:pStyle w:val="13"/>
        <w:rPr>
          <w:rFonts w:hint="eastAsia" w:ascii="宋体" w:hAnsi="宋体" w:eastAsia="宋体" w:cs="宋体"/>
          <w:color w:val="auto"/>
          <w:highlight w:val="none"/>
        </w:rPr>
      </w:pPr>
    </w:p>
    <w:p w14:paraId="24697CF8">
      <w:pPr>
        <w:pStyle w:val="5"/>
        <w:widowControl w:val="0"/>
        <w:numPr>
          <w:ilvl w:val="0"/>
          <w:numId w:val="5"/>
        </w:numPr>
        <w:overflowPunct w:val="0"/>
        <w:rPr>
          <w:rFonts w:hint="eastAsia" w:ascii="宋体" w:hAnsi="宋体" w:eastAsia="宋体" w:cs="宋体"/>
          <w:color w:val="auto"/>
          <w:sz w:val="21"/>
          <w:szCs w:val="21"/>
          <w:highlight w:val="none"/>
        </w:rPr>
      </w:pPr>
      <w:bookmarkStart w:id="100" w:name="_Toc11415"/>
      <w:bookmarkStart w:id="101" w:name="_Toc4799"/>
      <w:r>
        <w:rPr>
          <w:rFonts w:hint="eastAsia" w:ascii="宋体" w:hAnsi="宋体" w:eastAsia="宋体" w:cs="宋体"/>
          <w:color w:val="auto"/>
          <w:sz w:val="21"/>
          <w:szCs w:val="21"/>
          <w:highlight w:val="none"/>
        </w:rPr>
        <w:t>商务、技术、价格评审（具体评审项目详见投标资料表）</w:t>
      </w:r>
      <w:bookmarkEnd w:id="100"/>
      <w:bookmarkEnd w:id="101"/>
    </w:p>
    <w:p w14:paraId="303D028F">
      <w:pPr>
        <w:pStyle w:val="51"/>
        <w:widowControl w:val="0"/>
        <w:numPr>
          <w:ilvl w:val="0"/>
          <w:numId w:val="0"/>
        </w:numPr>
        <w:tabs>
          <w:tab w:val="left" w:pos="907"/>
        </w:tabs>
        <w:adjustRightInd/>
        <w:snapToGrid/>
        <w:ind w:leftChars="0"/>
        <w:jc w:val="both"/>
        <w:rPr>
          <w:rFonts w:hint="eastAsia" w:ascii="宋体" w:hAnsi="宋体" w:eastAsia="宋体" w:cs="宋体"/>
          <w:vanish/>
          <w:color w:val="auto"/>
          <w:szCs w:val="21"/>
          <w:highlight w:val="none"/>
        </w:rPr>
      </w:pPr>
    </w:p>
    <w:p w14:paraId="067C0312">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对通过资格性、符合性审查的有效</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 xml:space="preserve">方有资格进入综合评审。采购文件中要求投标人提供的相关资质证书证明材料因国家政策变动导致新旧证书名称不一致，旧证书未取消且新旧证书具有同等效力的，投标人提供新证书与提供在有效期内的旧证书给予同等认可。 </w:t>
      </w:r>
    </w:p>
    <w:p w14:paraId="3B92B3C6">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对通过资格性、符合性审查的投标文件进行详细评审。评标委员会对每一投标文件进行详细的商务评审、技术评审。按照评审程序的规定和依据评分标准，各位评委就每个投标人的技术、商务状况及其对采购文件要求的响应情况进行评议和比较，评出其技术评分和商务评分。根据采购文件规定评出得分，将价格得分、商务得分、技术得分相加得出最终评标得分。</w:t>
      </w:r>
    </w:p>
    <w:p w14:paraId="7FA60823">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综合得分相同的，按价格评分由高到低顺序排列。综合得分相同且价格评分相同的，按商务评分由高到低顺序排列，得分高的排前，得分低的排后；按上述环节依然存在同分情形而不能确认排名顺序时，由评标委员会进行投票，得票多的排名在先。当第一轮投票结果为投标人得票数相同时，再次进行投票，如此类推，直到能确定排序次序为止。</w:t>
      </w:r>
    </w:p>
    <w:p w14:paraId="2DAFDD1F">
      <w:pPr>
        <w:widowControl w:val="0"/>
        <w:tabs>
          <w:tab w:val="left" w:pos="907"/>
        </w:tabs>
        <w:adjustRightInd/>
        <w:snapToGrid/>
        <w:ind w:left="567"/>
        <w:jc w:val="both"/>
        <w:rPr>
          <w:rFonts w:hint="eastAsia" w:ascii="宋体" w:hAnsi="宋体" w:eastAsia="宋体" w:cs="宋体"/>
          <w:color w:val="auto"/>
          <w:szCs w:val="21"/>
          <w:highlight w:val="none"/>
        </w:rPr>
      </w:pPr>
    </w:p>
    <w:p w14:paraId="4E3FD8C9">
      <w:pPr>
        <w:pStyle w:val="5"/>
        <w:widowControl w:val="0"/>
        <w:numPr>
          <w:ilvl w:val="0"/>
          <w:numId w:val="5"/>
        </w:numPr>
        <w:overflowPunct w:val="0"/>
        <w:rPr>
          <w:rFonts w:hint="eastAsia" w:ascii="宋体" w:hAnsi="宋体" w:eastAsia="宋体" w:cs="宋体"/>
          <w:color w:val="auto"/>
          <w:sz w:val="21"/>
          <w:szCs w:val="21"/>
          <w:highlight w:val="none"/>
        </w:rPr>
      </w:pPr>
      <w:bookmarkStart w:id="102" w:name="_Toc316375620"/>
      <w:bookmarkStart w:id="103" w:name="_Toc20328"/>
      <w:bookmarkStart w:id="104" w:name="_Toc18550"/>
      <w:bookmarkStart w:id="105" w:name="_Toc382049120"/>
      <w:bookmarkStart w:id="106" w:name="_Toc21663"/>
      <w:r>
        <w:rPr>
          <w:rFonts w:hint="eastAsia" w:ascii="宋体" w:hAnsi="宋体" w:eastAsia="宋体" w:cs="宋体"/>
          <w:color w:val="auto"/>
          <w:sz w:val="21"/>
          <w:szCs w:val="21"/>
          <w:highlight w:val="none"/>
        </w:rPr>
        <w:t>纪律和保密</w:t>
      </w:r>
      <w:bookmarkEnd w:id="102"/>
      <w:r>
        <w:rPr>
          <w:rFonts w:hint="eastAsia" w:ascii="宋体" w:hAnsi="宋体" w:eastAsia="宋体" w:cs="宋体"/>
          <w:color w:val="auto"/>
          <w:sz w:val="21"/>
          <w:szCs w:val="21"/>
          <w:highlight w:val="none"/>
        </w:rPr>
        <w:t>事项</w:t>
      </w:r>
      <w:bookmarkEnd w:id="103"/>
      <w:bookmarkEnd w:id="104"/>
      <w:bookmarkEnd w:id="105"/>
      <w:bookmarkEnd w:id="106"/>
    </w:p>
    <w:p w14:paraId="0E7D28FE">
      <w:pPr>
        <w:pStyle w:val="51"/>
        <w:widowControl w:val="0"/>
        <w:numPr>
          <w:ilvl w:val="0"/>
          <w:numId w:val="0"/>
        </w:numPr>
        <w:tabs>
          <w:tab w:val="left" w:pos="907"/>
        </w:tabs>
        <w:adjustRightInd/>
        <w:snapToGrid/>
        <w:ind w:leftChars="0"/>
        <w:jc w:val="both"/>
        <w:rPr>
          <w:rFonts w:hint="eastAsia" w:ascii="宋体" w:hAnsi="宋体" w:eastAsia="宋体" w:cs="宋体"/>
          <w:vanish/>
          <w:color w:val="auto"/>
          <w:szCs w:val="21"/>
          <w:highlight w:val="none"/>
        </w:rPr>
      </w:pPr>
    </w:p>
    <w:p w14:paraId="6ADFFBA9">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14:paraId="020E1D0E">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投标人不得串通作弊，以不正当的手段妨碍、排挤其他投标人，扰乱采购市场，破坏公平竞争原则。否则将按相关法律规定严肃处理。</w:t>
      </w:r>
    </w:p>
    <w:p w14:paraId="49249FA6">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获得本采购文件的投标人，应对文件进行保密，不得用作本次投标以外的任何用途。开标后，投标人应归还采购文件中要求保密的文件和资料。</w:t>
      </w:r>
    </w:p>
    <w:p w14:paraId="3523F7BD">
      <w:pPr>
        <w:rPr>
          <w:rFonts w:hint="eastAsia" w:ascii="宋体" w:hAnsi="宋体" w:eastAsia="宋体" w:cs="宋体"/>
          <w:color w:val="auto"/>
          <w:highlight w:val="none"/>
        </w:rPr>
      </w:pPr>
    </w:p>
    <w:p w14:paraId="64F437C0">
      <w:pPr>
        <w:pStyle w:val="4"/>
        <w:numPr>
          <w:ilvl w:val="0"/>
          <w:numId w:val="4"/>
        </w:numPr>
        <w:spacing w:before="0" w:after="0" w:line="360" w:lineRule="auto"/>
        <w:jc w:val="center"/>
        <w:rPr>
          <w:rFonts w:hint="eastAsia" w:ascii="宋体" w:hAnsi="宋体" w:eastAsia="宋体" w:cs="宋体"/>
          <w:color w:val="auto"/>
          <w:highlight w:val="none"/>
        </w:rPr>
      </w:pPr>
      <w:bookmarkStart w:id="107" w:name="_Toc1109"/>
      <w:bookmarkStart w:id="108" w:name="_Toc27738"/>
      <w:r>
        <w:rPr>
          <w:rFonts w:hint="eastAsia" w:ascii="宋体" w:hAnsi="宋体" w:eastAsia="宋体" w:cs="宋体"/>
          <w:color w:val="auto"/>
          <w:highlight w:val="none"/>
        </w:rPr>
        <w:t>授予合同</w:t>
      </w:r>
      <w:bookmarkEnd w:id="107"/>
      <w:bookmarkEnd w:id="108"/>
    </w:p>
    <w:p w14:paraId="4F05424B">
      <w:pPr>
        <w:pStyle w:val="5"/>
        <w:widowControl w:val="0"/>
        <w:numPr>
          <w:ilvl w:val="0"/>
          <w:numId w:val="5"/>
        </w:numPr>
        <w:overflowPunct w:val="0"/>
        <w:rPr>
          <w:rFonts w:hint="eastAsia" w:ascii="宋体" w:hAnsi="宋体" w:eastAsia="宋体" w:cs="宋体"/>
          <w:color w:val="auto"/>
          <w:sz w:val="21"/>
          <w:szCs w:val="21"/>
          <w:highlight w:val="none"/>
        </w:rPr>
      </w:pPr>
      <w:bookmarkStart w:id="109" w:name="_Toc508284011"/>
      <w:bookmarkStart w:id="110" w:name="_Toc22623"/>
      <w:bookmarkStart w:id="111" w:name="_Toc16090"/>
      <w:r>
        <w:rPr>
          <w:rFonts w:hint="eastAsia" w:ascii="宋体" w:hAnsi="宋体" w:eastAsia="宋体" w:cs="宋体"/>
          <w:color w:val="auto"/>
          <w:sz w:val="21"/>
          <w:szCs w:val="21"/>
          <w:highlight w:val="none"/>
        </w:rPr>
        <w:t>合同授予标准</w:t>
      </w:r>
      <w:bookmarkEnd w:id="109"/>
      <w:bookmarkEnd w:id="110"/>
      <w:bookmarkEnd w:id="111"/>
    </w:p>
    <w:p w14:paraId="60CD1AEE">
      <w:pPr>
        <w:pStyle w:val="51"/>
        <w:widowControl w:val="0"/>
        <w:numPr>
          <w:ilvl w:val="0"/>
          <w:numId w:val="0"/>
        </w:numPr>
        <w:tabs>
          <w:tab w:val="left" w:pos="907"/>
        </w:tabs>
        <w:adjustRightInd/>
        <w:snapToGrid/>
        <w:ind w:leftChars="0"/>
        <w:jc w:val="both"/>
        <w:rPr>
          <w:rFonts w:hint="eastAsia" w:ascii="宋体" w:hAnsi="宋体" w:eastAsia="宋体" w:cs="宋体"/>
          <w:vanish/>
          <w:color w:val="auto"/>
          <w:szCs w:val="21"/>
          <w:highlight w:val="none"/>
        </w:rPr>
      </w:pPr>
    </w:p>
    <w:p w14:paraId="42E6BFB0">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根据评标委员会的评审结果，采购人按照评审报告推荐的中标候选人中按顺序依法确定中标人。</w:t>
      </w:r>
    </w:p>
    <w:p w14:paraId="78BC4BC6">
      <w:pPr>
        <w:rPr>
          <w:rFonts w:hint="eastAsia" w:ascii="宋体" w:hAnsi="宋体" w:eastAsia="宋体" w:cs="宋体"/>
          <w:color w:val="auto"/>
          <w:highlight w:val="none"/>
        </w:rPr>
      </w:pPr>
    </w:p>
    <w:p w14:paraId="7D43FD31">
      <w:pPr>
        <w:pStyle w:val="5"/>
        <w:widowControl w:val="0"/>
        <w:numPr>
          <w:ilvl w:val="0"/>
          <w:numId w:val="5"/>
        </w:numPr>
        <w:overflowPunct w:val="0"/>
        <w:rPr>
          <w:rFonts w:hint="eastAsia" w:ascii="宋体" w:hAnsi="宋体" w:eastAsia="宋体" w:cs="宋体"/>
          <w:color w:val="auto"/>
          <w:sz w:val="21"/>
          <w:szCs w:val="21"/>
          <w:highlight w:val="none"/>
        </w:rPr>
      </w:pPr>
      <w:bookmarkStart w:id="112" w:name="_Toc10545"/>
      <w:bookmarkStart w:id="113" w:name="_Toc24261"/>
      <w:bookmarkStart w:id="114" w:name="_Toc508284013"/>
      <w:r>
        <w:rPr>
          <w:rFonts w:hint="eastAsia" w:ascii="宋体" w:hAnsi="宋体" w:eastAsia="宋体" w:cs="宋体"/>
          <w:color w:val="auto"/>
          <w:sz w:val="21"/>
          <w:szCs w:val="21"/>
          <w:highlight w:val="none"/>
        </w:rPr>
        <w:t>发布中标结果</w:t>
      </w:r>
      <w:bookmarkEnd w:id="112"/>
      <w:bookmarkEnd w:id="113"/>
      <w:bookmarkEnd w:id="114"/>
    </w:p>
    <w:p w14:paraId="0F8451FD">
      <w:pPr>
        <w:pStyle w:val="51"/>
        <w:widowControl w:val="0"/>
        <w:numPr>
          <w:ilvl w:val="0"/>
          <w:numId w:val="0"/>
        </w:numPr>
        <w:tabs>
          <w:tab w:val="left" w:pos="907"/>
        </w:tabs>
        <w:adjustRightInd/>
        <w:snapToGrid/>
        <w:ind w:leftChars="0"/>
        <w:jc w:val="both"/>
        <w:rPr>
          <w:rFonts w:hint="eastAsia" w:ascii="宋体" w:hAnsi="宋体" w:eastAsia="宋体" w:cs="宋体"/>
          <w:vanish/>
          <w:color w:val="auto"/>
          <w:szCs w:val="21"/>
          <w:highlight w:val="none"/>
        </w:rPr>
      </w:pPr>
    </w:p>
    <w:p w14:paraId="709FE6BA">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评标委员会提出评标书面报告和推荐中标意见报采购人确认后，采购代理机构将在指定的信息发布媒体上发布公告。</w:t>
      </w:r>
    </w:p>
    <w:p w14:paraId="7A8EE1C1">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中标公告期限为3个日历日。</w:t>
      </w:r>
    </w:p>
    <w:p w14:paraId="796804D0">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《中标通知书》是合同的一个组成部分，《中标通知书》对采购人和中标人均具有同等法律效力。</w:t>
      </w:r>
    </w:p>
    <w:p w14:paraId="648DC964">
      <w:pPr>
        <w:widowControl w:val="0"/>
        <w:tabs>
          <w:tab w:val="left" w:pos="907"/>
        </w:tabs>
        <w:adjustRightInd/>
        <w:snapToGrid/>
        <w:jc w:val="both"/>
        <w:rPr>
          <w:rFonts w:hint="eastAsia" w:ascii="宋体" w:hAnsi="宋体" w:eastAsia="宋体" w:cs="宋体"/>
          <w:color w:val="auto"/>
          <w:szCs w:val="21"/>
          <w:highlight w:val="none"/>
        </w:rPr>
      </w:pPr>
    </w:p>
    <w:p w14:paraId="18EB2A6B">
      <w:pPr>
        <w:pStyle w:val="5"/>
        <w:widowControl w:val="0"/>
        <w:numPr>
          <w:ilvl w:val="0"/>
          <w:numId w:val="5"/>
        </w:numPr>
        <w:overflowPunct w:val="0"/>
        <w:rPr>
          <w:rFonts w:hint="eastAsia" w:ascii="宋体" w:hAnsi="宋体" w:eastAsia="宋体" w:cs="宋体"/>
          <w:color w:val="auto"/>
          <w:sz w:val="21"/>
          <w:szCs w:val="21"/>
          <w:highlight w:val="none"/>
        </w:rPr>
      </w:pPr>
      <w:bookmarkStart w:id="115" w:name="_Toc11420"/>
      <w:bookmarkStart w:id="116" w:name="_Toc749"/>
      <w:r>
        <w:rPr>
          <w:rFonts w:hint="eastAsia" w:ascii="宋体" w:hAnsi="宋体" w:eastAsia="宋体" w:cs="宋体"/>
          <w:color w:val="auto"/>
          <w:sz w:val="21"/>
          <w:szCs w:val="21"/>
          <w:highlight w:val="none"/>
        </w:rPr>
        <w:t>资格后审</w:t>
      </w:r>
      <w:bookmarkEnd w:id="115"/>
      <w:bookmarkEnd w:id="116"/>
    </w:p>
    <w:p w14:paraId="795056AE">
      <w:pPr>
        <w:pStyle w:val="51"/>
        <w:widowControl w:val="0"/>
        <w:numPr>
          <w:ilvl w:val="0"/>
          <w:numId w:val="0"/>
        </w:numPr>
        <w:tabs>
          <w:tab w:val="left" w:pos="567"/>
          <w:tab w:val="left" w:pos="907"/>
        </w:tabs>
        <w:adjustRightInd/>
        <w:snapToGrid/>
        <w:ind w:leftChars="0"/>
        <w:jc w:val="both"/>
        <w:rPr>
          <w:rFonts w:hint="eastAsia" w:ascii="宋体" w:hAnsi="宋体" w:eastAsia="宋体" w:cs="宋体"/>
          <w:vanish/>
          <w:color w:val="auto"/>
          <w:szCs w:val="21"/>
          <w:highlight w:val="none"/>
        </w:rPr>
      </w:pPr>
    </w:p>
    <w:p w14:paraId="23BA564C">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采购人将有权根据本文件中的要求，对评委会推荐的中标候选人进行资格后审。</w:t>
      </w:r>
    </w:p>
    <w:p w14:paraId="0CAC43B2">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中标候选人须无条件配合资格后审，否则采购人有权取消其中标资格，且投标保证金可不予退还。</w:t>
      </w:r>
    </w:p>
    <w:p w14:paraId="0300BCBF">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后审须提供包括但不限于营业执照、税务登记证和在投标文件中提供的资质证明文件、业绩等重要证明文件的原件进行核对，综合考察中标人的履约能力。如采购人要求还须提供业绩证明的其他材料,中标候选人须配合提供。如授权其分支机构进行项目实施或提供售后服务的，亦应提供其与分支机构关系的法律证明材料。</w:t>
      </w:r>
    </w:p>
    <w:p w14:paraId="38F09F72">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如发现中标候选人以他人名义投标或者以其他方式弄虚作假，骗取中标的，采购人有权取消其中标资格，且投标保证金可不予退还；给采购人造成损失的，应依法承担赔偿责任。</w:t>
      </w:r>
    </w:p>
    <w:p w14:paraId="232BFC89">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有权审查中标候选人是否具备履行合同的能力，包括但不限于对其规模、人员、场地、生产能力、供货能力等方面的核实或现场考察。如果审查通过，采购人将把合同授予该中标人；如果审查没有通过，采购人有权取消其中标资格，且投标保证金可不予退还，并依次审查下一名中标候选人是否具备履行合同的能力或重新采购。</w:t>
      </w:r>
    </w:p>
    <w:p w14:paraId="26612AEF">
      <w:pPr>
        <w:rPr>
          <w:rFonts w:hint="eastAsia" w:ascii="宋体" w:hAnsi="宋体" w:eastAsia="宋体" w:cs="宋体"/>
          <w:color w:val="auto"/>
          <w:highlight w:val="none"/>
        </w:rPr>
      </w:pPr>
    </w:p>
    <w:p w14:paraId="7F29F4ED">
      <w:pPr>
        <w:pStyle w:val="5"/>
        <w:widowControl w:val="0"/>
        <w:numPr>
          <w:ilvl w:val="0"/>
          <w:numId w:val="5"/>
        </w:numPr>
        <w:overflowPunct w:val="0"/>
        <w:rPr>
          <w:rFonts w:hint="eastAsia" w:ascii="宋体" w:hAnsi="宋体" w:eastAsia="宋体" w:cs="宋体"/>
          <w:color w:val="auto"/>
          <w:sz w:val="21"/>
          <w:szCs w:val="21"/>
          <w:highlight w:val="none"/>
        </w:rPr>
      </w:pPr>
      <w:bookmarkStart w:id="117" w:name="_Toc27302"/>
      <w:bookmarkStart w:id="118" w:name="_Toc27689"/>
      <w:r>
        <w:rPr>
          <w:rFonts w:hint="eastAsia" w:ascii="宋体" w:hAnsi="宋体" w:eastAsia="宋体" w:cs="宋体"/>
          <w:color w:val="auto"/>
          <w:sz w:val="21"/>
          <w:szCs w:val="21"/>
          <w:highlight w:val="none"/>
        </w:rPr>
        <w:t>合同的签订与履行</w:t>
      </w:r>
      <w:bookmarkEnd w:id="117"/>
      <w:bookmarkEnd w:id="118"/>
    </w:p>
    <w:p w14:paraId="5BD4C981">
      <w:pPr>
        <w:pStyle w:val="51"/>
        <w:widowControl w:val="0"/>
        <w:numPr>
          <w:ilvl w:val="0"/>
          <w:numId w:val="0"/>
        </w:numPr>
        <w:tabs>
          <w:tab w:val="left" w:pos="907"/>
        </w:tabs>
        <w:adjustRightInd/>
        <w:snapToGrid/>
        <w:ind w:leftChars="0"/>
        <w:jc w:val="both"/>
        <w:rPr>
          <w:rFonts w:hint="eastAsia" w:ascii="宋体" w:hAnsi="宋体" w:eastAsia="宋体" w:cs="宋体"/>
          <w:vanish/>
          <w:color w:val="auto"/>
          <w:szCs w:val="21"/>
          <w:highlight w:val="none"/>
        </w:rPr>
      </w:pPr>
    </w:p>
    <w:p w14:paraId="7A104D72">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应当自采购人发出中标通知书之日起30日内，按照采购文件和中标人投标文件的规定，与采购人签订书面合同，否则采购人有权取消其中标资格。所签订的合同不得对采购文件确定的事项和中标人投标文件作实质性修改。在合同签订时，应注意合同中约定的工期开始时间不得早于合同签订时间。</w:t>
      </w:r>
    </w:p>
    <w:p w14:paraId="08C1FA43">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采购人与中标人应当根据合同的约定依法履行合同义务。</w:t>
      </w:r>
    </w:p>
    <w:p w14:paraId="77736AEF">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采购合同的履行、违约责任和解决争议的方法等适用《中华人民共和国民法典》。</w:t>
      </w:r>
    </w:p>
    <w:p w14:paraId="5AEBC648">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在评审结束当天至合同履行结束，若因不可抗力的因素（如国家出台新法律法规等）造成投标人资质的变动，投标人应以纸质版形式通知采购人。若资质变动导致中标人不再具备履行合同资质要求，采购人有权中止合同。</w:t>
      </w:r>
    </w:p>
    <w:p w14:paraId="1983EF4A">
      <w:pPr>
        <w:widowControl w:val="0"/>
        <w:tabs>
          <w:tab w:val="left" w:pos="907"/>
        </w:tabs>
        <w:adjustRightInd/>
        <w:snapToGrid/>
        <w:jc w:val="both"/>
        <w:rPr>
          <w:rFonts w:hint="eastAsia" w:ascii="宋体" w:hAnsi="宋体" w:eastAsia="宋体" w:cs="宋体"/>
          <w:color w:val="auto"/>
          <w:highlight w:val="none"/>
        </w:rPr>
      </w:pPr>
    </w:p>
    <w:p w14:paraId="2E85CA88">
      <w:pPr>
        <w:pStyle w:val="5"/>
        <w:widowControl w:val="0"/>
        <w:numPr>
          <w:ilvl w:val="0"/>
          <w:numId w:val="5"/>
        </w:numPr>
        <w:overflowPunct w:val="0"/>
        <w:rPr>
          <w:rFonts w:hint="eastAsia" w:ascii="宋体" w:hAnsi="宋体" w:eastAsia="宋体" w:cs="宋体"/>
          <w:color w:val="auto"/>
          <w:sz w:val="21"/>
          <w:szCs w:val="21"/>
          <w:highlight w:val="none"/>
        </w:rPr>
      </w:pPr>
      <w:bookmarkStart w:id="119" w:name="_Toc303084277"/>
      <w:bookmarkStart w:id="120" w:name="_Toc29009"/>
      <w:bookmarkStart w:id="121" w:name="_Toc382049124"/>
      <w:bookmarkStart w:id="122" w:name="_Toc19211"/>
      <w:bookmarkStart w:id="123" w:name="_Toc6617"/>
      <w:r>
        <w:rPr>
          <w:rFonts w:hint="eastAsia" w:ascii="宋体" w:hAnsi="宋体" w:eastAsia="宋体" w:cs="宋体"/>
          <w:color w:val="auto"/>
          <w:sz w:val="21"/>
          <w:szCs w:val="21"/>
          <w:highlight w:val="none"/>
        </w:rPr>
        <w:t>履约</w:t>
      </w:r>
      <w:bookmarkEnd w:id="119"/>
      <w:bookmarkEnd w:id="120"/>
      <w:bookmarkEnd w:id="121"/>
      <w:r>
        <w:rPr>
          <w:rFonts w:hint="eastAsia" w:ascii="宋体" w:hAnsi="宋体" w:eastAsia="宋体" w:cs="宋体"/>
          <w:color w:val="auto"/>
          <w:sz w:val="21"/>
          <w:szCs w:val="21"/>
          <w:highlight w:val="none"/>
        </w:rPr>
        <w:t>担保</w:t>
      </w:r>
      <w:bookmarkEnd w:id="122"/>
      <w:bookmarkEnd w:id="123"/>
    </w:p>
    <w:p w14:paraId="64C3825D">
      <w:pPr>
        <w:pStyle w:val="51"/>
        <w:widowControl w:val="0"/>
        <w:numPr>
          <w:ilvl w:val="0"/>
          <w:numId w:val="0"/>
        </w:numPr>
        <w:tabs>
          <w:tab w:val="left" w:pos="907"/>
        </w:tabs>
        <w:adjustRightInd/>
        <w:snapToGrid/>
        <w:ind w:leftChars="0"/>
        <w:jc w:val="both"/>
        <w:rPr>
          <w:rFonts w:hint="eastAsia" w:ascii="宋体" w:hAnsi="宋体" w:eastAsia="宋体" w:cs="宋体"/>
          <w:vanish/>
          <w:color w:val="auto"/>
          <w:szCs w:val="21"/>
          <w:highlight w:val="none"/>
        </w:rPr>
      </w:pPr>
    </w:p>
    <w:p w14:paraId="7A7F72F0">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在采购（合同签署）时提交履约担保，履约担保金额不超过中标合同金额的10%，如果中标人提交的履约保函的有效期先于合同要求的履约保函有效期到达，中标人应在原提交的履约保函有效期满前15天，无条件办理保函延期手续。否则，视中标人违约，采购人可在保函到期前将保函金额转为现金存入履约保证金账户。</w:t>
      </w:r>
    </w:p>
    <w:p w14:paraId="563F301B">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履约担保期限从合同签订之日起至项目服务期结束验收合格并结算完毕后，经双方签字</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天内保持有效。</w:t>
      </w:r>
    </w:p>
    <w:p w14:paraId="119D4054">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履约担保可以采用下列任何一种形式：</w:t>
      </w:r>
    </w:p>
    <w:p w14:paraId="3C1DB0CF">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（1）履约保函。如果中标人的履约担保是以银行保函形式提供的，则该银行保函应：</w:t>
      </w:r>
    </w:p>
    <w:p w14:paraId="04933EF6">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①保函应由银行支行或以上银行机构开具，非东莞市行政区内的银行开具的保函要由银行所在地公证部门出具的公证书。</w:t>
      </w:r>
    </w:p>
    <w:p w14:paraId="40325379">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②保函的格式参考投标文件附件中提供的无条件不可撤销履约保函格式，保函担保期内若项目未能按期竣工，保函必须延期，办理延期手续时在银行方面所产生费用由中标人负责。</w:t>
      </w:r>
    </w:p>
    <w:p w14:paraId="66463DF6">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③履约保函必须打印，手写、涂改无效。</w:t>
      </w:r>
    </w:p>
    <w:p w14:paraId="03A525B9">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履约保证金。可采用电汇、银行汇票等银行转账方式提交，但不可以采用现金方式提交。履约保证金金额为中标价的10%。中标人人必须保证履约保证金以中标人的名称在（合同约定的日期）前提交至采购人指定账户。</w:t>
      </w:r>
    </w:p>
    <w:p w14:paraId="0B72037D">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中标人不能按本采购文件（33.1至33.3）的规定提交履约保证金的，采购人将有权取消中标人的中标资格（采购人可以按照评标委员会提出的中标候选人名单排序依次确定其他中标候选人为中标人，也可以重新采购），投标保证金不予退还，给采购人造成的损失如果超过投标保证金数额的，还应当对超过部分予以赔偿。</w:t>
      </w:r>
    </w:p>
    <w:p w14:paraId="79A7656E">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为取得履约担保所需的费用，由中标人承担；若工期延误，履约担保时间延长，延长费用由中标人承担。</w:t>
      </w:r>
    </w:p>
    <w:p w14:paraId="51CC80E7">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中标人在合同履行过程中出现项目质量事故、工期拖延、欠付工人工资、欠付材料款等情况，采购人在经核查属实后，有权将履约保函金额转为现金存入履约保证金账户；中标人造成采购人损失的，采购人有权立即没收其履约担保，若造成损失超过履约担保的，还应当对超过部分予以赔偿。</w:t>
      </w:r>
    </w:p>
    <w:p w14:paraId="3B429FD2">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下列任何情况发生时，采购人有权行使享有的担保权利：</w:t>
      </w:r>
    </w:p>
    <w:p w14:paraId="0F645EFC">
      <w:pPr>
        <w:widowControl w:val="0"/>
        <w:tabs>
          <w:tab w:val="left" w:pos="907"/>
        </w:tabs>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（1）中标人将本项目转让给他人，或者在投标文件中未说明，且未经采购人同意，将中标项目分包给他人的；</w:t>
      </w:r>
    </w:p>
    <w:p w14:paraId="75E52E0A">
      <w:pPr>
        <w:widowControl w:val="0"/>
        <w:tabs>
          <w:tab w:val="left" w:pos="907"/>
        </w:tabs>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（2）中标人在履行采购合同期间，违反有关法律法规的规定及合同约定的条款，损害了采购人的利益。</w:t>
      </w:r>
    </w:p>
    <w:p w14:paraId="2B7EB808">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在整个项目验收合格后，中标人向采购人提交退回履约担保的申请，采购人办理履约担保退还手续。</w:t>
      </w:r>
    </w:p>
    <w:p w14:paraId="4DBF6951">
      <w:pPr>
        <w:widowControl w:val="0"/>
        <w:tabs>
          <w:tab w:val="left" w:pos="907"/>
        </w:tabs>
        <w:adjustRightInd/>
        <w:snapToGrid/>
        <w:jc w:val="both"/>
        <w:rPr>
          <w:rFonts w:hint="eastAsia" w:ascii="宋体" w:hAnsi="宋体" w:eastAsia="宋体" w:cs="宋体"/>
          <w:color w:val="auto"/>
          <w:highlight w:val="none"/>
        </w:rPr>
      </w:pPr>
    </w:p>
    <w:p w14:paraId="511646B2">
      <w:pPr>
        <w:pStyle w:val="5"/>
        <w:widowControl w:val="0"/>
        <w:numPr>
          <w:ilvl w:val="0"/>
          <w:numId w:val="5"/>
        </w:numPr>
        <w:overflowPunct w:val="0"/>
        <w:rPr>
          <w:rFonts w:hint="eastAsia" w:ascii="宋体" w:hAnsi="宋体" w:eastAsia="宋体" w:cs="宋体"/>
          <w:color w:val="auto"/>
          <w:sz w:val="21"/>
          <w:szCs w:val="21"/>
          <w:highlight w:val="none"/>
        </w:rPr>
      </w:pPr>
      <w:bookmarkStart w:id="124" w:name="_Toc18880"/>
      <w:bookmarkStart w:id="125" w:name="_Toc19347"/>
      <w:r>
        <w:rPr>
          <w:rFonts w:hint="eastAsia" w:ascii="宋体" w:hAnsi="宋体" w:eastAsia="宋体" w:cs="宋体"/>
          <w:color w:val="auto"/>
          <w:sz w:val="21"/>
          <w:szCs w:val="21"/>
          <w:highlight w:val="none"/>
        </w:rPr>
        <w:t>预付款保函（适用于预付款支付）</w:t>
      </w:r>
      <w:bookmarkEnd w:id="124"/>
      <w:bookmarkEnd w:id="125"/>
    </w:p>
    <w:p w14:paraId="2B647387">
      <w:pPr>
        <w:pStyle w:val="51"/>
        <w:widowControl w:val="0"/>
        <w:numPr>
          <w:ilvl w:val="0"/>
          <w:numId w:val="0"/>
        </w:numPr>
        <w:tabs>
          <w:tab w:val="left" w:pos="567"/>
          <w:tab w:val="left" w:pos="907"/>
        </w:tabs>
        <w:adjustRightInd/>
        <w:snapToGrid/>
        <w:ind w:leftChars="0"/>
        <w:jc w:val="both"/>
        <w:rPr>
          <w:rFonts w:hint="eastAsia" w:ascii="宋体" w:hAnsi="宋体" w:eastAsia="宋体" w:cs="宋体"/>
          <w:vanish/>
          <w:color w:val="auto"/>
          <w:szCs w:val="21"/>
          <w:highlight w:val="none"/>
        </w:rPr>
      </w:pPr>
    </w:p>
    <w:p w14:paraId="4C590E44">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签订合同时，中标人应按本须知规定向采购人提交一份合同预付款等额有效的预付款保函。预付款保函有效期从保函开立之日起至采购人向中标人抵扣完所有预付款之日止。如果中标人提交的预付款保函的有效期先于采购文件要求的预付款保函有效期到达，中标人应在原提交的预付款保函有效期前15日内，无条件办理预付款保函延期手续。否则视为中标人违约，采购人可在预付款保函到期前将未抵扣的预付款转为现金存入采购人账户</w:t>
      </w:r>
    </w:p>
    <w:p w14:paraId="6AB08484">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预付款保函应：</w:t>
      </w:r>
    </w:p>
    <w:p w14:paraId="673224C1">
      <w:pPr>
        <w:widowControl w:val="0"/>
        <w:tabs>
          <w:tab w:val="left" w:pos="907"/>
        </w:tabs>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（1）由东莞市行政区域内的银行支行及以上银行机构开具。非东莞市行政区内的银行开具的保函要由银行所在地公证部门出具的公证书。</w:t>
      </w:r>
    </w:p>
    <w:p w14:paraId="3C0F3FF8">
      <w:pPr>
        <w:widowControl w:val="0"/>
        <w:tabs>
          <w:tab w:val="left" w:pos="907"/>
        </w:tabs>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（2）必须打印，手写、涂改无效</w:t>
      </w:r>
    </w:p>
    <w:p w14:paraId="1430B964">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若中标人不能按本须知（34.1至34.2）的规定执行，采购人将不予支付预付款。</w:t>
      </w:r>
    </w:p>
    <w:p w14:paraId="6DEB153F">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果中标人提交的预付款保函的有效期先于采购文件要求的预付款保函有效期到达，中标人应在原提交的预付款保函有效期满前15天内，无条件办理预付款保函延期手续。否则视为中标人违约，采购人可在预付款保函到期前将未抵扣的预付款金额转为现金存入采购人账户。</w:t>
      </w:r>
    </w:p>
    <w:p w14:paraId="7324AD33">
      <w:pPr>
        <w:rPr>
          <w:rFonts w:hint="eastAsia" w:ascii="宋体" w:hAnsi="宋体" w:eastAsia="宋体" w:cs="宋体"/>
          <w:color w:val="auto"/>
          <w:highlight w:val="none"/>
        </w:rPr>
      </w:pPr>
    </w:p>
    <w:p w14:paraId="5DAF48E4">
      <w:pPr>
        <w:pStyle w:val="4"/>
        <w:numPr>
          <w:ilvl w:val="0"/>
          <w:numId w:val="4"/>
        </w:numPr>
        <w:spacing w:before="0" w:after="0" w:line="360" w:lineRule="auto"/>
        <w:jc w:val="center"/>
        <w:rPr>
          <w:rFonts w:hint="eastAsia" w:ascii="宋体" w:hAnsi="宋体" w:eastAsia="宋体" w:cs="宋体"/>
          <w:color w:val="auto"/>
          <w:highlight w:val="none"/>
        </w:rPr>
      </w:pPr>
      <w:bookmarkStart w:id="126" w:name="_Toc27556"/>
      <w:bookmarkStart w:id="127" w:name="_Toc21814"/>
      <w:r>
        <w:rPr>
          <w:rFonts w:hint="eastAsia" w:ascii="宋体" w:hAnsi="宋体" w:eastAsia="宋体" w:cs="宋体"/>
          <w:color w:val="auto"/>
          <w:highlight w:val="none"/>
        </w:rPr>
        <w:t>异议</w:t>
      </w:r>
      <w:bookmarkEnd w:id="126"/>
      <w:bookmarkEnd w:id="127"/>
    </w:p>
    <w:p w14:paraId="5132707E">
      <w:pPr>
        <w:pStyle w:val="5"/>
        <w:widowControl w:val="0"/>
        <w:numPr>
          <w:ilvl w:val="0"/>
          <w:numId w:val="5"/>
        </w:numPr>
        <w:overflowPunct w:val="0"/>
        <w:rPr>
          <w:rFonts w:hint="eastAsia" w:ascii="宋体" w:hAnsi="宋体" w:eastAsia="宋体" w:cs="宋体"/>
          <w:color w:val="auto"/>
          <w:sz w:val="21"/>
          <w:szCs w:val="21"/>
          <w:highlight w:val="none"/>
        </w:rPr>
      </w:pPr>
      <w:bookmarkStart w:id="128" w:name="_Toc9791"/>
      <w:bookmarkStart w:id="129" w:name="_Toc31457"/>
      <w:r>
        <w:rPr>
          <w:rFonts w:hint="eastAsia" w:ascii="宋体" w:hAnsi="宋体" w:eastAsia="宋体" w:cs="宋体"/>
          <w:color w:val="auto"/>
          <w:sz w:val="21"/>
          <w:szCs w:val="21"/>
          <w:highlight w:val="none"/>
        </w:rPr>
        <w:t>异议</w:t>
      </w:r>
      <w:bookmarkEnd w:id="128"/>
      <w:bookmarkEnd w:id="129"/>
    </w:p>
    <w:p w14:paraId="2ECD8FEB">
      <w:pPr>
        <w:pStyle w:val="51"/>
        <w:widowControl w:val="0"/>
        <w:numPr>
          <w:ilvl w:val="0"/>
          <w:numId w:val="0"/>
        </w:numPr>
        <w:tabs>
          <w:tab w:val="left" w:pos="907"/>
        </w:tabs>
        <w:adjustRightInd/>
        <w:snapToGrid/>
        <w:ind w:leftChars="0"/>
        <w:jc w:val="both"/>
        <w:rPr>
          <w:rFonts w:hint="eastAsia" w:ascii="宋体" w:hAnsi="宋体" w:eastAsia="宋体" w:cs="宋体"/>
          <w:vanish/>
          <w:color w:val="auto"/>
          <w:szCs w:val="21"/>
          <w:highlight w:val="none"/>
        </w:rPr>
      </w:pPr>
    </w:p>
    <w:p w14:paraId="4A8ECA5F">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采购文件的异议</w:t>
      </w:r>
      <w:r>
        <w:rPr>
          <w:rFonts w:hint="eastAsia" w:ascii="宋体" w:hAnsi="宋体" w:eastAsia="宋体" w:cs="宋体"/>
          <w:color w:val="auto"/>
          <w:szCs w:val="21"/>
          <w:highlight w:val="none"/>
        </w:rPr>
        <w:t xml:space="preserve">  </w:t>
      </w:r>
    </w:p>
    <w:p w14:paraId="357CED3B">
      <w:pPr>
        <w:widowControl w:val="0"/>
        <w:tabs>
          <w:tab w:val="left" w:pos="907"/>
        </w:tabs>
        <w:adjustRightInd/>
        <w:snapToGrid/>
        <w:ind w:firstLine="420" w:firstLineChars="200"/>
        <w:jc w:val="both"/>
        <w:rPr>
          <w:rFonts w:hint="eastAsia" w:ascii="宋体" w:hAnsi="宋体" w:eastAsia="宋体" w:cs="宋体"/>
          <w:color w:val="auto"/>
          <w:szCs w:val="21"/>
          <w:highlight w:val="none"/>
        </w:rPr>
      </w:pPr>
      <w:r>
        <w:rPr>
          <w:rFonts w:hint="eastAsia" w:ascii="宋体" w:hAnsi="宋体" w:eastAsia="宋体" w:cs="宋体"/>
          <w:bCs/>
          <w:color w:val="auto"/>
          <w:kern w:val="2"/>
          <w:szCs w:val="21"/>
          <w:highlight w:val="none"/>
          <w:lang w:val="zh-CN"/>
        </w:rPr>
        <w:t>投标人或者其他利害关系人对采购文件有异议的，应当在投标截止时间10日前</w:t>
      </w:r>
      <w:r>
        <w:rPr>
          <w:rFonts w:hint="eastAsia" w:ascii="宋体" w:hAnsi="宋体" w:eastAsia="宋体" w:cs="宋体"/>
          <w:color w:val="auto"/>
          <w:kern w:val="2"/>
          <w:szCs w:val="21"/>
          <w:highlight w:val="none"/>
          <w:lang w:val="zh-CN"/>
        </w:rPr>
        <w:t>以书面形式向采购代理机构提出，并将材料原件送达采购代理机构，逾期则视为对采购文件所有内容无异议。</w:t>
      </w:r>
      <w:r>
        <w:rPr>
          <w:rFonts w:hint="eastAsia" w:ascii="宋体" w:hAnsi="宋体" w:eastAsia="宋体" w:cs="宋体"/>
          <w:bCs/>
          <w:color w:val="auto"/>
          <w:kern w:val="2"/>
          <w:szCs w:val="21"/>
          <w:highlight w:val="none"/>
          <w:lang w:val="zh-CN"/>
        </w:rPr>
        <w:t>异议</w:t>
      </w:r>
      <w:r>
        <w:rPr>
          <w:rFonts w:hint="eastAsia" w:ascii="宋体" w:hAnsi="宋体" w:eastAsia="宋体" w:cs="宋体"/>
          <w:color w:val="auto"/>
          <w:kern w:val="2"/>
          <w:szCs w:val="21"/>
          <w:highlight w:val="none"/>
          <w:lang w:val="zh-CN"/>
        </w:rPr>
        <w:t>书面材料必须加盖投标人法人公章，并注明联系人、联系电话、联系地址。</w:t>
      </w:r>
      <w:r>
        <w:rPr>
          <w:rFonts w:hint="eastAsia" w:ascii="宋体" w:hAnsi="宋体" w:eastAsia="宋体" w:cs="宋体"/>
          <w:bCs/>
          <w:color w:val="auto"/>
          <w:kern w:val="2"/>
          <w:szCs w:val="21"/>
          <w:highlight w:val="none"/>
          <w:lang w:val="zh-CN"/>
        </w:rPr>
        <w:t>超出</w:t>
      </w:r>
      <w:r>
        <w:rPr>
          <w:rFonts w:hint="eastAsia" w:ascii="宋体" w:hAnsi="宋体" w:eastAsia="宋体" w:cs="宋体"/>
          <w:color w:val="auto"/>
          <w:kern w:val="2"/>
          <w:szCs w:val="21"/>
          <w:highlight w:val="none"/>
          <w:lang w:val="zh-CN"/>
        </w:rPr>
        <w:t>提交接收异议截止时间而</w:t>
      </w:r>
      <w:r>
        <w:rPr>
          <w:rFonts w:hint="eastAsia" w:ascii="宋体" w:hAnsi="宋体" w:eastAsia="宋体" w:cs="宋体"/>
          <w:bCs/>
          <w:color w:val="auto"/>
          <w:kern w:val="2"/>
          <w:szCs w:val="21"/>
          <w:highlight w:val="none"/>
          <w:lang w:val="zh-CN"/>
        </w:rPr>
        <w:t>提出的任何疑问，</w:t>
      </w:r>
      <w:r>
        <w:rPr>
          <w:rFonts w:hint="eastAsia" w:ascii="宋体" w:hAnsi="宋体" w:eastAsia="宋体" w:cs="宋体"/>
          <w:bCs/>
          <w:color w:val="auto"/>
          <w:kern w:val="2"/>
          <w:szCs w:val="21"/>
          <w:highlight w:val="none"/>
        </w:rPr>
        <w:t>采购人或</w:t>
      </w:r>
      <w:r>
        <w:rPr>
          <w:rFonts w:hint="eastAsia" w:ascii="宋体" w:hAnsi="宋体" w:eastAsia="宋体" w:cs="宋体"/>
          <w:bCs/>
          <w:color w:val="auto"/>
          <w:kern w:val="2"/>
          <w:szCs w:val="21"/>
          <w:highlight w:val="none"/>
          <w:lang w:val="zh-CN"/>
        </w:rPr>
        <w:t>采购代理机构可不予答复。</w:t>
      </w:r>
    </w:p>
    <w:p w14:paraId="1F5D7460">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评标结果异议</w:t>
      </w:r>
      <w:r>
        <w:rPr>
          <w:rFonts w:hint="eastAsia" w:ascii="宋体" w:hAnsi="宋体" w:eastAsia="宋体" w:cs="宋体"/>
          <w:color w:val="auto"/>
          <w:szCs w:val="21"/>
          <w:highlight w:val="none"/>
        </w:rPr>
        <w:t xml:space="preserve">   </w:t>
      </w:r>
    </w:p>
    <w:p w14:paraId="63068BFA">
      <w:pPr>
        <w:widowControl w:val="0"/>
        <w:tabs>
          <w:tab w:val="left" w:pos="907"/>
        </w:tabs>
        <w:adjustRightInd/>
        <w:snapToGrid/>
        <w:ind w:firstLine="420" w:firstLineChars="200"/>
        <w:jc w:val="both"/>
        <w:rPr>
          <w:rFonts w:hint="eastAsia" w:ascii="宋体" w:hAnsi="宋体" w:eastAsia="宋体" w:cs="宋体"/>
          <w:color w:val="auto"/>
          <w:kern w:val="2"/>
          <w:szCs w:val="21"/>
          <w:highlight w:val="none"/>
          <w:lang w:val="zh-CN"/>
        </w:rPr>
      </w:pPr>
      <w:r>
        <w:rPr>
          <w:rFonts w:hint="eastAsia" w:ascii="宋体" w:hAnsi="宋体" w:eastAsia="宋体" w:cs="宋体"/>
          <w:color w:val="auto"/>
          <w:kern w:val="2"/>
          <w:szCs w:val="21"/>
          <w:highlight w:val="none"/>
          <w:lang w:val="zh-CN"/>
        </w:rPr>
        <w:t>投标人或者其他利害关系人对评标结果有异议的，应当在中标候选人公示期间向采购代理机构以书面的形式提出，并将完整的异议书面材料原件送达采购代理机构，逾期则视为对评标结果无异议。超出提交异议截止时间而提出的任何疑问，采购代理机构可不予答复。</w:t>
      </w:r>
    </w:p>
    <w:p w14:paraId="0281A2F0">
      <w:pPr>
        <w:widowControl w:val="0"/>
        <w:tabs>
          <w:tab w:val="left" w:pos="907"/>
        </w:tabs>
        <w:adjustRightInd/>
        <w:snapToGrid/>
        <w:ind w:firstLine="420" w:firstLineChars="200"/>
        <w:jc w:val="both"/>
        <w:rPr>
          <w:rFonts w:hint="eastAsia" w:ascii="宋体" w:hAnsi="宋体" w:eastAsia="宋体" w:cs="宋体"/>
          <w:color w:val="auto"/>
          <w:kern w:val="2"/>
          <w:szCs w:val="21"/>
          <w:highlight w:val="none"/>
          <w:lang w:val="zh-CN"/>
        </w:rPr>
      </w:pPr>
      <w:r>
        <w:rPr>
          <w:rFonts w:hint="eastAsia" w:ascii="宋体" w:hAnsi="宋体" w:eastAsia="宋体" w:cs="宋体"/>
          <w:color w:val="auto"/>
          <w:kern w:val="2"/>
          <w:szCs w:val="21"/>
          <w:highlight w:val="none"/>
          <w:lang w:val="zh-CN"/>
        </w:rPr>
        <w:t>采购代理机构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p>
    <w:p w14:paraId="6CC205E0">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以联合体形式参加采购活动的，其异议应当由组成联合体的所有投标人共同提出。</w:t>
      </w:r>
    </w:p>
    <w:p w14:paraId="467AF365">
      <w:pPr>
        <w:rPr>
          <w:rFonts w:hint="eastAsia" w:ascii="宋体" w:hAnsi="宋体" w:eastAsia="宋体" w:cs="宋体"/>
          <w:color w:val="auto"/>
          <w:highlight w:val="none"/>
        </w:rPr>
      </w:pPr>
    </w:p>
    <w:p w14:paraId="70A4A481">
      <w:pPr>
        <w:pStyle w:val="4"/>
        <w:numPr>
          <w:ilvl w:val="0"/>
          <w:numId w:val="4"/>
        </w:numPr>
        <w:spacing w:before="0" w:after="0" w:line="360" w:lineRule="auto"/>
        <w:jc w:val="center"/>
        <w:rPr>
          <w:rFonts w:hint="eastAsia" w:ascii="宋体" w:hAnsi="宋体" w:eastAsia="宋体" w:cs="宋体"/>
          <w:color w:val="auto"/>
          <w:highlight w:val="none"/>
        </w:rPr>
      </w:pPr>
      <w:bookmarkStart w:id="130" w:name="_Toc16776"/>
      <w:bookmarkStart w:id="131" w:name="_Toc18965"/>
      <w:r>
        <w:rPr>
          <w:rFonts w:hint="eastAsia" w:ascii="宋体" w:hAnsi="宋体" w:eastAsia="宋体" w:cs="宋体"/>
          <w:color w:val="auto"/>
          <w:highlight w:val="none"/>
        </w:rPr>
        <w:t>其他</w:t>
      </w:r>
      <w:bookmarkEnd w:id="130"/>
      <w:bookmarkEnd w:id="131"/>
    </w:p>
    <w:p w14:paraId="1FF077BD">
      <w:pPr>
        <w:pStyle w:val="5"/>
        <w:widowControl w:val="0"/>
        <w:numPr>
          <w:ilvl w:val="0"/>
          <w:numId w:val="5"/>
        </w:numPr>
        <w:overflowPunct w:val="0"/>
        <w:rPr>
          <w:rFonts w:hint="eastAsia" w:ascii="宋体" w:hAnsi="宋体" w:eastAsia="宋体" w:cs="宋体"/>
          <w:color w:val="auto"/>
          <w:sz w:val="21"/>
          <w:szCs w:val="21"/>
          <w:highlight w:val="none"/>
        </w:rPr>
      </w:pPr>
      <w:bookmarkStart w:id="132" w:name="_Toc2155"/>
      <w:bookmarkStart w:id="133" w:name="_Toc1587"/>
      <w:r>
        <w:rPr>
          <w:rFonts w:hint="eastAsia" w:ascii="宋体" w:hAnsi="宋体" w:eastAsia="宋体" w:cs="宋体"/>
          <w:color w:val="auto"/>
          <w:sz w:val="21"/>
          <w:szCs w:val="21"/>
          <w:highlight w:val="none"/>
        </w:rPr>
        <w:t>采购文件的解释权</w:t>
      </w:r>
      <w:bookmarkEnd w:id="132"/>
      <w:bookmarkEnd w:id="133"/>
    </w:p>
    <w:p w14:paraId="105F2963">
      <w:pPr>
        <w:pStyle w:val="51"/>
        <w:widowControl w:val="0"/>
        <w:numPr>
          <w:ilvl w:val="0"/>
          <w:numId w:val="0"/>
        </w:numPr>
        <w:tabs>
          <w:tab w:val="left" w:pos="907"/>
        </w:tabs>
        <w:adjustRightInd/>
        <w:snapToGrid/>
        <w:ind w:leftChars="0"/>
        <w:jc w:val="both"/>
        <w:rPr>
          <w:rFonts w:hint="eastAsia" w:ascii="宋体" w:hAnsi="宋体" w:eastAsia="宋体" w:cs="宋体"/>
          <w:vanish/>
          <w:color w:val="auto"/>
          <w:szCs w:val="21"/>
          <w:highlight w:val="none"/>
        </w:rPr>
      </w:pPr>
    </w:p>
    <w:p w14:paraId="102FA4D2">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本采购文件是根据国家有关法律、法规以及采购管理有关规定和参照国际惯例编制，解释权属本采购代理机构。</w:t>
      </w:r>
    </w:p>
    <w:p w14:paraId="4B15DC78">
      <w:pPr>
        <w:widowControl w:val="0"/>
        <w:numPr>
          <w:ilvl w:val="1"/>
          <w:numId w:val="10"/>
        </w:numPr>
        <w:tabs>
          <w:tab w:val="left" w:pos="907"/>
        </w:tabs>
        <w:adjustRightInd/>
        <w:snapToGrid/>
        <w:spacing w:line="36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27B9B377">
      <w:pPr>
        <w:pStyle w:val="3"/>
        <w:spacing w:before="0" w:after="0" w:line="240" w:lineRule="auto"/>
        <w:rPr>
          <w:rFonts w:hint="eastAsia" w:ascii="宋体" w:hAnsi="宋体" w:eastAsia="宋体" w:cs="宋体"/>
          <w:color w:val="auto"/>
          <w:sz w:val="28"/>
          <w:szCs w:val="28"/>
          <w:highlight w:val="none"/>
        </w:rPr>
      </w:pPr>
      <w:bookmarkStart w:id="134" w:name="_Toc15211"/>
      <w:r>
        <w:rPr>
          <w:rFonts w:hint="eastAsia" w:ascii="宋体" w:hAnsi="宋体" w:eastAsia="宋体" w:cs="宋体"/>
          <w:color w:val="auto"/>
          <w:sz w:val="28"/>
          <w:szCs w:val="28"/>
          <w:highlight w:val="none"/>
        </w:rPr>
        <w:t>第五部分  合同条款格式</w:t>
      </w:r>
      <w:bookmarkEnd w:id="134"/>
      <w:bookmarkStart w:id="135" w:name="_Toc15636"/>
    </w:p>
    <w:bookmarkEnd w:id="135"/>
    <w:p w14:paraId="395312C7">
      <w:pPr>
        <w:bidi w:val="0"/>
        <w:rPr>
          <w:rFonts w:hint="eastAsia" w:ascii="宋体" w:hAnsi="宋体" w:eastAsia="宋体" w:cs="宋体"/>
          <w:color w:val="auto"/>
          <w:highlight w:val="none"/>
        </w:rPr>
      </w:pPr>
      <w:bookmarkStart w:id="136" w:name="_Hlt109815959"/>
      <w:bookmarkEnd w:id="136"/>
    </w:p>
    <w:p w14:paraId="2BFF6701">
      <w:pPr>
        <w:bidi w:val="0"/>
        <w:rPr>
          <w:rFonts w:hint="eastAsia" w:ascii="宋体" w:hAnsi="宋体" w:eastAsia="宋体" w:cs="宋体"/>
          <w:color w:val="auto"/>
          <w:highlight w:val="none"/>
          <w:lang w:eastAsia="zh-CN"/>
        </w:rPr>
      </w:pPr>
    </w:p>
    <w:p w14:paraId="1C5D7E88">
      <w:pPr>
        <w:spacing w:line="360" w:lineRule="auto"/>
        <w:jc w:val="center"/>
        <w:rPr>
          <w:rFonts w:hint="eastAsia" w:ascii="宋体" w:hAnsi="宋体" w:eastAsia="宋体" w:cs="宋体"/>
          <w:b/>
          <w:color w:val="auto"/>
          <w:sz w:val="48"/>
          <w:szCs w:val="48"/>
          <w:highlight w:val="none"/>
          <w:lang w:val="en-US" w:eastAsia="zh-CN"/>
        </w:rPr>
      </w:pPr>
      <w:r>
        <w:rPr>
          <w:rFonts w:hint="eastAsia" w:ascii="宋体" w:hAnsi="宋体" w:eastAsia="宋体" w:cs="宋体"/>
          <w:b/>
          <w:color w:val="auto"/>
          <w:sz w:val="48"/>
          <w:szCs w:val="48"/>
          <w:highlight w:val="none"/>
          <w:lang w:eastAsia="zh-CN"/>
        </w:rPr>
        <w:t>阳江开能5-8#AOD余热锅炉技术改造项目</w:t>
      </w:r>
    </w:p>
    <w:p w14:paraId="3789ADE4">
      <w:pPr>
        <w:autoSpaceDE w:val="0"/>
        <w:autoSpaceDN w:val="0"/>
        <w:jc w:val="center"/>
        <w:rPr>
          <w:rFonts w:hint="eastAsia" w:ascii="宋体" w:hAnsi="宋体" w:eastAsia="宋体" w:cs="宋体"/>
          <w:b/>
          <w:color w:val="auto"/>
          <w:sz w:val="52"/>
          <w:szCs w:val="52"/>
          <w:highlight w:val="none"/>
        </w:rPr>
      </w:pPr>
    </w:p>
    <w:p w14:paraId="32235F7D">
      <w:pPr>
        <w:spacing w:line="360" w:lineRule="auto"/>
        <w:jc w:val="center"/>
        <w:rPr>
          <w:rFonts w:hint="eastAsia" w:ascii="宋体" w:hAnsi="宋体" w:eastAsia="宋体" w:cs="宋体"/>
          <w:b/>
          <w:color w:val="auto"/>
          <w:sz w:val="52"/>
          <w:highlight w:val="none"/>
          <w:lang w:val="en-US" w:eastAsia="zh-CN"/>
        </w:rPr>
      </w:pPr>
      <w:r>
        <w:rPr>
          <w:rFonts w:hint="eastAsia" w:ascii="宋体" w:hAnsi="宋体" w:eastAsia="宋体" w:cs="宋体"/>
          <w:b/>
          <w:color w:val="auto"/>
          <w:sz w:val="52"/>
          <w:highlight w:val="none"/>
          <w:lang w:val="en-US" w:eastAsia="zh-CN"/>
        </w:rPr>
        <w:t>施工合同</w:t>
      </w:r>
    </w:p>
    <w:p w14:paraId="33109B1E">
      <w:pPr>
        <w:spacing w:line="360" w:lineRule="auto"/>
        <w:jc w:val="center"/>
        <w:rPr>
          <w:rFonts w:hint="eastAsia" w:ascii="宋体" w:hAnsi="宋体" w:eastAsia="宋体" w:cs="宋体"/>
          <w:b/>
          <w:color w:val="auto"/>
          <w:sz w:val="52"/>
          <w:highlight w:val="none"/>
        </w:rPr>
      </w:pPr>
    </w:p>
    <w:p w14:paraId="3AACF3F4">
      <w:pPr>
        <w:spacing w:line="360" w:lineRule="auto"/>
        <w:ind w:firstLine="1626" w:firstLineChars="45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甲方：</w:t>
      </w:r>
      <w:r>
        <w:rPr>
          <w:rFonts w:hint="eastAsia" w:ascii="宋体" w:hAnsi="宋体" w:eastAsia="宋体" w:cs="宋体"/>
          <w:b/>
          <w:color w:val="auto"/>
          <w:sz w:val="36"/>
          <w:szCs w:val="36"/>
          <w:highlight w:val="none"/>
          <w:lang w:val="en-US" w:eastAsia="zh-CN"/>
        </w:rPr>
        <w:t>阳江</w:t>
      </w:r>
      <w:r>
        <w:rPr>
          <w:rFonts w:hint="eastAsia" w:ascii="宋体" w:hAnsi="宋体" w:eastAsia="宋体" w:cs="宋体"/>
          <w:b/>
          <w:color w:val="auto"/>
          <w:sz w:val="36"/>
          <w:szCs w:val="36"/>
          <w:highlight w:val="none"/>
        </w:rPr>
        <w:t>开能环保能源有限公司</w:t>
      </w:r>
    </w:p>
    <w:p w14:paraId="40D123FD">
      <w:pPr>
        <w:spacing w:line="360" w:lineRule="auto"/>
        <w:ind w:firstLine="1626" w:firstLineChars="45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乙方: </w:t>
      </w:r>
    </w:p>
    <w:p w14:paraId="60DB6984">
      <w:pPr>
        <w:spacing w:line="360" w:lineRule="auto"/>
        <w:ind w:firstLine="1626" w:firstLineChars="45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甲方</w:t>
      </w:r>
      <w:r>
        <w:rPr>
          <w:rFonts w:hint="eastAsia" w:ascii="宋体" w:hAnsi="宋体" w:eastAsia="宋体" w:cs="宋体"/>
          <w:b/>
          <w:color w:val="auto"/>
          <w:sz w:val="36"/>
          <w:szCs w:val="36"/>
          <w:highlight w:val="none"/>
        </w:rPr>
        <w:t>合同编号：</w:t>
      </w:r>
    </w:p>
    <w:p w14:paraId="56994E92">
      <w:pPr>
        <w:spacing w:line="360" w:lineRule="auto"/>
        <w:ind w:firstLine="1626" w:firstLineChars="45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乙方</w:t>
      </w:r>
      <w:r>
        <w:rPr>
          <w:rFonts w:hint="eastAsia" w:ascii="宋体" w:hAnsi="宋体" w:eastAsia="宋体" w:cs="宋体"/>
          <w:b/>
          <w:color w:val="auto"/>
          <w:sz w:val="36"/>
          <w:szCs w:val="36"/>
          <w:highlight w:val="none"/>
        </w:rPr>
        <w:t>合同编号：　</w:t>
      </w:r>
    </w:p>
    <w:p w14:paraId="11B178B1">
      <w:pPr>
        <w:spacing w:line="360" w:lineRule="auto"/>
        <w:ind w:firstLine="1626" w:firstLineChars="45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签订地点：广东省</w:t>
      </w:r>
      <w:r>
        <w:rPr>
          <w:rFonts w:hint="eastAsia" w:ascii="宋体" w:hAnsi="宋体" w:eastAsia="宋体" w:cs="宋体"/>
          <w:b/>
          <w:color w:val="auto"/>
          <w:sz w:val="36"/>
          <w:szCs w:val="36"/>
          <w:highlight w:val="none"/>
          <w:lang w:val="en-US" w:eastAsia="zh-CN"/>
        </w:rPr>
        <w:t>阳江</w:t>
      </w:r>
      <w:r>
        <w:rPr>
          <w:rFonts w:hint="eastAsia" w:ascii="宋体" w:hAnsi="宋体" w:eastAsia="宋体" w:cs="宋体"/>
          <w:b/>
          <w:color w:val="auto"/>
          <w:sz w:val="36"/>
          <w:szCs w:val="36"/>
          <w:highlight w:val="none"/>
        </w:rPr>
        <w:t>市</w:t>
      </w:r>
    </w:p>
    <w:p w14:paraId="4ABC57D8">
      <w:pPr>
        <w:pStyle w:val="14"/>
        <w:spacing w:line="360" w:lineRule="auto"/>
        <w:ind w:left="0" w:leftChars="0" w:firstLine="0" w:firstLineChars="0"/>
        <w:jc w:val="both"/>
        <w:rPr>
          <w:rFonts w:hint="eastAsia" w:ascii="宋体" w:hAnsi="宋体" w:eastAsia="宋体" w:cs="宋体"/>
          <w:b/>
          <w:color w:val="auto"/>
          <w:sz w:val="36"/>
          <w:szCs w:val="36"/>
          <w:highlight w:val="none"/>
          <w:lang w:eastAsia="zh-CN"/>
        </w:rPr>
      </w:pPr>
    </w:p>
    <w:p w14:paraId="3C633D86">
      <w:pPr>
        <w:pStyle w:val="34"/>
        <w:rPr>
          <w:rFonts w:hint="eastAsia" w:ascii="宋体" w:hAnsi="宋体" w:eastAsia="宋体" w:cs="宋体"/>
          <w:b/>
          <w:color w:val="auto"/>
          <w:sz w:val="36"/>
          <w:szCs w:val="36"/>
          <w:highlight w:val="none"/>
          <w:lang w:eastAsia="zh-CN"/>
        </w:rPr>
      </w:pPr>
    </w:p>
    <w:p w14:paraId="3E91E506">
      <w:pPr>
        <w:pStyle w:val="34"/>
        <w:rPr>
          <w:rFonts w:hint="eastAsia" w:ascii="宋体" w:hAnsi="宋体" w:eastAsia="宋体" w:cs="宋体"/>
          <w:b/>
          <w:color w:val="auto"/>
          <w:sz w:val="36"/>
          <w:szCs w:val="36"/>
          <w:highlight w:val="none"/>
          <w:lang w:eastAsia="zh-CN"/>
        </w:rPr>
      </w:pPr>
    </w:p>
    <w:p w14:paraId="7E3F0E7C">
      <w:pPr>
        <w:pStyle w:val="14"/>
        <w:spacing w:line="360" w:lineRule="auto"/>
        <w:ind w:left="0" w:leftChars="0" w:firstLine="3975" w:firstLineChars="1100"/>
        <w:jc w:val="both"/>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20</w:t>
      </w:r>
      <w:r>
        <w:rPr>
          <w:rFonts w:hint="eastAsia" w:ascii="宋体" w:hAnsi="宋体" w:eastAsia="宋体" w:cs="宋体"/>
          <w:b/>
          <w:color w:val="auto"/>
          <w:sz w:val="36"/>
          <w:szCs w:val="36"/>
          <w:highlight w:val="none"/>
          <w:lang w:val="en-US" w:eastAsia="zh-CN"/>
        </w:rPr>
        <w:t>24</w:t>
      </w:r>
      <w:r>
        <w:rPr>
          <w:rFonts w:hint="eastAsia" w:ascii="宋体" w:hAnsi="宋体" w:eastAsia="宋体" w:cs="宋体"/>
          <w:b/>
          <w:color w:val="auto"/>
          <w:sz w:val="36"/>
          <w:szCs w:val="36"/>
          <w:highlight w:val="none"/>
        </w:rPr>
        <w:t>年</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月</w:t>
      </w:r>
    </w:p>
    <w:p w14:paraId="175F2ED7">
      <w:pPr>
        <w:spacing w:line="240" w:lineRule="auto"/>
        <w:ind w:firstLine="482" w:firstLineChars="200"/>
        <w:rPr>
          <w:rFonts w:hint="eastAsia" w:ascii="宋体" w:hAnsi="宋体" w:eastAsia="宋体" w:cs="宋体"/>
          <w:b/>
          <w:color w:val="auto"/>
          <w:sz w:val="24"/>
          <w:highlight w:val="none"/>
        </w:rPr>
      </w:pPr>
    </w:p>
    <w:p w14:paraId="00B539D7">
      <w:pPr>
        <w:spacing w:line="240" w:lineRule="auto"/>
        <w:ind w:firstLine="482" w:firstLineChars="200"/>
        <w:rPr>
          <w:rFonts w:hint="eastAsia" w:ascii="宋体" w:hAnsi="宋体" w:eastAsia="宋体" w:cs="宋体"/>
          <w:b/>
          <w:color w:val="auto"/>
          <w:sz w:val="24"/>
          <w:highlight w:val="none"/>
        </w:rPr>
      </w:pPr>
    </w:p>
    <w:p w14:paraId="56E9CCE3">
      <w:pPr>
        <w:spacing w:line="240" w:lineRule="auto"/>
        <w:ind w:firstLine="482" w:firstLineChars="200"/>
        <w:rPr>
          <w:rFonts w:hint="eastAsia" w:ascii="宋体" w:hAnsi="宋体" w:eastAsia="宋体" w:cs="宋体"/>
          <w:b/>
          <w:color w:val="auto"/>
          <w:sz w:val="24"/>
          <w:highlight w:val="none"/>
        </w:rPr>
      </w:pPr>
    </w:p>
    <w:p w14:paraId="45D183CA">
      <w:pPr>
        <w:spacing w:line="240" w:lineRule="auto"/>
        <w:ind w:firstLine="482" w:firstLineChars="200"/>
        <w:rPr>
          <w:rFonts w:hint="eastAsia" w:ascii="宋体" w:hAnsi="宋体" w:eastAsia="宋体" w:cs="宋体"/>
          <w:b/>
          <w:color w:val="auto"/>
          <w:sz w:val="24"/>
          <w:highlight w:val="none"/>
        </w:rPr>
      </w:pPr>
    </w:p>
    <w:p w14:paraId="25D9192F">
      <w:pPr>
        <w:spacing w:line="240" w:lineRule="auto"/>
        <w:ind w:firstLine="482" w:firstLineChars="200"/>
        <w:rPr>
          <w:rFonts w:hint="eastAsia" w:ascii="宋体" w:hAnsi="宋体" w:eastAsia="宋体" w:cs="宋体"/>
          <w:b/>
          <w:color w:val="auto"/>
          <w:sz w:val="24"/>
          <w:highlight w:val="none"/>
        </w:rPr>
      </w:pPr>
    </w:p>
    <w:p w14:paraId="3D70C4A2">
      <w:pPr>
        <w:spacing w:line="240" w:lineRule="auto"/>
        <w:rPr>
          <w:rFonts w:hint="eastAsia" w:ascii="宋体" w:hAnsi="宋体" w:eastAsia="宋体" w:cs="宋体"/>
          <w:b/>
          <w:color w:val="auto"/>
          <w:sz w:val="24"/>
          <w:highlight w:val="none"/>
        </w:rPr>
      </w:pPr>
    </w:p>
    <w:p w14:paraId="18E55ACE">
      <w:pP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br w:type="page"/>
      </w:r>
    </w:p>
    <w:p w14:paraId="4A3E1682">
      <w:pPr>
        <w:spacing w:afterLines="0"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甲方</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u w:val="single"/>
          <w:lang w:eastAsia="zh-CN"/>
        </w:rPr>
        <w:t>阳江开能环保能源有限公司</w:t>
      </w:r>
    </w:p>
    <w:p w14:paraId="5E67E7F9">
      <w:pPr>
        <w:spacing w:afterLines="0" w:line="360" w:lineRule="auto"/>
        <w:ind w:firstLine="422" w:firstLineChars="200"/>
        <w:rPr>
          <w:rFonts w:hint="eastAsia" w:ascii="宋体" w:hAnsi="宋体" w:eastAsia="宋体" w:cs="宋体"/>
          <w:b/>
          <w:color w:val="auto"/>
          <w:sz w:val="21"/>
          <w:szCs w:val="21"/>
          <w:highlight w:val="none"/>
          <w:u w:val="single"/>
          <w:lang w:eastAsia="zh-CN"/>
        </w:rPr>
      </w:pPr>
      <w:r>
        <w:rPr>
          <w:rFonts w:hint="eastAsia" w:ascii="宋体" w:hAnsi="宋体" w:eastAsia="宋体" w:cs="宋体"/>
          <w:b/>
          <w:color w:val="auto"/>
          <w:sz w:val="21"/>
          <w:szCs w:val="21"/>
          <w:highlight w:val="none"/>
          <w:lang w:eastAsia="zh-CN"/>
        </w:rPr>
        <w:t>乙方</w:t>
      </w:r>
      <w:r>
        <w:rPr>
          <w:rFonts w:hint="eastAsia" w:ascii="宋体" w:hAnsi="宋体" w:eastAsia="宋体" w:cs="宋体"/>
          <w:b/>
          <w:color w:val="auto"/>
          <w:sz w:val="21"/>
          <w:szCs w:val="21"/>
          <w:highlight w:val="none"/>
        </w:rPr>
        <w:t>：</w:t>
      </w:r>
    </w:p>
    <w:p w14:paraId="4AB6135B">
      <w:pPr>
        <w:keepNext w:val="0"/>
        <w:keepLines w:val="0"/>
        <w:pageBreakBefore w:val="0"/>
        <w:widowControl/>
        <w:kinsoku/>
        <w:wordWrap/>
        <w:overflowPunct/>
        <w:topLinePunct w:val="0"/>
        <w:bidi w:val="0"/>
        <w:spacing w:before="0" w:after="0" w:afterLines="0" w:line="360" w:lineRule="auto"/>
        <w:ind w:right="-6"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依据《中华人民共和国</w:t>
      </w:r>
      <w:r>
        <w:rPr>
          <w:rFonts w:hint="eastAsia" w:ascii="宋体" w:hAnsi="宋体" w:eastAsia="宋体" w:cs="宋体"/>
          <w:color w:val="auto"/>
          <w:sz w:val="21"/>
          <w:szCs w:val="21"/>
          <w:highlight w:val="none"/>
          <w:lang w:val="en-US" w:eastAsia="zh-CN"/>
        </w:rPr>
        <w:t>民法典</w:t>
      </w:r>
      <w:r>
        <w:rPr>
          <w:rFonts w:hint="eastAsia" w:ascii="宋体" w:hAnsi="宋体" w:eastAsia="宋体" w:cs="宋体"/>
          <w:color w:val="auto"/>
          <w:sz w:val="21"/>
          <w:szCs w:val="21"/>
          <w:highlight w:val="none"/>
        </w:rPr>
        <w:t>》、《中华人民共和国建筑法》及其他相关法律法规，遵循平等、自愿、互利互惠、公平和诚实信用的原则，合同双方就本合同范围内</w:t>
      </w:r>
      <w:r>
        <w:rPr>
          <w:rFonts w:hint="eastAsia" w:ascii="宋体" w:hAnsi="宋体" w:eastAsia="宋体" w:cs="宋体"/>
          <w:color w:val="auto"/>
          <w:sz w:val="21"/>
          <w:szCs w:val="21"/>
          <w:highlight w:val="none"/>
          <w:u w:val="single"/>
          <w:lang w:eastAsia="zh-CN"/>
        </w:rPr>
        <w:t>阳江开能5-8#AOD余热锅炉技术改造项目</w:t>
      </w:r>
      <w:r>
        <w:rPr>
          <w:rFonts w:hint="eastAsia" w:ascii="宋体" w:hAnsi="宋体" w:eastAsia="宋体" w:cs="宋体"/>
          <w:color w:val="auto"/>
          <w:sz w:val="21"/>
          <w:szCs w:val="21"/>
          <w:highlight w:val="none"/>
          <w:u w:val="single"/>
        </w:rPr>
        <w:t>施工</w:t>
      </w:r>
      <w:r>
        <w:rPr>
          <w:rFonts w:hint="eastAsia" w:ascii="宋体" w:hAnsi="宋体" w:eastAsia="宋体" w:cs="宋体"/>
          <w:color w:val="auto"/>
          <w:sz w:val="21"/>
          <w:szCs w:val="21"/>
          <w:highlight w:val="none"/>
        </w:rPr>
        <w:t>事项协商一致，订本合同，合同条款如下：</w:t>
      </w:r>
    </w:p>
    <w:p w14:paraId="4B79A417">
      <w:pPr>
        <w:keepNext w:val="0"/>
        <w:keepLines w:val="0"/>
        <w:pageBreakBefore w:val="0"/>
        <w:kinsoku/>
        <w:wordWrap/>
        <w:overflowPunct/>
        <w:topLinePunct w:val="0"/>
        <w:bidi w:val="0"/>
        <w:spacing w:afterLines="0" w:line="360" w:lineRule="auto"/>
        <w:ind w:firstLine="413" w:firstLineChars="196"/>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第一条 工程概况</w:t>
      </w:r>
    </w:p>
    <w:p w14:paraId="4357D0AB">
      <w:pPr>
        <w:keepNext w:val="0"/>
        <w:keepLines w:val="0"/>
        <w:pageBreakBefore w:val="0"/>
        <w:kinsoku/>
        <w:wordWrap/>
        <w:overflowPunct/>
        <w:topLinePunct w:val="0"/>
        <w:bidi w:val="0"/>
        <w:spacing w:afterLines="0" w:line="360" w:lineRule="auto"/>
        <w:ind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1.1工程名称：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阳江开能5-8#AOD余热锅炉技术改造项目施工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 xml:space="preserve">        </w:t>
      </w:r>
    </w:p>
    <w:p w14:paraId="1161C943">
      <w:pPr>
        <w:keepNext w:val="0"/>
        <w:keepLines w:val="0"/>
        <w:pageBreakBefore w:val="0"/>
        <w:kinsoku/>
        <w:wordWrap/>
        <w:overflowPunct/>
        <w:topLinePunct w:val="0"/>
        <w:bidi w:val="0"/>
        <w:spacing w:afterLines="0" w:line="360"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1.2工程地点: </w:t>
      </w:r>
      <w:r>
        <w:rPr>
          <w:rFonts w:hint="eastAsia" w:ascii="宋体" w:hAnsi="宋体" w:eastAsia="宋体" w:cs="宋体"/>
          <w:color w:val="auto"/>
          <w:sz w:val="21"/>
          <w:szCs w:val="21"/>
          <w:highlight w:val="none"/>
          <w:u w:val="single"/>
          <w:lang w:val="zh-CN"/>
        </w:rPr>
        <w:t>广东省阳江市高新区临港工业园海港二横路1号；</w:t>
      </w:r>
      <w:r>
        <w:rPr>
          <w:rFonts w:hint="eastAsia" w:ascii="宋体" w:hAnsi="宋体" w:eastAsia="宋体" w:cs="宋体"/>
          <w:color w:val="auto"/>
          <w:sz w:val="21"/>
          <w:szCs w:val="21"/>
          <w:highlight w:val="none"/>
          <w:u w:val="single"/>
        </w:rPr>
        <w:t xml:space="preserve">                                                </w:t>
      </w:r>
    </w:p>
    <w:p w14:paraId="59B9E550">
      <w:pPr>
        <w:keepNext w:val="0"/>
        <w:keepLines w:val="0"/>
        <w:pageBreakBefore w:val="0"/>
        <w:kinsoku/>
        <w:wordWrap/>
        <w:overflowPunct/>
        <w:topLinePunct w:val="0"/>
        <w:bidi w:val="0"/>
        <w:spacing w:afterLines="0" w:line="360" w:lineRule="auto"/>
        <w:ind w:firstLine="420" w:firstLineChars="200"/>
        <w:textAlignment w:val="auto"/>
        <w:outlineLvl w:val="9"/>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none"/>
          <w:lang w:val="en-US" w:eastAsia="zh-CN"/>
        </w:rPr>
        <w:t>1.3 工程内容：</w:t>
      </w:r>
      <w:r>
        <w:rPr>
          <w:rFonts w:hint="eastAsia" w:ascii="宋体" w:hAnsi="宋体" w:eastAsia="宋体" w:cs="宋体"/>
          <w:color w:val="auto"/>
          <w:sz w:val="21"/>
          <w:szCs w:val="21"/>
          <w:highlight w:val="none"/>
          <w:u w:val="single"/>
          <w:lang w:val="en-US" w:eastAsia="zh-CN"/>
        </w:rPr>
        <w:t xml:space="preserve">阳江开能原有5#、6#、7#、8#一共四台余热锅炉汽化烟道一段的拆除、清运以及对应新购材料的安装调试，二、三段烟道；   </w:t>
      </w:r>
    </w:p>
    <w:p w14:paraId="53912A86">
      <w:pPr>
        <w:keepNext w:val="0"/>
        <w:keepLines w:val="0"/>
        <w:pageBreakBefore w:val="0"/>
        <w:kinsoku/>
        <w:wordWrap/>
        <w:overflowPunct/>
        <w:topLinePunct w:val="0"/>
        <w:bidi w:val="0"/>
        <w:spacing w:afterLines="0" w:line="360" w:lineRule="auto"/>
        <w:ind w:firstLine="420" w:firstLineChars="200"/>
        <w:textAlignment w:val="auto"/>
        <w:outlineLvl w:val="9"/>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第二条 承包范围</w:t>
      </w:r>
    </w:p>
    <w:p w14:paraId="327EDC1D">
      <w:pPr>
        <w:keepNext w:val="0"/>
        <w:keepLines w:val="0"/>
        <w:pageBreakBefore w:val="0"/>
        <w:kinsoku/>
        <w:wordWrap/>
        <w:overflowPunct/>
        <w:topLinePunct w:val="0"/>
        <w:bidi w:val="0"/>
        <w:spacing w:afterLines="0" w:line="360" w:lineRule="auto"/>
        <w:ind w:firstLine="411"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承包范围：</w:t>
      </w:r>
    </w:p>
    <w:p w14:paraId="6230962D">
      <w:pPr>
        <w:keepNext w:val="0"/>
        <w:keepLines w:val="0"/>
        <w:pageBreakBefore w:val="0"/>
        <w:kinsoku/>
        <w:wordWrap/>
        <w:overflowPunct/>
        <w:topLinePunct w:val="0"/>
        <w:bidi w:val="0"/>
        <w:spacing w:afterLines="0" w:line="360" w:lineRule="auto"/>
        <w:ind w:firstLine="411" w:firstLineChars="196"/>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具体承包范围详见下表：</w:t>
      </w:r>
    </w:p>
    <w:tbl>
      <w:tblPr>
        <w:tblStyle w:val="3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603"/>
        <w:gridCol w:w="709"/>
        <w:gridCol w:w="1276"/>
        <w:gridCol w:w="4368"/>
        <w:gridCol w:w="6"/>
      </w:tblGrid>
      <w:tr w14:paraId="3911F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660" w:type="dxa"/>
            <w:vAlign w:val="center"/>
          </w:tcPr>
          <w:p w14:paraId="289F5F6A">
            <w:pPr>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603" w:type="dxa"/>
            <w:vAlign w:val="center"/>
          </w:tcPr>
          <w:p w14:paraId="62D39D15">
            <w:pPr>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709" w:type="dxa"/>
            <w:vAlign w:val="center"/>
          </w:tcPr>
          <w:p w14:paraId="6F83DD4E">
            <w:pPr>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276" w:type="dxa"/>
            <w:vAlign w:val="center"/>
          </w:tcPr>
          <w:p w14:paraId="1C650278">
            <w:pPr>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4368" w:type="dxa"/>
            <w:vAlign w:val="center"/>
          </w:tcPr>
          <w:p w14:paraId="0E4FA748">
            <w:pPr>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1FD9C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2" w:type="dxa"/>
            <w:gridSpan w:val="6"/>
            <w:vAlign w:val="center"/>
          </w:tcPr>
          <w:p w14:paraId="405752E8">
            <w:pPr>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1、拆除工程量</w:t>
            </w:r>
          </w:p>
        </w:tc>
      </w:tr>
      <w:tr w14:paraId="63B99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660" w:type="dxa"/>
            <w:vAlign w:val="center"/>
          </w:tcPr>
          <w:p w14:paraId="205B8801">
            <w:pPr>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603" w:type="dxa"/>
            <w:vAlign w:val="center"/>
          </w:tcPr>
          <w:p w14:paraId="2447F42B">
            <w:pPr>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原一段烟道本体</w:t>
            </w:r>
            <w:r>
              <w:rPr>
                <w:rFonts w:hint="eastAsia" w:ascii="宋体" w:hAnsi="宋体" w:eastAsia="宋体" w:cs="宋体"/>
                <w:color w:val="auto"/>
                <w:kern w:val="0"/>
                <w:sz w:val="21"/>
                <w:szCs w:val="21"/>
                <w:highlight w:val="none"/>
              </w:rPr>
              <w:t>（总重约22T）</w:t>
            </w:r>
          </w:p>
        </w:tc>
        <w:tc>
          <w:tcPr>
            <w:tcW w:w="709" w:type="dxa"/>
            <w:vAlign w:val="center"/>
          </w:tcPr>
          <w:p w14:paraId="02590810">
            <w:pPr>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276" w:type="dxa"/>
            <w:vAlign w:val="center"/>
          </w:tcPr>
          <w:p w14:paraId="02FD9142">
            <w:pPr>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368" w:type="dxa"/>
            <w:vAlign w:val="center"/>
          </w:tcPr>
          <w:p w14:paraId="73B62360">
            <w:pPr>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单套包括一段烟道本体（含进出口联箱）及与此相连接的为完成本工程的上升管、下降管、氧枪口、下料口、支撑悬挂装置、相应保温材料及影响施工的（如：12.8m平台）所有工作内容。（整体保护性拆除）</w:t>
            </w:r>
          </w:p>
        </w:tc>
      </w:tr>
      <w:tr w14:paraId="1F196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660" w:type="dxa"/>
            <w:vAlign w:val="center"/>
          </w:tcPr>
          <w:p w14:paraId="7F4E82CD">
            <w:pPr>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603" w:type="dxa"/>
            <w:vAlign w:val="center"/>
          </w:tcPr>
          <w:p w14:paraId="2AAA5209">
            <w:pPr>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放置及垃圾清运</w:t>
            </w:r>
          </w:p>
        </w:tc>
        <w:tc>
          <w:tcPr>
            <w:tcW w:w="709" w:type="dxa"/>
            <w:vAlign w:val="center"/>
          </w:tcPr>
          <w:p w14:paraId="1E7B47B6">
            <w:pPr>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276" w:type="dxa"/>
            <w:vAlign w:val="center"/>
          </w:tcPr>
          <w:p w14:paraId="41D017F7">
            <w:pPr>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368" w:type="dxa"/>
            <w:vAlign w:val="center"/>
          </w:tcPr>
          <w:p w14:paraId="773733BB">
            <w:pPr>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烟道本体设备放至</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指定位置（不超过1500m），所产生的施工垃圾装袋后自行运至环保定点位置（不超过1500m）。</w:t>
            </w:r>
          </w:p>
        </w:tc>
      </w:tr>
      <w:tr w14:paraId="5F92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660" w:type="dxa"/>
            <w:vAlign w:val="center"/>
          </w:tcPr>
          <w:p w14:paraId="161CBEF1">
            <w:pPr>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603" w:type="dxa"/>
            <w:vAlign w:val="center"/>
          </w:tcPr>
          <w:p w14:paraId="0B0CFFC5">
            <w:pPr>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其它</w:t>
            </w:r>
          </w:p>
        </w:tc>
        <w:tc>
          <w:tcPr>
            <w:tcW w:w="709" w:type="dxa"/>
            <w:vAlign w:val="center"/>
          </w:tcPr>
          <w:p w14:paraId="0009000A">
            <w:pPr>
              <w:ind w:firstLine="0" w:firstLineChars="0"/>
              <w:jc w:val="center"/>
              <w:rPr>
                <w:rFonts w:hint="eastAsia" w:ascii="宋体" w:hAnsi="宋体" w:eastAsia="宋体" w:cs="宋体"/>
                <w:color w:val="auto"/>
                <w:sz w:val="21"/>
                <w:szCs w:val="21"/>
                <w:highlight w:val="none"/>
              </w:rPr>
            </w:pPr>
          </w:p>
        </w:tc>
        <w:tc>
          <w:tcPr>
            <w:tcW w:w="1276" w:type="dxa"/>
            <w:vAlign w:val="center"/>
          </w:tcPr>
          <w:p w14:paraId="577D6F9F">
            <w:pPr>
              <w:ind w:firstLine="0" w:firstLineChars="0"/>
              <w:jc w:val="center"/>
              <w:rPr>
                <w:rFonts w:hint="eastAsia" w:ascii="宋体" w:hAnsi="宋体" w:eastAsia="宋体" w:cs="宋体"/>
                <w:color w:val="auto"/>
                <w:sz w:val="21"/>
                <w:szCs w:val="21"/>
                <w:highlight w:val="none"/>
              </w:rPr>
            </w:pPr>
          </w:p>
        </w:tc>
        <w:tc>
          <w:tcPr>
            <w:tcW w:w="4368" w:type="dxa"/>
            <w:vAlign w:val="center"/>
          </w:tcPr>
          <w:p w14:paraId="44389D80">
            <w:pPr>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所有影响拆除、安装施工的其它工作。</w:t>
            </w:r>
          </w:p>
        </w:tc>
      </w:tr>
      <w:tr w14:paraId="2248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2" w:type="dxa"/>
            <w:gridSpan w:val="6"/>
            <w:vAlign w:val="center"/>
          </w:tcPr>
          <w:p w14:paraId="64E09DC5">
            <w:pPr>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2、安装工程量</w:t>
            </w:r>
          </w:p>
        </w:tc>
      </w:tr>
      <w:tr w14:paraId="7070D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660" w:type="dxa"/>
            <w:vAlign w:val="center"/>
          </w:tcPr>
          <w:p w14:paraId="6EB4B10E">
            <w:pPr>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603" w:type="dxa"/>
            <w:vAlign w:val="center"/>
          </w:tcPr>
          <w:p w14:paraId="15384E28">
            <w:pPr>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新一段烟道本体</w:t>
            </w:r>
            <w:r>
              <w:rPr>
                <w:rFonts w:hint="eastAsia" w:ascii="宋体" w:hAnsi="宋体" w:eastAsia="宋体" w:cs="宋体"/>
                <w:color w:val="auto"/>
                <w:kern w:val="0"/>
                <w:sz w:val="21"/>
                <w:szCs w:val="21"/>
                <w:highlight w:val="none"/>
              </w:rPr>
              <w:t>（总重约22T）</w:t>
            </w:r>
          </w:p>
        </w:tc>
        <w:tc>
          <w:tcPr>
            <w:tcW w:w="709" w:type="dxa"/>
            <w:vAlign w:val="center"/>
          </w:tcPr>
          <w:p w14:paraId="009EE7EC">
            <w:pPr>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276" w:type="dxa"/>
            <w:vAlign w:val="center"/>
          </w:tcPr>
          <w:p w14:paraId="6B0698E9">
            <w:pPr>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368" w:type="dxa"/>
            <w:vAlign w:val="center"/>
          </w:tcPr>
          <w:p w14:paraId="2B1E7FF3">
            <w:pPr>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套包括一段烟道本体（含进出口联箱）的安装就位、与一段烟道相连接的上升管、下降管、氧枪口、下料口、支撑悬挂装置、相应保温材料的恢复安装及其它拆除工程量的（如：12.8m平台）恢复安装等所有工作内容。</w:t>
            </w:r>
          </w:p>
        </w:tc>
      </w:tr>
      <w:tr w14:paraId="5840C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660" w:type="dxa"/>
            <w:vAlign w:val="center"/>
          </w:tcPr>
          <w:p w14:paraId="5B1CBDAD">
            <w:pPr>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603" w:type="dxa"/>
            <w:vAlign w:val="center"/>
          </w:tcPr>
          <w:p w14:paraId="39267EC9">
            <w:pPr>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二、三段烟道磨损严重部位的管子更换</w:t>
            </w:r>
          </w:p>
        </w:tc>
        <w:tc>
          <w:tcPr>
            <w:tcW w:w="709" w:type="dxa"/>
            <w:vAlign w:val="center"/>
          </w:tcPr>
          <w:p w14:paraId="29369333">
            <w:pPr>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1276" w:type="dxa"/>
            <w:vAlign w:val="center"/>
          </w:tcPr>
          <w:p w14:paraId="04243155">
            <w:pPr>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628</w:t>
            </w:r>
          </w:p>
        </w:tc>
        <w:tc>
          <w:tcPr>
            <w:tcW w:w="4368" w:type="dxa"/>
            <w:vAlign w:val="center"/>
          </w:tcPr>
          <w:p w14:paraId="429184E4">
            <w:pPr>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二段</w:t>
            </w:r>
            <w:r>
              <w:rPr>
                <w:rFonts w:hint="eastAsia" w:ascii="宋体" w:hAnsi="宋体" w:eastAsia="宋体" w:cs="宋体"/>
                <w:b/>
                <w:color w:val="auto"/>
                <w:sz w:val="21"/>
                <w:szCs w:val="21"/>
                <w:highlight w:val="none"/>
                <w:u w:val="single"/>
              </w:rPr>
              <w:t>烟道弯管</w:t>
            </w:r>
            <w:r>
              <w:rPr>
                <w:rFonts w:hint="eastAsia" w:ascii="宋体" w:hAnsi="宋体" w:eastAsia="宋体" w:cs="宋体"/>
                <w:color w:val="auto"/>
                <w:sz w:val="21"/>
                <w:szCs w:val="21"/>
                <w:highlight w:val="none"/>
              </w:rPr>
              <w:t>共180根*4m（其中：5-7#炉烟道弯管3*40根，8#炉烟道弯管1*60根），5-8#炉二、三段</w:t>
            </w:r>
            <w:r>
              <w:rPr>
                <w:rFonts w:hint="eastAsia" w:ascii="宋体" w:hAnsi="宋体" w:eastAsia="宋体" w:cs="宋体"/>
                <w:b/>
                <w:color w:val="auto"/>
                <w:sz w:val="21"/>
                <w:szCs w:val="21"/>
                <w:highlight w:val="none"/>
                <w:u w:val="single"/>
              </w:rPr>
              <w:t>下集箱弯管</w:t>
            </w:r>
            <w:r>
              <w:rPr>
                <w:rFonts w:hint="eastAsia" w:ascii="宋体" w:hAnsi="宋体" w:eastAsia="宋体" w:cs="宋体"/>
                <w:color w:val="auto"/>
                <w:sz w:val="21"/>
                <w:szCs w:val="21"/>
                <w:highlight w:val="none"/>
              </w:rPr>
              <w:t>共448根*0.5m（其中：二段下集箱各72根，共288根；三段下集箱弯管各40条，共160条）。包括换管工作量所需的现场弯管、搭架等工作，以及修复为施工而拆除的栏杆、保温等所有其它工作。（全部管材、鳍片由</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提供）</w:t>
            </w:r>
          </w:p>
        </w:tc>
      </w:tr>
      <w:tr w14:paraId="1221F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660" w:type="dxa"/>
            <w:vAlign w:val="center"/>
          </w:tcPr>
          <w:p w14:paraId="4BA1C97F">
            <w:pPr>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603" w:type="dxa"/>
            <w:vAlign w:val="center"/>
          </w:tcPr>
          <w:p w14:paraId="41791D50">
            <w:pPr>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二、三段烟道防磨金属喷涂</w:t>
            </w:r>
          </w:p>
        </w:tc>
        <w:tc>
          <w:tcPr>
            <w:tcW w:w="709" w:type="dxa"/>
            <w:vAlign w:val="center"/>
          </w:tcPr>
          <w:p w14:paraId="126E107C">
            <w:pPr>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276" w:type="dxa"/>
            <w:vAlign w:val="center"/>
          </w:tcPr>
          <w:p w14:paraId="5D14F3C5">
            <w:pPr>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368" w:type="dxa"/>
            <w:vAlign w:val="center"/>
          </w:tcPr>
          <w:p w14:paraId="0359BDCF">
            <w:pPr>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4套共405㎡（本项为</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包工包料）。</w:t>
            </w:r>
          </w:p>
        </w:tc>
      </w:tr>
      <w:tr w14:paraId="4A2BD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660" w:type="dxa"/>
            <w:vAlign w:val="center"/>
          </w:tcPr>
          <w:p w14:paraId="28343301">
            <w:pPr>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603" w:type="dxa"/>
            <w:vAlign w:val="center"/>
          </w:tcPr>
          <w:p w14:paraId="46364C2E">
            <w:pPr>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一、二、三段烟道部分部位敷设浇注料</w:t>
            </w:r>
          </w:p>
        </w:tc>
        <w:tc>
          <w:tcPr>
            <w:tcW w:w="709" w:type="dxa"/>
            <w:vAlign w:val="center"/>
          </w:tcPr>
          <w:p w14:paraId="3ACAC211">
            <w:pPr>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76" w:type="dxa"/>
            <w:vAlign w:val="center"/>
          </w:tcPr>
          <w:p w14:paraId="0B150652">
            <w:pPr>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w:t>
            </w:r>
          </w:p>
        </w:tc>
        <w:tc>
          <w:tcPr>
            <w:tcW w:w="4368" w:type="dxa"/>
            <w:vAlign w:val="center"/>
          </w:tcPr>
          <w:p w14:paraId="4BD73B60">
            <w:pPr>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4套共56㎡，厚度δ=50mm。其中，一段烟道抓钉已焊好，面积为各6㎡，共24㎡；二、三段烟道抓钉需现场焊接，面积每套各8㎡，共32㎡，抓钉25个/㎡，抓钉材质为310S不锈钢，焊条须用A401。（抓钉由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提供）</w:t>
            </w:r>
          </w:p>
        </w:tc>
      </w:tr>
      <w:tr w14:paraId="1C697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660" w:type="dxa"/>
            <w:vAlign w:val="center"/>
          </w:tcPr>
          <w:p w14:paraId="6A76FF77">
            <w:pPr>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603" w:type="dxa"/>
            <w:vAlign w:val="center"/>
          </w:tcPr>
          <w:p w14:paraId="0EECC241">
            <w:pPr>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保温</w:t>
            </w:r>
          </w:p>
        </w:tc>
        <w:tc>
          <w:tcPr>
            <w:tcW w:w="709" w:type="dxa"/>
            <w:vAlign w:val="center"/>
          </w:tcPr>
          <w:p w14:paraId="085FBAF2">
            <w:pPr>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m³</w:t>
            </w:r>
          </w:p>
        </w:tc>
        <w:tc>
          <w:tcPr>
            <w:tcW w:w="1276" w:type="dxa"/>
            <w:vAlign w:val="center"/>
          </w:tcPr>
          <w:p w14:paraId="4BA1F2B4">
            <w:pPr>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93.88</w:t>
            </w:r>
          </w:p>
        </w:tc>
        <w:tc>
          <w:tcPr>
            <w:tcW w:w="4368" w:type="dxa"/>
            <w:vAlign w:val="center"/>
          </w:tcPr>
          <w:p w14:paraId="292F6AE1">
            <w:pPr>
              <w:pStyle w:val="51"/>
              <w:numPr>
                <w:ilvl w:val="0"/>
                <w:numId w:val="2"/>
              </w:numPr>
              <w:spacing w:line="240" w:lineRule="auto"/>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烟道面积（3.7+1.3+0.25）*3.14*2.6,厚度200mm;保温体积 V</w:t>
            </w:r>
            <w:r>
              <w:rPr>
                <w:rFonts w:hint="eastAsia" w:ascii="宋体" w:hAnsi="宋体" w:eastAsia="宋体" w:cs="宋体"/>
                <w:color w:val="auto"/>
                <w:sz w:val="21"/>
                <w:szCs w:val="21"/>
                <w:highlight w:val="none"/>
                <w:vertAlign w:val="subscript"/>
              </w:rPr>
              <w:t>1</w:t>
            </w:r>
            <w:r>
              <w:rPr>
                <w:rFonts w:hint="eastAsia" w:ascii="宋体" w:hAnsi="宋体" w:eastAsia="宋体" w:cs="宋体"/>
                <w:color w:val="auto"/>
                <w:sz w:val="21"/>
                <w:szCs w:val="21"/>
                <w:highlight w:val="none"/>
              </w:rPr>
              <w:t>=8.57 m³/套</w:t>
            </w:r>
          </w:p>
          <w:p w14:paraId="4CFE771C">
            <w:pPr>
              <w:pStyle w:val="51"/>
              <w:numPr>
                <w:ilvl w:val="0"/>
                <w:numId w:val="2"/>
              </w:numPr>
              <w:spacing w:line="240" w:lineRule="auto"/>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上集箱∮273*14周长：3.14*3.46，厚度150mm；保温体积V</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rPr>
              <w:t>=1.4 m³/套</w:t>
            </w:r>
          </w:p>
          <w:p w14:paraId="01571474">
            <w:pPr>
              <w:pStyle w:val="51"/>
              <w:numPr>
                <w:ilvl w:val="0"/>
                <w:numId w:val="2"/>
              </w:numPr>
              <w:spacing w:line="240" w:lineRule="auto"/>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下降管∮159*5长45m，厚度150mm；保温体积V</w:t>
            </w:r>
            <w:r>
              <w:rPr>
                <w:rFonts w:hint="eastAsia" w:ascii="宋体" w:hAnsi="宋体" w:eastAsia="宋体" w:cs="宋体"/>
                <w:color w:val="auto"/>
                <w:sz w:val="21"/>
                <w:szCs w:val="21"/>
                <w:highlight w:val="none"/>
                <w:vertAlign w:val="subscript"/>
              </w:rPr>
              <w:t>3</w:t>
            </w:r>
            <w:r>
              <w:rPr>
                <w:rFonts w:hint="eastAsia" w:ascii="宋体" w:hAnsi="宋体" w:eastAsia="宋体" w:cs="宋体"/>
                <w:color w:val="auto"/>
                <w:sz w:val="21"/>
                <w:szCs w:val="21"/>
                <w:highlight w:val="none"/>
              </w:rPr>
              <w:t>=3.37 m³/套</w:t>
            </w:r>
          </w:p>
          <w:p w14:paraId="042F68CA">
            <w:pPr>
              <w:pStyle w:val="51"/>
              <w:numPr>
                <w:ilvl w:val="0"/>
                <w:numId w:val="2"/>
              </w:numPr>
              <w:spacing w:line="240" w:lineRule="auto"/>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12.8m平台夹层保温：6*6-3.14*1.3*1.3，厚度330mm。保温体积V</w:t>
            </w:r>
            <w:r>
              <w:rPr>
                <w:rFonts w:hint="eastAsia" w:ascii="宋体" w:hAnsi="宋体" w:eastAsia="宋体" w:cs="宋体"/>
                <w:color w:val="auto"/>
                <w:sz w:val="21"/>
                <w:szCs w:val="21"/>
                <w:highlight w:val="none"/>
                <w:vertAlign w:val="subscript"/>
              </w:rPr>
              <w:t>4</w:t>
            </w:r>
            <w:r>
              <w:rPr>
                <w:rFonts w:hint="eastAsia" w:ascii="宋体" w:hAnsi="宋体" w:eastAsia="宋体" w:cs="宋体"/>
                <w:color w:val="auto"/>
                <w:sz w:val="21"/>
                <w:szCs w:val="21"/>
                <w:highlight w:val="none"/>
              </w:rPr>
              <w:t>=10.13m³/套</w:t>
            </w:r>
          </w:p>
          <w:p w14:paraId="6CE469D1">
            <w:pPr>
              <w:pStyle w:val="51"/>
              <w:numPr>
                <w:ilvl w:val="0"/>
                <w:numId w:val="2"/>
              </w:numPr>
              <w:spacing w:line="240" w:lineRule="auto"/>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上述①-④项4套总保温体积V</w:t>
            </w:r>
            <w:r>
              <w:rPr>
                <w:rFonts w:hint="eastAsia" w:ascii="宋体" w:hAnsi="宋体" w:eastAsia="宋体" w:cs="宋体"/>
                <w:color w:val="auto"/>
                <w:sz w:val="21"/>
                <w:szCs w:val="21"/>
                <w:highlight w:val="none"/>
                <w:vertAlign w:val="subscript"/>
              </w:rPr>
              <w:t>总</w:t>
            </w:r>
            <w:r>
              <w:rPr>
                <w:rFonts w:hint="eastAsia" w:ascii="宋体" w:hAnsi="宋体" w:eastAsia="宋体" w:cs="宋体"/>
                <w:color w:val="auto"/>
                <w:sz w:val="21"/>
                <w:szCs w:val="21"/>
                <w:highlight w:val="none"/>
              </w:rPr>
              <w:t>=4*23.47=93.88m³（此项为</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包工包料）</w:t>
            </w:r>
          </w:p>
        </w:tc>
      </w:tr>
      <w:tr w14:paraId="3018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660" w:type="dxa"/>
            <w:vAlign w:val="center"/>
          </w:tcPr>
          <w:p w14:paraId="31A7995E">
            <w:pPr>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603" w:type="dxa"/>
            <w:vAlign w:val="center"/>
          </w:tcPr>
          <w:p w14:paraId="32020F07">
            <w:pPr>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其它</w:t>
            </w:r>
          </w:p>
        </w:tc>
        <w:tc>
          <w:tcPr>
            <w:tcW w:w="709" w:type="dxa"/>
            <w:vAlign w:val="center"/>
          </w:tcPr>
          <w:p w14:paraId="27DF87D0">
            <w:pPr>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1276" w:type="dxa"/>
            <w:vAlign w:val="center"/>
          </w:tcPr>
          <w:p w14:paraId="4F0FBA76">
            <w:pPr>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368" w:type="dxa"/>
            <w:vAlign w:val="center"/>
          </w:tcPr>
          <w:p w14:paraId="165B0FC2">
            <w:pPr>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详见附件一：风管安装，阀门更换，水位计更换等工作。(此项为</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提供材料并领工，</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负责提供8个钳工/天*10天)</w:t>
            </w:r>
          </w:p>
        </w:tc>
      </w:tr>
    </w:tbl>
    <w:p w14:paraId="60BCE5A1">
      <w:pPr>
        <w:keepNext w:val="0"/>
        <w:keepLines w:val="0"/>
        <w:pageBreakBefore w:val="0"/>
        <w:kinsoku/>
        <w:wordWrap/>
        <w:overflowPunct/>
        <w:topLinePunct w:val="0"/>
        <w:bidi w:val="0"/>
        <w:spacing w:afterLines="0" w:line="360" w:lineRule="auto"/>
        <w:ind w:firstLine="411" w:firstLineChars="196"/>
        <w:textAlignment w:val="auto"/>
        <w:rPr>
          <w:rFonts w:hint="eastAsia" w:ascii="宋体" w:hAnsi="宋体" w:eastAsia="宋体" w:cs="宋体"/>
          <w:color w:val="auto"/>
          <w:sz w:val="21"/>
          <w:szCs w:val="21"/>
          <w:highlight w:val="none"/>
          <w:u w:val="none"/>
          <w:lang w:val="en-US" w:eastAsia="zh-CN"/>
        </w:rPr>
      </w:pPr>
    </w:p>
    <w:p w14:paraId="73FD7AD9">
      <w:pPr>
        <w:keepNext w:val="0"/>
        <w:keepLines w:val="0"/>
        <w:pageBreakBefore w:val="0"/>
        <w:kinsoku/>
        <w:wordWrap/>
        <w:overflowPunct/>
        <w:topLinePunct w:val="0"/>
        <w:bidi w:val="0"/>
        <w:spacing w:afterLines="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第二条 质量标准</w:t>
      </w:r>
    </w:p>
    <w:p w14:paraId="20537DF5">
      <w:pPr>
        <w:keepNext w:val="0"/>
        <w:keepLines w:val="0"/>
        <w:pageBreakBefore w:val="0"/>
        <w:kinsoku/>
        <w:wordWrap/>
        <w:overflowPunct/>
        <w:topLinePunct w:val="0"/>
        <w:bidi w:val="0"/>
        <w:spacing w:afterLines="0"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工程质量标准：</w:t>
      </w:r>
      <w:r>
        <w:rPr>
          <w:rFonts w:hint="eastAsia" w:ascii="宋体" w:hAnsi="宋体" w:eastAsia="宋体" w:cs="宋体"/>
          <w:color w:val="auto"/>
          <w:sz w:val="21"/>
          <w:szCs w:val="21"/>
          <w:highlight w:val="none"/>
          <w:u w:val="single"/>
        </w:rPr>
        <w:t>符合国家及有关部门的规范规定及质量验收标准，并能满足</w:t>
      </w:r>
      <w:r>
        <w:rPr>
          <w:rFonts w:hint="eastAsia" w:ascii="宋体" w:hAnsi="宋体" w:eastAsia="宋体" w:cs="宋体"/>
          <w:color w:val="auto"/>
          <w:sz w:val="21"/>
          <w:szCs w:val="21"/>
          <w:highlight w:val="none"/>
          <w:u w:val="single"/>
          <w:lang w:eastAsia="zh-CN"/>
        </w:rPr>
        <w:t>甲方</w:t>
      </w:r>
      <w:r>
        <w:rPr>
          <w:rFonts w:hint="eastAsia" w:ascii="宋体" w:hAnsi="宋体" w:eastAsia="宋体" w:cs="宋体"/>
          <w:color w:val="auto"/>
          <w:sz w:val="21"/>
          <w:szCs w:val="21"/>
          <w:highlight w:val="none"/>
          <w:u w:val="single"/>
        </w:rPr>
        <w:t>的各项技术与功能要求，保证</w:t>
      </w:r>
      <w:r>
        <w:rPr>
          <w:rFonts w:hint="eastAsia" w:ascii="宋体" w:hAnsi="宋体" w:eastAsia="宋体" w:cs="宋体"/>
          <w:color w:val="auto"/>
          <w:sz w:val="21"/>
          <w:szCs w:val="21"/>
          <w:highlight w:val="none"/>
          <w:u w:val="single"/>
          <w:lang w:val="en-US" w:eastAsia="zh-CN"/>
        </w:rPr>
        <w:t>符合设计及规范要求，</w:t>
      </w:r>
      <w:r>
        <w:rPr>
          <w:rFonts w:hint="eastAsia" w:ascii="宋体" w:hAnsi="宋体" w:eastAsia="宋体" w:cs="宋体"/>
          <w:color w:val="auto"/>
          <w:sz w:val="21"/>
          <w:szCs w:val="21"/>
          <w:highlight w:val="none"/>
          <w:u w:val="single"/>
        </w:rPr>
        <w:t>验收合格。</w:t>
      </w:r>
    </w:p>
    <w:p w14:paraId="611FF6C6">
      <w:pPr>
        <w:keepNext w:val="0"/>
        <w:keepLines w:val="0"/>
        <w:pageBreakBefore w:val="0"/>
        <w:kinsoku/>
        <w:wordWrap/>
        <w:overflowPunct/>
        <w:topLinePunct w:val="0"/>
        <w:bidi w:val="0"/>
        <w:spacing w:afterLines="0" w:line="360" w:lineRule="auto"/>
        <w:ind w:firstLine="422"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b/>
          <w:color w:val="auto"/>
          <w:sz w:val="21"/>
          <w:szCs w:val="21"/>
          <w:highlight w:val="none"/>
        </w:rPr>
        <w:t>第三条 合同价款</w:t>
      </w:r>
      <w:r>
        <w:rPr>
          <w:rFonts w:hint="eastAsia" w:ascii="宋体" w:hAnsi="宋体" w:eastAsia="宋体" w:cs="宋体"/>
          <w:b/>
          <w:bCs/>
          <w:color w:val="auto"/>
          <w:sz w:val="21"/>
          <w:szCs w:val="21"/>
          <w:highlight w:val="none"/>
          <w:u w:val="none"/>
          <w:lang w:val="en-US" w:eastAsia="zh-CN"/>
        </w:rPr>
        <w:t>：</w:t>
      </w:r>
    </w:p>
    <w:p w14:paraId="4F54D1EA">
      <w:pPr>
        <w:keepNext w:val="0"/>
        <w:keepLines w:val="0"/>
        <w:pageBreakBefore w:val="0"/>
        <w:kinsoku/>
        <w:wordWrap/>
        <w:overflowPunct/>
        <w:topLinePunct w:val="0"/>
        <w:bidi w:val="0"/>
        <w:spacing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u w:val="none"/>
          <w:lang w:val="en-US" w:eastAsia="zh-CN"/>
        </w:rPr>
        <w:t xml:space="preserve">3.1 </w:t>
      </w:r>
      <w:r>
        <w:rPr>
          <w:rFonts w:hint="eastAsia" w:ascii="宋体" w:hAnsi="宋体" w:eastAsia="宋体" w:cs="宋体"/>
          <w:b w:val="0"/>
          <w:bCs w:val="0"/>
          <w:color w:val="auto"/>
          <w:sz w:val="21"/>
          <w:szCs w:val="21"/>
          <w:highlight w:val="none"/>
        </w:rPr>
        <w:t xml:space="preserve">  </w:t>
      </w:r>
      <w:r>
        <w:rPr>
          <w:rFonts w:hint="eastAsia" w:ascii="宋体" w:hAnsi="宋体" w:eastAsia="宋体" w:cs="宋体"/>
          <w:color w:val="auto"/>
          <w:sz w:val="21"/>
          <w:szCs w:val="21"/>
          <w:highlight w:val="none"/>
        </w:rPr>
        <w:t>本合同</w:t>
      </w:r>
      <w:r>
        <w:rPr>
          <w:rFonts w:hint="eastAsia" w:ascii="宋体" w:hAnsi="宋体" w:eastAsia="宋体" w:cs="宋体"/>
          <w:color w:val="auto"/>
          <w:sz w:val="21"/>
          <w:szCs w:val="21"/>
          <w:highlight w:val="none"/>
          <w:lang w:val="en-US" w:eastAsia="zh-CN"/>
        </w:rPr>
        <w:t>包干总价</w:t>
      </w:r>
      <w:r>
        <w:rPr>
          <w:rFonts w:hint="eastAsia" w:ascii="宋体" w:hAnsi="宋体" w:eastAsia="宋体" w:cs="宋体"/>
          <w:color w:val="auto"/>
          <w:sz w:val="21"/>
          <w:szCs w:val="21"/>
          <w:highlight w:val="none"/>
        </w:rPr>
        <w:t>金额为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元（大写人民币：），此为含税金额，按照现行税收政策规定，应包含税率</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%的增值税，如遇税务政策调整，自税务政策调整之日起，应按本合同金额/（1+增值税税率</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%）计算的不含税价格乘以调整后的税率支付后续合同款项。每次付款前，</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应提前开具等额有效的增值税专用发票，并交付</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未收到</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发票的，可不予付款。</w:t>
      </w:r>
    </w:p>
    <w:p w14:paraId="67F5A06F">
      <w:pPr>
        <w:keepNext w:val="0"/>
        <w:keepLines w:val="0"/>
        <w:pageBreakBefore w:val="0"/>
        <w:kinsoku/>
        <w:wordWrap/>
        <w:overflowPunct/>
        <w:topLinePunct w:val="0"/>
        <w:bidi w:val="0"/>
        <w:spacing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本合同</w:t>
      </w:r>
      <w:r>
        <w:rPr>
          <w:rFonts w:hint="eastAsia" w:ascii="宋体" w:hAnsi="宋体" w:eastAsia="宋体" w:cs="宋体"/>
          <w:color w:val="auto"/>
          <w:sz w:val="21"/>
          <w:szCs w:val="21"/>
          <w:highlight w:val="none"/>
          <w:lang w:val="en-US" w:eastAsia="zh-CN"/>
        </w:rPr>
        <w:t>包干</w:t>
      </w:r>
      <w:r>
        <w:rPr>
          <w:rFonts w:hint="eastAsia" w:ascii="宋体" w:hAnsi="宋体" w:eastAsia="宋体" w:cs="宋体"/>
          <w:color w:val="auto"/>
          <w:sz w:val="21"/>
          <w:szCs w:val="21"/>
          <w:highlight w:val="none"/>
        </w:rPr>
        <w:t>不含税金额为</w:t>
      </w:r>
      <w:r>
        <w:rPr>
          <w:rFonts w:hint="eastAsia" w:ascii="宋体" w:hAnsi="宋体" w:eastAsia="宋体" w:cs="宋体"/>
          <w:color w:val="auto"/>
          <w:sz w:val="21"/>
          <w:szCs w:val="21"/>
          <w:highlight w:val="none"/>
          <w:u w:val="single"/>
          <w:lang w:val="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zh-CN"/>
        </w:rPr>
        <w:t>元（大写人民币：），乙方负责开具发票所需承担的所有税费，包括税务政策调整引起的税费变化等</w:t>
      </w:r>
      <w:r>
        <w:rPr>
          <w:rFonts w:hint="eastAsia" w:ascii="宋体" w:hAnsi="宋体" w:eastAsia="宋体" w:cs="宋体"/>
          <w:color w:val="auto"/>
          <w:sz w:val="21"/>
          <w:szCs w:val="21"/>
          <w:highlight w:val="none"/>
        </w:rPr>
        <w:t>。每次付款前，如约定</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应提前开具等额有效的增值税专用发票并交付</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未收到</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 xml:space="preserve">发票的，可不予付款。                                 </w:t>
      </w:r>
    </w:p>
    <w:p w14:paraId="52E612CC">
      <w:pPr>
        <w:keepNext w:val="0"/>
        <w:keepLines w:val="0"/>
        <w:pageBreakBefore w:val="0"/>
        <w:kinsoku/>
        <w:wordWrap/>
        <w:overflowPunct/>
        <w:topLinePunct w:val="0"/>
        <w:bidi w:val="0"/>
        <w:spacing w:afterLines="0"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u w:val="single"/>
          <w:lang w:val="en-US" w:eastAsia="zh-CN"/>
        </w:rPr>
        <w:t>最终价款</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包括但不限于：（1）人工费；（2）</w:t>
      </w:r>
      <w:r>
        <w:rPr>
          <w:rFonts w:hint="eastAsia" w:ascii="宋体" w:hAnsi="宋体" w:eastAsia="宋体" w:cs="宋体"/>
          <w:color w:val="auto"/>
          <w:sz w:val="21"/>
          <w:szCs w:val="21"/>
          <w:highlight w:val="none"/>
          <w:u w:val="single"/>
          <w:lang w:val="en-US" w:eastAsia="zh-CN"/>
        </w:rPr>
        <w:t>设备材料拆除及安装辅材备件</w:t>
      </w:r>
      <w:r>
        <w:rPr>
          <w:rFonts w:hint="eastAsia" w:ascii="宋体" w:hAnsi="宋体" w:eastAsia="宋体" w:cs="宋体"/>
          <w:color w:val="auto"/>
          <w:sz w:val="21"/>
          <w:szCs w:val="21"/>
          <w:highlight w:val="none"/>
          <w:u w:val="single"/>
        </w:rPr>
        <w:t>费；（3）机械费；（4）管理费；（5）利润；（6）措施项目费</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含脚手架等</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；（7）规费；（8）</w:t>
      </w:r>
      <w:r>
        <w:rPr>
          <w:rFonts w:hint="eastAsia" w:ascii="宋体" w:hAnsi="宋体" w:eastAsia="宋体" w:cs="宋体"/>
          <w:color w:val="auto"/>
          <w:sz w:val="21"/>
          <w:szCs w:val="21"/>
          <w:highlight w:val="none"/>
          <w:u w:val="single"/>
          <w:lang w:val="en-US" w:eastAsia="zh-CN"/>
        </w:rPr>
        <w:t>报装</w:t>
      </w:r>
      <w:r>
        <w:rPr>
          <w:rFonts w:hint="eastAsia" w:ascii="宋体" w:hAnsi="宋体" w:eastAsia="宋体" w:cs="宋体"/>
          <w:color w:val="auto"/>
          <w:sz w:val="21"/>
          <w:szCs w:val="21"/>
          <w:highlight w:val="none"/>
          <w:u w:val="single"/>
        </w:rPr>
        <w:t>、报验及其他项目费用；项目所需受地方行业部门现场监检费用；（9）建设期的工料机差价；（10）税金</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9%专票</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；（11）在完成</w:t>
      </w:r>
      <w:r>
        <w:rPr>
          <w:rFonts w:hint="eastAsia" w:ascii="宋体" w:hAnsi="宋体" w:eastAsia="宋体" w:cs="宋体"/>
          <w:color w:val="auto"/>
          <w:sz w:val="21"/>
          <w:szCs w:val="21"/>
          <w:highlight w:val="none"/>
          <w:u w:val="single"/>
          <w:lang w:val="en-US" w:eastAsia="zh-CN"/>
        </w:rPr>
        <w:t>承包</w:t>
      </w:r>
      <w:r>
        <w:rPr>
          <w:rFonts w:hint="eastAsia" w:ascii="宋体" w:hAnsi="宋体" w:eastAsia="宋体" w:cs="宋体"/>
          <w:color w:val="auto"/>
          <w:sz w:val="21"/>
          <w:szCs w:val="21"/>
          <w:highlight w:val="none"/>
          <w:u w:val="single"/>
        </w:rPr>
        <w:t>范围的工作时与其他</w:t>
      </w:r>
      <w:r>
        <w:rPr>
          <w:rFonts w:hint="eastAsia" w:ascii="宋体" w:hAnsi="宋体" w:eastAsia="宋体" w:cs="宋体"/>
          <w:color w:val="auto"/>
          <w:sz w:val="21"/>
          <w:szCs w:val="21"/>
          <w:highlight w:val="none"/>
          <w:u w:val="single"/>
          <w:lang w:val="en-US" w:eastAsia="zh-CN"/>
        </w:rPr>
        <w:t>单位或</w:t>
      </w:r>
      <w:r>
        <w:rPr>
          <w:rFonts w:hint="eastAsia" w:ascii="宋体" w:hAnsi="宋体" w:eastAsia="宋体" w:cs="宋体"/>
          <w:color w:val="auto"/>
          <w:sz w:val="21"/>
          <w:szCs w:val="21"/>
          <w:highlight w:val="none"/>
          <w:u w:val="single"/>
        </w:rPr>
        <w:t>承包商（包括</w:t>
      </w:r>
      <w:r>
        <w:rPr>
          <w:rFonts w:hint="eastAsia" w:ascii="宋体" w:hAnsi="宋体" w:eastAsia="宋体" w:cs="宋体"/>
          <w:color w:val="auto"/>
          <w:sz w:val="21"/>
          <w:szCs w:val="21"/>
          <w:highlight w:val="none"/>
          <w:u w:val="single"/>
          <w:lang w:val="en-US" w:eastAsia="zh-CN"/>
        </w:rPr>
        <w:t>业主及其他安装/土建</w:t>
      </w:r>
      <w:r>
        <w:rPr>
          <w:rFonts w:hint="eastAsia" w:ascii="宋体" w:hAnsi="宋体" w:eastAsia="宋体" w:cs="宋体"/>
          <w:color w:val="auto"/>
          <w:sz w:val="21"/>
          <w:szCs w:val="21"/>
          <w:highlight w:val="none"/>
          <w:u w:val="single"/>
        </w:rPr>
        <w:t>施工单位）的工作交叉及协调配合费用；（1</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）施工垃圾清理外运费用；（1</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）不超过八小时</w:t>
      </w:r>
      <w:r>
        <w:rPr>
          <w:rFonts w:hint="eastAsia" w:ascii="宋体" w:hAnsi="宋体" w:eastAsia="宋体" w:cs="宋体"/>
          <w:color w:val="auto"/>
          <w:sz w:val="21"/>
          <w:szCs w:val="21"/>
          <w:highlight w:val="none"/>
          <w:u w:val="single"/>
          <w:lang w:eastAsia="zh-CN"/>
        </w:rPr>
        <w:t>甲方</w:t>
      </w:r>
      <w:r>
        <w:rPr>
          <w:rFonts w:hint="eastAsia" w:ascii="宋体" w:hAnsi="宋体" w:eastAsia="宋体" w:cs="宋体"/>
          <w:color w:val="auto"/>
          <w:sz w:val="21"/>
          <w:szCs w:val="21"/>
          <w:highlight w:val="none"/>
          <w:u w:val="single"/>
        </w:rPr>
        <w:t>原因引起的临时停电停水；（</w:t>
      </w:r>
      <w:r>
        <w:rPr>
          <w:rFonts w:hint="eastAsia" w:ascii="宋体" w:hAnsi="宋体" w:eastAsia="宋体" w:cs="宋体"/>
          <w:color w:val="auto"/>
          <w:sz w:val="21"/>
          <w:szCs w:val="21"/>
          <w:highlight w:val="none"/>
          <w:u w:val="single"/>
          <w:lang w:val="en-US" w:eastAsia="zh-CN"/>
        </w:rPr>
        <w:t>14</w:t>
      </w:r>
      <w:r>
        <w:rPr>
          <w:rFonts w:hint="eastAsia" w:ascii="宋体" w:hAnsi="宋体" w:eastAsia="宋体" w:cs="宋体"/>
          <w:color w:val="auto"/>
          <w:sz w:val="21"/>
          <w:szCs w:val="21"/>
          <w:highlight w:val="none"/>
          <w:u w:val="single"/>
        </w:rPr>
        <w:t>）环境保护费；（1</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）工程相关保险；（1</w:t>
      </w:r>
      <w:r>
        <w:rPr>
          <w:rFonts w:hint="eastAsia" w:ascii="宋体" w:hAnsi="宋体" w:eastAsia="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）承包商对本工程的优惠和让利；（1</w:t>
      </w:r>
      <w:r>
        <w:rPr>
          <w:rFonts w:hint="eastAsia" w:ascii="宋体" w:hAnsi="宋体" w:eastAsia="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）大型机械进出场费；（</w:t>
      </w:r>
      <w:r>
        <w:rPr>
          <w:rFonts w:hint="eastAsia" w:ascii="宋体" w:hAnsi="宋体" w:eastAsia="宋体" w:cs="宋体"/>
          <w:color w:val="auto"/>
          <w:sz w:val="21"/>
          <w:szCs w:val="21"/>
          <w:highlight w:val="none"/>
          <w:u w:val="single"/>
          <w:lang w:val="en-US" w:eastAsia="zh-CN"/>
        </w:rPr>
        <w:t>18</w:t>
      </w:r>
      <w:r>
        <w:rPr>
          <w:rFonts w:hint="eastAsia" w:ascii="宋体" w:hAnsi="宋体" w:eastAsia="宋体" w:cs="宋体"/>
          <w:color w:val="auto"/>
          <w:sz w:val="21"/>
          <w:szCs w:val="21"/>
          <w:highlight w:val="none"/>
          <w:u w:val="single"/>
        </w:rPr>
        <w:t>）本工程全部设备及材料装卸费用(包干使用)，施工材料的第三方送检、复检、检测费用 ；(</w:t>
      </w:r>
      <w:r>
        <w:rPr>
          <w:rFonts w:hint="eastAsia" w:ascii="宋体" w:hAnsi="宋体" w:eastAsia="宋体" w:cs="宋体"/>
          <w:color w:val="auto"/>
          <w:sz w:val="21"/>
          <w:szCs w:val="21"/>
          <w:highlight w:val="none"/>
          <w:u w:val="single"/>
          <w:lang w:val="en-US" w:eastAsia="zh-CN"/>
        </w:rPr>
        <w:t>19</w:t>
      </w:r>
      <w:r>
        <w:rPr>
          <w:rFonts w:hint="eastAsia" w:ascii="宋体" w:hAnsi="宋体" w:eastAsia="宋体" w:cs="宋体"/>
          <w:color w:val="auto"/>
          <w:sz w:val="21"/>
          <w:szCs w:val="21"/>
          <w:highlight w:val="none"/>
          <w:u w:val="single"/>
        </w:rPr>
        <w:t>) 易损易丢防潮设备仓库及看管费用； (</w:t>
      </w:r>
      <w:r>
        <w:rPr>
          <w:rFonts w:hint="eastAsia" w:ascii="宋体" w:hAnsi="宋体" w:eastAsia="宋体" w:cs="宋体"/>
          <w:color w:val="auto"/>
          <w:sz w:val="21"/>
          <w:szCs w:val="21"/>
          <w:highlight w:val="none"/>
          <w:u w:val="single"/>
          <w:lang w:val="en-US" w:eastAsia="zh-CN"/>
        </w:rPr>
        <w:t>20</w:t>
      </w:r>
      <w:r>
        <w:rPr>
          <w:rFonts w:hint="eastAsia" w:ascii="宋体" w:hAnsi="宋体" w:eastAsia="宋体" w:cs="宋体"/>
          <w:color w:val="auto"/>
          <w:sz w:val="21"/>
          <w:szCs w:val="21"/>
          <w:highlight w:val="none"/>
          <w:u w:val="single"/>
        </w:rPr>
        <w:t>)安全文明施工措施费用 ；(</w:t>
      </w:r>
      <w:r>
        <w:rPr>
          <w:rFonts w:hint="eastAsia" w:ascii="宋体" w:hAnsi="宋体" w:eastAsia="宋体" w:cs="宋体"/>
          <w:color w:val="auto"/>
          <w:sz w:val="21"/>
          <w:szCs w:val="21"/>
          <w:highlight w:val="none"/>
          <w:u w:val="single"/>
          <w:lang w:val="en-US" w:eastAsia="zh-CN"/>
        </w:rPr>
        <w:t>21</w:t>
      </w:r>
      <w:r>
        <w:rPr>
          <w:rFonts w:hint="eastAsia" w:ascii="宋体" w:hAnsi="宋体" w:eastAsia="宋体" w:cs="宋体"/>
          <w:color w:val="auto"/>
          <w:sz w:val="21"/>
          <w:szCs w:val="21"/>
          <w:highlight w:val="none"/>
          <w:u w:val="single"/>
        </w:rPr>
        <w:t>)分部调试费用及整组联合启动调试</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依据甲方/业主/相关部门要求</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 (2</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)特殊设备(锅炉压力容器、压力管道等)安装试验报验报检费用</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无损检测方法及数量依照项目所在地锅检所要求</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；（2</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设备及材料场内转运费用，保温工程、防磨喷涂、浇注料包工包料及施工费用</w:t>
      </w:r>
      <w:r>
        <w:rPr>
          <w:rFonts w:hint="eastAsia" w:ascii="宋体" w:hAnsi="宋体" w:eastAsia="宋体" w:cs="宋体"/>
          <w:color w:val="auto"/>
          <w:sz w:val="21"/>
          <w:szCs w:val="21"/>
          <w:highlight w:val="none"/>
          <w:u w:val="single"/>
        </w:rPr>
        <w:t>；（2</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）因工期要求而造成的人员加班赶工费（</w:t>
      </w:r>
      <w:r>
        <w:rPr>
          <w:rFonts w:hint="eastAsia" w:ascii="宋体" w:hAnsi="宋体" w:eastAsia="宋体" w:cs="宋体"/>
          <w:b/>
          <w:bCs/>
          <w:color w:val="auto"/>
          <w:sz w:val="21"/>
          <w:szCs w:val="21"/>
          <w:highlight w:val="none"/>
          <w:u w:val="single"/>
          <w:lang w:val="en-US" w:eastAsia="zh-CN"/>
        </w:rPr>
        <w:t>春节等</w:t>
      </w:r>
      <w:r>
        <w:rPr>
          <w:rFonts w:hint="eastAsia" w:ascii="宋体" w:hAnsi="宋体" w:eastAsia="宋体" w:cs="宋体"/>
          <w:color w:val="auto"/>
          <w:sz w:val="21"/>
          <w:szCs w:val="21"/>
          <w:highlight w:val="none"/>
          <w:u w:val="single"/>
        </w:rPr>
        <w:t>节假日加班费，</w:t>
      </w:r>
      <w:r>
        <w:rPr>
          <w:rFonts w:hint="eastAsia" w:ascii="宋体" w:hAnsi="宋体" w:eastAsia="宋体" w:cs="宋体"/>
          <w:color w:val="auto"/>
          <w:sz w:val="21"/>
          <w:szCs w:val="21"/>
          <w:highlight w:val="none"/>
          <w:u w:val="single"/>
          <w:lang w:val="en-US" w:eastAsia="zh-CN"/>
        </w:rPr>
        <w:t>夜间加班、倒班</w:t>
      </w:r>
      <w:r>
        <w:rPr>
          <w:rFonts w:hint="eastAsia" w:ascii="宋体" w:hAnsi="宋体" w:eastAsia="宋体" w:cs="宋体"/>
          <w:color w:val="auto"/>
          <w:sz w:val="21"/>
          <w:szCs w:val="21"/>
          <w:highlight w:val="none"/>
          <w:u w:val="single"/>
        </w:rPr>
        <w:t>施工费等）</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25</w:t>
      </w:r>
      <w:r>
        <w:rPr>
          <w:rFonts w:hint="eastAsia" w:ascii="宋体" w:hAnsi="宋体" w:eastAsia="宋体" w:cs="宋体"/>
          <w:color w:val="auto"/>
          <w:sz w:val="21"/>
          <w:szCs w:val="21"/>
          <w:highlight w:val="none"/>
          <w:u w:val="single"/>
        </w:rPr>
        <w:t>）由于无法同步施工造成的窝工费用</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26</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其他不可预见费用等</w:t>
      </w:r>
      <w:r>
        <w:rPr>
          <w:rFonts w:hint="eastAsia" w:ascii="宋体" w:hAnsi="宋体" w:eastAsia="宋体" w:cs="宋体"/>
          <w:color w:val="auto"/>
          <w:sz w:val="21"/>
          <w:szCs w:val="21"/>
          <w:highlight w:val="none"/>
          <w:u w:val="single"/>
        </w:rPr>
        <w:t>。</w:t>
      </w:r>
    </w:p>
    <w:p w14:paraId="4E3CF62C">
      <w:pPr>
        <w:keepNext w:val="0"/>
        <w:keepLines w:val="0"/>
        <w:pageBreakBefore w:val="0"/>
        <w:kinsoku/>
        <w:wordWrap/>
        <w:overflowPunct/>
        <w:topLinePunct w:val="0"/>
        <w:bidi w:val="0"/>
        <w:spacing w:afterLines="0" w:line="360" w:lineRule="auto"/>
        <w:ind w:left="260" w:leftChars="124" w:firstLine="226" w:firstLineChars="98"/>
        <w:textAlignment w:val="auto"/>
        <w:rPr>
          <w:rFonts w:hint="eastAsia" w:ascii="宋体" w:hAnsi="宋体" w:eastAsia="宋体" w:cs="宋体"/>
          <w:b/>
          <w:bCs/>
          <w:color w:val="auto"/>
          <w:spacing w:val="10"/>
          <w:sz w:val="21"/>
          <w:szCs w:val="21"/>
          <w:highlight w:val="none"/>
          <w:lang w:eastAsia="zh-CN"/>
        </w:rPr>
      </w:pPr>
      <w:r>
        <w:rPr>
          <w:rFonts w:hint="eastAsia" w:ascii="宋体" w:hAnsi="宋体" w:eastAsia="宋体" w:cs="宋体"/>
          <w:b/>
          <w:bCs/>
          <w:color w:val="auto"/>
          <w:spacing w:val="10"/>
          <w:sz w:val="21"/>
          <w:szCs w:val="21"/>
          <w:highlight w:val="none"/>
        </w:rPr>
        <w:t xml:space="preserve">第四条  </w:t>
      </w:r>
      <w:r>
        <w:rPr>
          <w:rFonts w:hint="eastAsia" w:ascii="宋体" w:hAnsi="宋体" w:eastAsia="宋体" w:cs="宋体"/>
          <w:b/>
          <w:bCs/>
          <w:color w:val="auto"/>
          <w:spacing w:val="10"/>
          <w:sz w:val="21"/>
          <w:szCs w:val="21"/>
          <w:highlight w:val="none"/>
          <w:lang w:val="en-US" w:eastAsia="zh-CN"/>
        </w:rPr>
        <w:t>工期要求</w:t>
      </w:r>
      <w:r>
        <w:rPr>
          <w:rFonts w:hint="eastAsia" w:ascii="宋体" w:hAnsi="宋体" w:eastAsia="宋体" w:cs="宋体"/>
          <w:b/>
          <w:bCs/>
          <w:color w:val="auto"/>
          <w:spacing w:val="10"/>
          <w:sz w:val="21"/>
          <w:szCs w:val="21"/>
          <w:highlight w:val="none"/>
          <w:lang w:eastAsia="zh-CN"/>
        </w:rPr>
        <w:t>：</w:t>
      </w:r>
    </w:p>
    <w:p w14:paraId="388C7C56">
      <w:pPr>
        <w:keepNext w:val="0"/>
        <w:keepLines w:val="0"/>
        <w:pageBreakBefore w:val="0"/>
        <w:kinsoku/>
        <w:wordWrap/>
        <w:overflowPunct/>
        <w:topLinePunct w:val="0"/>
        <w:bidi w:val="0"/>
        <w:spacing w:afterLines="0"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w:t>
      </w:r>
      <w:r>
        <w:rPr>
          <w:rFonts w:hint="eastAsia" w:ascii="宋体" w:hAnsi="宋体" w:eastAsia="宋体" w:cs="宋体"/>
          <w:color w:val="auto"/>
          <w:kern w:val="0"/>
          <w:sz w:val="21"/>
          <w:szCs w:val="21"/>
          <w:highlight w:val="none"/>
          <w:lang w:val="en-US" w:eastAsia="zh-CN"/>
        </w:rPr>
        <w:t>工期</w:t>
      </w:r>
      <w:r>
        <w:rPr>
          <w:rFonts w:hint="eastAsia" w:ascii="宋体" w:hAnsi="宋体" w:eastAsia="宋体" w:cs="宋体"/>
          <w:color w:val="auto"/>
          <w:kern w:val="0"/>
          <w:sz w:val="21"/>
          <w:szCs w:val="21"/>
          <w:highlight w:val="none"/>
        </w:rPr>
        <w:t>：</w:t>
      </w:r>
    </w:p>
    <w:p w14:paraId="19EDACD0">
      <w:pPr>
        <w:keepNext w:val="0"/>
        <w:keepLines w:val="0"/>
        <w:pageBreakBefore w:val="0"/>
        <w:kinsoku/>
        <w:wordWrap/>
        <w:overflowPunct/>
        <w:topLinePunct w:val="0"/>
        <w:bidi w:val="0"/>
        <w:spacing w:afterLines="0"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（1）7#、8#余热锅炉汽化烟道Ⅰ段施工总工期为10天，预计施工时间为2025年1月5日-2025年1月14日（具体开工时间以甲方发出的开工通知为准）；</w:t>
      </w:r>
    </w:p>
    <w:p w14:paraId="3182A25D">
      <w:pPr>
        <w:keepNext w:val="0"/>
        <w:keepLines w:val="0"/>
        <w:pageBreakBefore w:val="0"/>
        <w:kinsoku/>
        <w:wordWrap/>
        <w:overflowPunct/>
        <w:topLinePunct w:val="0"/>
        <w:bidi w:val="0"/>
        <w:spacing w:afterLines="0"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（2）5#、6#余热锅炉汽化烟道Ⅰ段施工总工期为10天，预计施工时间为2025年1月17日-2025年1月26日（具体开工时间以甲方发出的开工通知为准）；</w:t>
      </w:r>
    </w:p>
    <w:p w14:paraId="4A738F53">
      <w:pPr>
        <w:keepNext w:val="0"/>
        <w:keepLines w:val="0"/>
        <w:pageBreakBefore w:val="0"/>
        <w:kinsoku/>
        <w:wordWrap/>
        <w:overflowPunct/>
        <w:topLinePunct w:val="0"/>
        <w:bidi w:val="0"/>
        <w:spacing w:afterLines="0"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（3）乙方需考虑可能有部分工作在春节期间施工，具体可见本合同技术规范书相关描述。如遇特殊情况（设计变更﹑工作量变化﹑不可抗力影响以及非乙方原因造成的停﹑窝工等）时，工期经甲方</w:t>
      </w:r>
      <w:r>
        <w:rPr>
          <w:rFonts w:hint="eastAsia" w:ascii="宋体" w:hAnsi="宋体" w:eastAsia="宋体" w:cs="宋体"/>
          <w:color w:val="auto"/>
          <w:kern w:val="0"/>
          <w:sz w:val="21"/>
          <w:szCs w:val="21"/>
          <w:highlight w:val="none"/>
          <w:lang w:val="en-US" w:eastAsia="zh-CN"/>
        </w:rPr>
        <w:fldChar w:fldCharType="begin"/>
      </w:r>
      <w:r>
        <w:rPr>
          <w:rFonts w:hint="eastAsia" w:ascii="宋体" w:hAnsi="宋体" w:eastAsia="宋体" w:cs="宋体"/>
          <w:color w:val="auto"/>
          <w:kern w:val="0"/>
          <w:sz w:val="21"/>
          <w:szCs w:val="21"/>
          <w:highlight w:val="none"/>
          <w:lang w:val="en-US" w:eastAsia="zh-CN"/>
        </w:rPr>
        <w:instrText xml:space="preserve"> HYPERLINK "http://www.66law.cn/special/qz/" \o "签证" \t "_blank" </w:instrText>
      </w:r>
      <w:r>
        <w:rPr>
          <w:rFonts w:hint="eastAsia" w:ascii="宋体" w:hAnsi="宋体" w:eastAsia="宋体" w:cs="宋体"/>
          <w:color w:val="auto"/>
          <w:kern w:val="0"/>
          <w:sz w:val="21"/>
          <w:szCs w:val="21"/>
          <w:highlight w:val="none"/>
          <w:lang w:val="en-US" w:eastAsia="zh-CN"/>
        </w:rPr>
        <w:fldChar w:fldCharType="separate"/>
      </w:r>
      <w:r>
        <w:rPr>
          <w:rFonts w:hint="eastAsia" w:ascii="宋体" w:hAnsi="宋体" w:eastAsia="宋体" w:cs="宋体"/>
          <w:color w:val="auto"/>
          <w:kern w:val="0"/>
          <w:sz w:val="21"/>
          <w:szCs w:val="21"/>
          <w:highlight w:val="none"/>
          <w:lang w:val="en-US" w:eastAsia="zh-CN"/>
        </w:rPr>
        <w:t>签证</w:t>
      </w:r>
      <w:r>
        <w:rPr>
          <w:rFonts w:hint="eastAsia" w:ascii="宋体" w:hAnsi="宋体" w:eastAsia="宋体" w:cs="宋体"/>
          <w:color w:val="auto"/>
          <w:kern w:val="0"/>
          <w:sz w:val="21"/>
          <w:szCs w:val="21"/>
          <w:highlight w:val="none"/>
          <w:lang w:val="en-US" w:eastAsia="zh-CN"/>
        </w:rPr>
        <w:fldChar w:fldCharType="end"/>
      </w:r>
      <w:r>
        <w:rPr>
          <w:rFonts w:hint="eastAsia" w:ascii="宋体" w:hAnsi="宋体" w:eastAsia="宋体" w:cs="宋体"/>
          <w:color w:val="auto"/>
          <w:kern w:val="0"/>
          <w:sz w:val="21"/>
          <w:szCs w:val="21"/>
          <w:highlight w:val="none"/>
          <w:lang w:val="en-US" w:eastAsia="zh-CN"/>
        </w:rPr>
        <w:t>后顺延。</w:t>
      </w:r>
    </w:p>
    <w:p w14:paraId="1FD6890C">
      <w:pPr>
        <w:keepNext w:val="0"/>
        <w:keepLines w:val="0"/>
        <w:pageBreakBefore w:val="0"/>
        <w:kinsoku/>
        <w:wordWrap/>
        <w:overflowPunct/>
        <w:topLinePunct w:val="0"/>
        <w:bidi w:val="0"/>
        <w:spacing w:afterLines="0" w:line="360" w:lineRule="auto"/>
        <w:ind w:firstLine="411"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如遇下列情况，经</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现场代表</w:t>
      </w:r>
      <w:r>
        <w:rPr>
          <w:rFonts w:hint="eastAsia" w:ascii="宋体" w:hAnsi="宋体" w:eastAsia="宋体" w:cs="宋体"/>
          <w:color w:val="auto"/>
          <w:kern w:val="0"/>
          <w:sz w:val="21"/>
          <w:szCs w:val="21"/>
          <w:highlight w:val="none"/>
          <w:lang w:val="en-US" w:eastAsia="zh-CN"/>
        </w:rPr>
        <w:t>签字</w:t>
      </w:r>
      <w:r>
        <w:rPr>
          <w:rFonts w:hint="eastAsia" w:ascii="宋体" w:hAnsi="宋体" w:eastAsia="宋体" w:cs="宋体"/>
          <w:color w:val="auto"/>
          <w:kern w:val="0"/>
          <w:sz w:val="21"/>
          <w:szCs w:val="21"/>
          <w:highlight w:val="none"/>
        </w:rPr>
        <w:t>确认，工期相应顺延：</w:t>
      </w:r>
    </w:p>
    <w:p w14:paraId="0878E83E">
      <w:pPr>
        <w:keepNext w:val="0"/>
        <w:keepLines w:val="0"/>
        <w:pageBreakBefore w:val="0"/>
        <w:kinsoku/>
        <w:wordWrap/>
        <w:overflowPunct/>
        <w:topLinePunct w:val="0"/>
        <w:bidi w:val="0"/>
        <w:spacing w:afterLines="0" w:line="360" w:lineRule="auto"/>
        <w:ind w:firstLine="411"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未能按约定</w:t>
      </w:r>
      <w:r>
        <w:rPr>
          <w:rFonts w:hint="eastAsia" w:ascii="宋体" w:hAnsi="宋体" w:eastAsia="宋体" w:cs="宋体"/>
          <w:color w:val="auto"/>
          <w:kern w:val="0"/>
          <w:sz w:val="21"/>
          <w:szCs w:val="21"/>
          <w:highlight w:val="none"/>
          <w:lang w:val="en-US" w:eastAsia="zh-CN"/>
        </w:rPr>
        <w:t>时间</w:t>
      </w:r>
      <w:r>
        <w:rPr>
          <w:rFonts w:hint="eastAsia" w:ascii="宋体" w:hAnsi="宋体" w:eastAsia="宋体" w:cs="宋体"/>
          <w:color w:val="auto"/>
          <w:kern w:val="0"/>
          <w:sz w:val="21"/>
          <w:szCs w:val="21"/>
          <w:highlight w:val="none"/>
        </w:rPr>
        <w:t>具备</w:t>
      </w:r>
      <w:r>
        <w:rPr>
          <w:rFonts w:hint="eastAsia" w:ascii="宋体" w:hAnsi="宋体" w:eastAsia="宋体" w:cs="宋体"/>
          <w:color w:val="auto"/>
          <w:kern w:val="0"/>
          <w:sz w:val="21"/>
          <w:szCs w:val="21"/>
          <w:highlight w:val="none"/>
          <w:lang w:val="en-US" w:eastAsia="zh-CN"/>
        </w:rPr>
        <w:t>停炉</w:t>
      </w:r>
      <w:r>
        <w:rPr>
          <w:rFonts w:hint="eastAsia" w:ascii="宋体" w:hAnsi="宋体" w:eastAsia="宋体" w:cs="宋体"/>
          <w:color w:val="auto"/>
          <w:kern w:val="0"/>
          <w:sz w:val="21"/>
          <w:szCs w:val="21"/>
          <w:highlight w:val="none"/>
        </w:rPr>
        <w:t>条件；</w:t>
      </w:r>
    </w:p>
    <w:p w14:paraId="6C781A54">
      <w:pPr>
        <w:keepNext w:val="0"/>
        <w:keepLines w:val="0"/>
        <w:pageBreakBefore w:val="0"/>
        <w:kinsoku/>
        <w:wordWrap/>
        <w:overflowPunct/>
        <w:topLinePunct w:val="0"/>
        <w:bidi w:val="0"/>
        <w:spacing w:afterLines="0" w:line="360" w:lineRule="auto"/>
        <w:ind w:firstLine="411"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(2)在施工中如因停电、停水</w:t>
      </w:r>
      <w:r>
        <w:rPr>
          <w:rFonts w:hint="eastAsia" w:ascii="宋体" w:hAnsi="宋体" w:eastAsia="宋体" w:cs="宋体"/>
          <w:color w:val="auto"/>
          <w:kern w:val="0"/>
          <w:sz w:val="21"/>
          <w:szCs w:val="21"/>
          <w:highlight w:val="none"/>
          <w:lang w:val="en-US" w:eastAsia="zh-CN"/>
        </w:rPr>
        <w:t>24</w:t>
      </w:r>
      <w:r>
        <w:rPr>
          <w:rFonts w:hint="eastAsia" w:ascii="宋体" w:hAnsi="宋体" w:eastAsia="宋体" w:cs="宋体"/>
          <w:color w:val="auto"/>
          <w:kern w:val="0"/>
          <w:sz w:val="21"/>
          <w:szCs w:val="21"/>
          <w:highlight w:val="none"/>
        </w:rPr>
        <w:t>小时以上或连续间歇性停水、停电3天以上（每次连续3小时以上），影响正常施工；</w:t>
      </w:r>
    </w:p>
    <w:p w14:paraId="5EFF4F50">
      <w:pPr>
        <w:keepNext w:val="0"/>
        <w:keepLines w:val="0"/>
        <w:pageBreakBefore w:val="0"/>
        <w:kinsoku/>
        <w:wordWrap/>
        <w:overflowPunct/>
        <w:topLinePunct w:val="0"/>
        <w:bidi w:val="0"/>
        <w:spacing w:afterLines="0" w:line="360" w:lineRule="auto"/>
        <w:ind w:firstLine="411"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不可抗力</w:t>
      </w:r>
      <w:r>
        <w:rPr>
          <w:rFonts w:hint="eastAsia" w:ascii="宋体" w:hAnsi="宋体" w:eastAsia="宋体" w:cs="宋体"/>
          <w:color w:val="auto"/>
          <w:kern w:val="0"/>
          <w:sz w:val="21"/>
          <w:szCs w:val="21"/>
          <w:highlight w:val="none"/>
        </w:rPr>
        <w:t>因素而延误工期。</w:t>
      </w:r>
    </w:p>
    <w:p w14:paraId="07DA38A2">
      <w:pPr>
        <w:keepNext w:val="0"/>
        <w:keepLines w:val="0"/>
        <w:pageBreakBefore w:val="0"/>
        <w:kinsoku/>
        <w:wordWrap/>
        <w:overflowPunct/>
        <w:topLinePunct w:val="0"/>
        <w:bidi w:val="0"/>
        <w:spacing w:afterLines="0" w:line="360" w:lineRule="auto"/>
        <w:ind w:firstLine="413" w:firstLineChars="196"/>
        <w:textAlignment w:val="auto"/>
        <w:rPr>
          <w:rFonts w:hint="eastAsia" w:ascii="宋体" w:hAnsi="宋体" w:eastAsia="宋体" w:cs="宋体"/>
          <w:b/>
          <w:bCs/>
          <w:color w:val="auto"/>
          <w:sz w:val="21"/>
          <w:szCs w:val="21"/>
          <w:highlight w:val="none"/>
          <w:lang w:eastAsia="zh-CN"/>
        </w:rPr>
      </w:pPr>
      <w:bookmarkStart w:id="137" w:name="材料设备供应1"/>
      <w:r>
        <w:rPr>
          <w:rFonts w:hint="eastAsia" w:ascii="宋体" w:hAnsi="宋体" w:eastAsia="宋体" w:cs="宋体"/>
          <w:b/>
          <w:bCs/>
          <w:color w:val="auto"/>
          <w:sz w:val="21"/>
          <w:szCs w:val="21"/>
          <w:highlight w:val="none"/>
        </w:rPr>
        <w:t>第五条  材料设备供应</w:t>
      </w:r>
      <w:bookmarkEnd w:id="137"/>
      <w:r>
        <w:rPr>
          <w:rFonts w:hint="eastAsia" w:ascii="宋体" w:hAnsi="宋体" w:eastAsia="宋体" w:cs="宋体"/>
          <w:b/>
          <w:bCs/>
          <w:color w:val="auto"/>
          <w:sz w:val="21"/>
          <w:szCs w:val="21"/>
          <w:highlight w:val="none"/>
          <w:lang w:eastAsia="zh-CN"/>
        </w:rPr>
        <w:t>：</w:t>
      </w:r>
    </w:p>
    <w:p w14:paraId="4962D332">
      <w:pPr>
        <w:keepNext w:val="0"/>
        <w:keepLines w:val="0"/>
        <w:pageBreakBefore w:val="0"/>
        <w:kinsoku/>
        <w:wordWrap/>
        <w:overflowPunct/>
        <w:topLinePunct w:val="0"/>
        <w:bidi w:val="0"/>
        <w:spacing w:afterLines="0" w:line="360" w:lineRule="auto"/>
        <w:ind w:firstLine="411" w:firstLineChars="196"/>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5.1</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供应材料设备</w:t>
      </w:r>
    </w:p>
    <w:p w14:paraId="118B1D22">
      <w:pPr>
        <w:keepNext w:val="0"/>
        <w:keepLines w:val="0"/>
        <w:pageBreakBefore w:val="0"/>
        <w:kinsoku/>
        <w:wordWrap/>
        <w:overflowPunct/>
        <w:topLinePunct w:val="0"/>
        <w:bidi w:val="0"/>
        <w:spacing w:afterLines="0" w:line="360" w:lineRule="auto"/>
        <w:ind w:firstLine="411"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5.1.1实行</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供应材料设备的，双方应当约定</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供应材料设备的一览表。</w:t>
      </w:r>
    </w:p>
    <w:p w14:paraId="19F9D127">
      <w:pPr>
        <w:keepNext w:val="0"/>
        <w:keepLines w:val="0"/>
        <w:pageBreakBefore w:val="0"/>
        <w:kinsoku/>
        <w:wordWrap/>
        <w:overflowPunct/>
        <w:topLinePunct w:val="0"/>
        <w:bidi w:val="0"/>
        <w:spacing w:afterLines="0" w:line="360" w:lineRule="auto"/>
        <w:ind w:firstLine="411"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5.1.2</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按一览表约定的内容提供材料设备，并向</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提供产品合格证明，对其质量负责。</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在所供材料设备到货前24小时，以书面形式通知</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，由</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派人与</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共同清点。</w:t>
      </w:r>
    </w:p>
    <w:p w14:paraId="11FBED9B">
      <w:pPr>
        <w:keepNext w:val="0"/>
        <w:keepLines w:val="0"/>
        <w:pageBreakBefore w:val="0"/>
        <w:kinsoku/>
        <w:wordWrap/>
        <w:overflowPunct/>
        <w:topLinePunct w:val="0"/>
        <w:bidi w:val="0"/>
        <w:spacing w:afterLines="0" w:line="360" w:lineRule="auto"/>
        <w:ind w:firstLine="411"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5.1.3</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供应的材料设备，</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派人参加清点后由</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妥善保管。因</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原因发生丢失损坏，由</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负责赔偿。</w:t>
      </w:r>
    </w:p>
    <w:p w14:paraId="1476DBC0">
      <w:pPr>
        <w:keepNext w:val="0"/>
        <w:keepLines w:val="0"/>
        <w:pageBreakBefore w:val="0"/>
        <w:kinsoku/>
        <w:wordWrap/>
        <w:overflowPunct/>
        <w:topLinePunct w:val="0"/>
        <w:bidi w:val="0"/>
        <w:spacing w:afterLines="0" w:line="360" w:lineRule="auto"/>
        <w:ind w:firstLine="411"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采购材料设备</w:t>
      </w:r>
    </w:p>
    <w:p w14:paraId="374041CD">
      <w:pPr>
        <w:keepNext w:val="0"/>
        <w:keepLines w:val="0"/>
        <w:pageBreakBefore w:val="0"/>
        <w:kinsoku/>
        <w:wordWrap/>
        <w:overflowPunct/>
        <w:topLinePunct w:val="0"/>
        <w:bidi w:val="0"/>
        <w:spacing w:afterLines="0" w:line="360" w:lineRule="auto"/>
        <w:ind w:firstLine="411"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5.2.1</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负责采购材料设备的，应按照专用条款约定及设计和有关标准要求采购，并提供产品合格证明，对材料设备质量负责。</w:t>
      </w:r>
    </w:p>
    <w:p w14:paraId="01BA9160">
      <w:pPr>
        <w:keepNext w:val="0"/>
        <w:keepLines w:val="0"/>
        <w:pageBreakBefore w:val="0"/>
        <w:kinsoku/>
        <w:wordWrap/>
        <w:overflowPunct/>
        <w:topLinePunct w:val="0"/>
        <w:bidi w:val="0"/>
        <w:spacing w:afterLines="0" w:line="360" w:lineRule="auto"/>
        <w:ind w:firstLine="411"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5.2.2</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采购的材料设备与设计或标准要求不符时，</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应按工程师要求的时间运出施工场地，重新采购符合要求的产品，承担由此发生的费用，由此延误的工期不予顺延。</w:t>
      </w:r>
    </w:p>
    <w:p w14:paraId="5E36AFAE">
      <w:pPr>
        <w:keepNext w:val="0"/>
        <w:keepLines w:val="0"/>
        <w:pageBreakBefore w:val="0"/>
        <w:kinsoku/>
        <w:wordWrap/>
        <w:overflowPunct/>
        <w:topLinePunct w:val="0"/>
        <w:bidi w:val="0"/>
        <w:spacing w:afterLines="0" w:line="360" w:lineRule="auto"/>
        <w:ind w:firstLine="411"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5.2.3</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采购的材料设备在使用前，</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应按工程师的要求进行检验或试验，不合格的不得使用，检验或试验费用由</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承担。</w:t>
      </w:r>
    </w:p>
    <w:p w14:paraId="1D8D2F38">
      <w:pPr>
        <w:keepNext w:val="0"/>
        <w:keepLines w:val="0"/>
        <w:pageBreakBefore w:val="0"/>
        <w:kinsoku/>
        <w:wordWrap/>
        <w:overflowPunct/>
        <w:topLinePunct w:val="0"/>
        <w:bidi w:val="0"/>
        <w:spacing w:afterLines="0" w:line="360" w:lineRule="auto"/>
        <w:ind w:firstLine="411"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5.2.4工程师发现</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采购并使用不符合设计或标准要求的材料设备时，应要求由</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负责修复、拆除或重新采购，并承担发生的费用，由此延误的工期不予顺延。</w:t>
      </w:r>
    </w:p>
    <w:p w14:paraId="6FF6BEAD">
      <w:pPr>
        <w:keepNext w:val="0"/>
        <w:keepLines w:val="0"/>
        <w:pageBreakBefore w:val="0"/>
        <w:tabs>
          <w:tab w:val="left" w:pos="1281"/>
        </w:tabs>
        <w:kinsoku/>
        <w:wordWrap/>
        <w:overflowPunct/>
        <w:topLinePunct w:val="0"/>
        <w:bidi w:val="0"/>
        <w:spacing w:afterLines="0" w:line="360" w:lineRule="auto"/>
        <w:ind w:firstLine="452" w:firstLineChars="196"/>
        <w:textAlignment w:val="auto"/>
        <w:rPr>
          <w:rFonts w:hint="eastAsia" w:ascii="宋体" w:hAnsi="宋体" w:eastAsia="宋体" w:cs="宋体"/>
          <w:b/>
          <w:bCs/>
          <w:color w:val="auto"/>
          <w:spacing w:val="10"/>
          <w:sz w:val="21"/>
          <w:szCs w:val="21"/>
          <w:highlight w:val="none"/>
        </w:rPr>
      </w:pPr>
      <w:r>
        <w:rPr>
          <w:rFonts w:hint="eastAsia" w:ascii="宋体" w:hAnsi="宋体" w:eastAsia="宋体" w:cs="宋体"/>
          <w:b/>
          <w:bCs/>
          <w:color w:val="auto"/>
          <w:spacing w:val="10"/>
          <w:sz w:val="21"/>
          <w:szCs w:val="21"/>
          <w:highlight w:val="none"/>
        </w:rPr>
        <w:t>第六条  质量与检查</w:t>
      </w:r>
    </w:p>
    <w:p w14:paraId="638A2E28">
      <w:pPr>
        <w:keepNext w:val="0"/>
        <w:keepLines w:val="0"/>
        <w:pageBreakBefore w:val="0"/>
        <w:tabs>
          <w:tab w:val="left" w:pos="1011"/>
        </w:tabs>
        <w:kinsoku/>
        <w:wordWrap/>
        <w:overflowPunct/>
        <w:topLinePunct w:val="0"/>
        <w:bidi w:val="0"/>
        <w:spacing w:afterLines="0" w:line="360" w:lineRule="auto"/>
        <w:ind w:firstLine="460" w:firstLineChars="200"/>
        <w:textAlignment w:val="auto"/>
        <w:rPr>
          <w:rFonts w:hint="eastAsia" w:ascii="宋体" w:hAnsi="宋体" w:eastAsia="宋体" w:cs="宋体"/>
          <w:color w:val="auto"/>
          <w:spacing w:val="10"/>
          <w:sz w:val="21"/>
          <w:szCs w:val="21"/>
          <w:highlight w:val="none"/>
        </w:rPr>
      </w:pPr>
      <w:r>
        <w:rPr>
          <w:rFonts w:hint="eastAsia" w:ascii="宋体" w:hAnsi="宋体" w:eastAsia="宋体" w:cs="宋体"/>
          <w:bCs/>
          <w:color w:val="auto"/>
          <w:spacing w:val="10"/>
          <w:sz w:val="21"/>
          <w:szCs w:val="21"/>
          <w:highlight w:val="none"/>
        </w:rPr>
        <w:t>6.1</w:t>
      </w:r>
      <w:r>
        <w:rPr>
          <w:rFonts w:hint="eastAsia" w:ascii="宋体" w:hAnsi="宋体" w:eastAsia="宋体" w:cs="宋体"/>
          <w:color w:val="auto"/>
          <w:spacing w:val="10"/>
          <w:sz w:val="21"/>
          <w:szCs w:val="21"/>
          <w:highlight w:val="none"/>
        </w:rPr>
        <w:t>工程质量</w:t>
      </w:r>
    </w:p>
    <w:p w14:paraId="452AC27D">
      <w:pPr>
        <w:keepNext w:val="0"/>
        <w:keepLines w:val="0"/>
        <w:pageBreakBefore w:val="0"/>
        <w:kinsoku/>
        <w:wordWrap/>
        <w:overflowPunct/>
        <w:topLinePunct w:val="0"/>
        <w:bidi w:val="0"/>
        <w:spacing w:afterLines="0"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工程质量标准的评定以现行国家或行业的质量检验评定标准为依据，并符合</w:t>
      </w:r>
      <w:r>
        <w:rPr>
          <w:rFonts w:hint="eastAsia" w:ascii="宋体" w:hAnsi="宋体" w:eastAsia="宋体" w:cs="宋体"/>
          <w:color w:val="auto"/>
          <w:sz w:val="21"/>
          <w:szCs w:val="21"/>
          <w:highlight w:val="none"/>
          <w:u w:val="single"/>
          <w:lang w:eastAsia="zh-CN"/>
        </w:rPr>
        <w:t>甲方</w:t>
      </w:r>
      <w:r>
        <w:rPr>
          <w:rFonts w:hint="eastAsia" w:ascii="宋体" w:hAnsi="宋体" w:eastAsia="宋体" w:cs="宋体"/>
          <w:color w:val="auto"/>
          <w:sz w:val="21"/>
          <w:szCs w:val="21"/>
          <w:highlight w:val="none"/>
          <w:u w:val="single"/>
        </w:rPr>
        <w:t>要求。</w:t>
      </w:r>
    </w:p>
    <w:p w14:paraId="79C18C01">
      <w:pPr>
        <w:keepNext w:val="0"/>
        <w:keepLines w:val="0"/>
        <w:pageBreakBefore w:val="0"/>
        <w:tabs>
          <w:tab w:val="left" w:pos="1011"/>
        </w:tabs>
        <w:kinsoku/>
        <w:wordWrap/>
        <w:overflowPunct/>
        <w:topLinePunct w:val="0"/>
        <w:bidi w:val="0"/>
        <w:spacing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必须严格按照施工图纸、说明文件和国家颁发的建筑工程规范、规程和标准进行施工，并接受</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 xml:space="preserve">的监督。 </w:t>
      </w:r>
    </w:p>
    <w:p w14:paraId="75347466">
      <w:pPr>
        <w:keepNext w:val="0"/>
        <w:keepLines w:val="0"/>
        <w:pageBreakBefore w:val="0"/>
        <w:kinsoku/>
        <w:wordWrap/>
        <w:overflowPunct/>
        <w:topLinePunct w:val="0"/>
        <w:bidi w:val="0"/>
        <w:spacing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应认真按照标准、规范和设计图纸要求以及</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依据合同发出的指令施工，随时接受</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的检查检验，为检验提供便利条件，并根据要求向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提供与工程质量有关的技术资料。</w:t>
      </w:r>
    </w:p>
    <w:p w14:paraId="3BA14276">
      <w:pPr>
        <w:keepNext w:val="0"/>
        <w:keepLines w:val="0"/>
        <w:pageBreakBefore w:val="0"/>
        <w:kinsoku/>
        <w:wordWrap/>
        <w:overflowPunct/>
        <w:topLinePunct w:val="0"/>
        <w:bidi w:val="0"/>
        <w:spacing w:afterLines="0" w:line="360" w:lineRule="auto"/>
        <w:ind w:firstLine="420" w:firstLineChars="200"/>
        <w:textAlignment w:val="auto"/>
        <w:rPr>
          <w:rFonts w:hint="eastAsia" w:ascii="宋体" w:hAnsi="宋体" w:eastAsia="宋体" w:cs="宋体"/>
          <w:color w:val="auto"/>
          <w:spacing w:val="10"/>
          <w:sz w:val="21"/>
          <w:szCs w:val="21"/>
          <w:highlight w:val="none"/>
        </w:rPr>
      </w:pPr>
      <w:r>
        <w:rPr>
          <w:rFonts w:hint="eastAsia" w:ascii="宋体" w:hAnsi="宋体" w:eastAsia="宋体" w:cs="宋体"/>
          <w:color w:val="auto"/>
          <w:sz w:val="21"/>
          <w:szCs w:val="21"/>
          <w:highlight w:val="none"/>
        </w:rPr>
        <w:t>6.4</w:t>
      </w:r>
      <w:r>
        <w:rPr>
          <w:rFonts w:hint="eastAsia" w:ascii="宋体" w:hAnsi="宋体" w:eastAsia="宋体" w:cs="宋体"/>
          <w:color w:val="auto"/>
          <w:spacing w:val="10"/>
          <w:sz w:val="21"/>
          <w:szCs w:val="21"/>
          <w:highlight w:val="none"/>
        </w:rPr>
        <w:t>工程质量达不到约定标准的部分，</w:t>
      </w:r>
      <w:r>
        <w:rPr>
          <w:rFonts w:hint="eastAsia" w:ascii="宋体" w:hAnsi="宋体" w:eastAsia="宋体" w:cs="宋体"/>
          <w:color w:val="auto"/>
          <w:spacing w:val="10"/>
          <w:sz w:val="21"/>
          <w:szCs w:val="21"/>
          <w:highlight w:val="none"/>
          <w:lang w:eastAsia="zh-CN"/>
        </w:rPr>
        <w:t>甲方</w:t>
      </w:r>
      <w:r>
        <w:rPr>
          <w:rFonts w:hint="eastAsia" w:ascii="宋体" w:hAnsi="宋体" w:eastAsia="宋体" w:cs="宋体"/>
          <w:color w:val="auto"/>
          <w:spacing w:val="10"/>
          <w:sz w:val="21"/>
          <w:szCs w:val="21"/>
          <w:highlight w:val="none"/>
        </w:rPr>
        <w:t>工程师一经发现，应要求</w:t>
      </w:r>
      <w:r>
        <w:rPr>
          <w:rFonts w:hint="eastAsia" w:ascii="宋体" w:hAnsi="宋体" w:eastAsia="宋体" w:cs="宋体"/>
          <w:color w:val="auto"/>
          <w:spacing w:val="10"/>
          <w:sz w:val="21"/>
          <w:szCs w:val="21"/>
          <w:highlight w:val="none"/>
          <w:lang w:eastAsia="zh-CN"/>
        </w:rPr>
        <w:t>乙方</w:t>
      </w:r>
      <w:r>
        <w:rPr>
          <w:rFonts w:hint="eastAsia" w:ascii="宋体" w:hAnsi="宋体" w:eastAsia="宋体" w:cs="宋体"/>
          <w:color w:val="auto"/>
          <w:spacing w:val="10"/>
          <w:sz w:val="21"/>
          <w:szCs w:val="21"/>
          <w:highlight w:val="none"/>
        </w:rPr>
        <w:t>拆除和重新施工，</w:t>
      </w:r>
      <w:r>
        <w:rPr>
          <w:rFonts w:hint="eastAsia" w:ascii="宋体" w:hAnsi="宋体" w:eastAsia="宋体" w:cs="宋体"/>
          <w:color w:val="auto"/>
          <w:spacing w:val="10"/>
          <w:sz w:val="21"/>
          <w:szCs w:val="21"/>
          <w:highlight w:val="none"/>
          <w:lang w:eastAsia="zh-CN"/>
        </w:rPr>
        <w:t>乙方</w:t>
      </w:r>
      <w:r>
        <w:rPr>
          <w:rFonts w:hint="eastAsia" w:ascii="宋体" w:hAnsi="宋体" w:eastAsia="宋体" w:cs="宋体"/>
          <w:color w:val="auto"/>
          <w:spacing w:val="10"/>
          <w:sz w:val="21"/>
          <w:szCs w:val="21"/>
          <w:highlight w:val="none"/>
        </w:rPr>
        <w:t>应按</w:t>
      </w:r>
      <w:r>
        <w:rPr>
          <w:rFonts w:hint="eastAsia" w:ascii="宋体" w:hAnsi="宋体" w:eastAsia="宋体" w:cs="宋体"/>
          <w:color w:val="auto"/>
          <w:spacing w:val="10"/>
          <w:sz w:val="21"/>
          <w:szCs w:val="21"/>
          <w:highlight w:val="none"/>
          <w:lang w:eastAsia="zh-CN"/>
        </w:rPr>
        <w:t>甲方</w:t>
      </w:r>
      <w:r>
        <w:rPr>
          <w:rFonts w:hint="eastAsia" w:ascii="宋体" w:hAnsi="宋体" w:eastAsia="宋体" w:cs="宋体"/>
          <w:color w:val="auto"/>
          <w:spacing w:val="10"/>
          <w:sz w:val="21"/>
          <w:szCs w:val="21"/>
          <w:highlight w:val="none"/>
        </w:rPr>
        <w:t>代表人员的要求返工、修改，直到符合约定标准。因</w:t>
      </w:r>
      <w:r>
        <w:rPr>
          <w:rFonts w:hint="eastAsia" w:ascii="宋体" w:hAnsi="宋体" w:eastAsia="宋体" w:cs="宋体"/>
          <w:color w:val="auto"/>
          <w:spacing w:val="10"/>
          <w:sz w:val="21"/>
          <w:szCs w:val="21"/>
          <w:highlight w:val="none"/>
          <w:lang w:eastAsia="zh-CN"/>
        </w:rPr>
        <w:t>乙方</w:t>
      </w:r>
      <w:r>
        <w:rPr>
          <w:rFonts w:hint="eastAsia" w:ascii="宋体" w:hAnsi="宋体" w:eastAsia="宋体" w:cs="宋体"/>
          <w:color w:val="auto"/>
          <w:spacing w:val="10"/>
          <w:sz w:val="21"/>
          <w:szCs w:val="21"/>
          <w:highlight w:val="none"/>
        </w:rPr>
        <w:t>原因达不到约定标准，由</w:t>
      </w:r>
      <w:r>
        <w:rPr>
          <w:rFonts w:hint="eastAsia" w:ascii="宋体" w:hAnsi="宋体" w:eastAsia="宋体" w:cs="宋体"/>
          <w:color w:val="auto"/>
          <w:spacing w:val="10"/>
          <w:sz w:val="21"/>
          <w:szCs w:val="21"/>
          <w:highlight w:val="none"/>
          <w:lang w:eastAsia="zh-CN"/>
        </w:rPr>
        <w:t>乙方</w:t>
      </w:r>
      <w:r>
        <w:rPr>
          <w:rFonts w:hint="eastAsia" w:ascii="宋体" w:hAnsi="宋体" w:eastAsia="宋体" w:cs="宋体"/>
          <w:color w:val="auto"/>
          <w:spacing w:val="10"/>
          <w:sz w:val="21"/>
          <w:szCs w:val="21"/>
          <w:highlight w:val="none"/>
        </w:rPr>
        <w:t>承担返工、修改的费用，工期不予顺延。</w:t>
      </w:r>
    </w:p>
    <w:p w14:paraId="2BE8F4E2">
      <w:pPr>
        <w:keepNext w:val="0"/>
        <w:keepLines w:val="0"/>
        <w:pageBreakBefore w:val="0"/>
        <w:kinsoku/>
        <w:wordWrap/>
        <w:overflowPunct/>
        <w:topLinePunct w:val="0"/>
        <w:bidi w:val="0"/>
        <w:spacing w:afterLines="0" w:line="360" w:lineRule="auto"/>
        <w:ind w:firstLine="460" w:firstLineChars="200"/>
        <w:textAlignment w:val="auto"/>
        <w:rPr>
          <w:rFonts w:hint="eastAsia" w:ascii="宋体" w:hAnsi="宋体" w:eastAsia="宋体" w:cs="宋体"/>
          <w:color w:val="auto"/>
          <w:spacing w:val="10"/>
          <w:sz w:val="21"/>
          <w:szCs w:val="21"/>
          <w:highlight w:val="none"/>
        </w:rPr>
      </w:pPr>
      <w:r>
        <w:rPr>
          <w:rFonts w:hint="eastAsia" w:ascii="宋体" w:hAnsi="宋体" w:eastAsia="宋体" w:cs="宋体"/>
          <w:bCs/>
          <w:color w:val="auto"/>
          <w:spacing w:val="10"/>
          <w:sz w:val="21"/>
          <w:szCs w:val="21"/>
          <w:highlight w:val="none"/>
        </w:rPr>
        <w:t>6.5</w:t>
      </w:r>
      <w:r>
        <w:rPr>
          <w:rFonts w:hint="eastAsia" w:ascii="宋体" w:hAnsi="宋体" w:eastAsia="宋体" w:cs="宋体"/>
          <w:color w:val="auto"/>
          <w:spacing w:val="10"/>
          <w:sz w:val="21"/>
          <w:szCs w:val="21"/>
          <w:highlight w:val="none"/>
        </w:rPr>
        <w:t>双方对工程质量有争议，由双方同意的工程质量检测机构鉴定，所需费用及因此造成的损失，由责任方承担。若均有责任，由双方根据其责任分别承担。</w:t>
      </w:r>
    </w:p>
    <w:p w14:paraId="73E7C755">
      <w:pPr>
        <w:keepNext w:val="0"/>
        <w:keepLines w:val="0"/>
        <w:pageBreakBefore w:val="0"/>
        <w:kinsoku/>
        <w:wordWrap/>
        <w:overflowPunct/>
        <w:topLinePunct w:val="0"/>
        <w:bidi w:val="0"/>
        <w:spacing w:afterLines="0" w:line="360" w:lineRule="auto"/>
        <w:ind w:firstLine="46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6.6</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所进场的各种原材料、设备必须有出厂合格证书，试验、化验报告单，使用说明，检测、检验报告和设备验收标准。</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或政府相关主管部门可以随机抽检原材料和设备，并有权对其进行化验、检测（化验、检测的费用由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承担），不合格的材料、设备不允许进场使用。</w:t>
      </w:r>
    </w:p>
    <w:p w14:paraId="6062E3E1">
      <w:pPr>
        <w:keepNext w:val="0"/>
        <w:keepLines w:val="0"/>
        <w:pageBreakBefore w:val="0"/>
        <w:kinsoku/>
        <w:wordWrap/>
        <w:overflowPunct/>
        <w:topLinePunct w:val="0"/>
        <w:bidi w:val="0"/>
        <w:spacing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6.7</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在组织施工中必须高度重视和认真抓好工程质量，服从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的质量管理体系要求，明确质量负责人（质量负责人须经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审核认可，危险性大、专业性强的施工作业岗位的质量负责人必须由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施工人员担任</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，并向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质量管理人员通报工程质量受控情况。</w:t>
      </w:r>
    </w:p>
    <w:p w14:paraId="57413647">
      <w:pPr>
        <w:keepNext w:val="0"/>
        <w:keepLines w:val="0"/>
        <w:pageBreakBefore w:val="0"/>
        <w:kinsoku/>
        <w:wordWrap/>
        <w:overflowPunct/>
        <w:topLinePunct w:val="0"/>
        <w:bidi w:val="0"/>
        <w:spacing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6.8凡质量检验及评定标准中规定</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参加验收的项目及隐蔽工程的施工，</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应及时通知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，并配合</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做好相应的记录。</w:t>
      </w:r>
    </w:p>
    <w:p w14:paraId="2F03D2EF">
      <w:pPr>
        <w:keepNext w:val="0"/>
        <w:keepLines w:val="0"/>
        <w:pageBreakBefore w:val="0"/>
        <w:kinsoku/>
        <w:wordWrap/>
        <w:overflowPunct/>
        <w:topLinePunct w:val="0"/>
        <w:bidi w:val="0"/>
        <w:spacing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必须在工程竣工前48小时向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发出书面通知，协商验收时间，由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组织有关人员进行验收。如验收中发现不符合质量要求而需返工的工程，</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必须在约定的时间内负责修好，再进行检验。</w:t>
      </w:r>
    </w:p>
    <w:p w14:paraId="293E3FF9">
      <w:pPr>
        <w:keepNext w:val="0"/>
        <w:keepLines w:val="0"/>
        <w:pageBreakBefore w:val="0"/>
        <w:kinsoku/>
        <w:wordWrap/>
        <w:overflowPunct/>
        <w:topLinePunct w:val="0"/>
        <w:bidi w:val="0"/>
        <w:spacing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6.10工程竣工后，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必须整理并按</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要求及时提供完整及足够数量的技术档案资料，包括工程竣工图、设计用的施工资料、图纸、竣工报告和施工原始记录,否则</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不予办理</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最终合同结算。</w:t>
      </w:r>
    </w:p>
    <w:p w14:paraId="21B09CBC">
      <w:pPr>
        <w:keepNext w:val="0"/>
        <w:keepLines w:val="0"/>
        <w:pageBreakBefore w:val="0"/>
        <w:kinsoku/>
        <w:wordWrap/>
        <w:overflowPunct/>
        <w:topLinePunct w:val="0"/>
        <w:bidi w:val="0"/>
        <w:spacing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应及时进行隐蔽工程和中间过程质量的报验工作，</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自检合格并有书面资料报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工程师确认，上道工序未经发包工程师验收签字，不得进入下道工序，重要工序实施停工待检，否则将视情节轻重，给予</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书面警告或1000-3000元的罚款。</w:t>
      </w:r>
    </w:p>
    <w:p w14:paraId="1E5539EC">
      <w:pPr>
        <w:keepNext w:val="0"/>
        <w:keepLines w:val="0"/>
        <w:pageBreakBefore w:val="0"/>
        <w:tabs>
          <w:tab w:val="left" w:pos="1281"/>
        </w:tabs>
        <w:kinsoku/>
        <w:wordWrap/>
        <w:overflowPunct/>
        <w:topLinePunct w:val="0"/>
        <w:bidi w:val="0"/>
        <w:spacing w:afterLines="0" w:line="360" w:lineRule="auto"/>
        <w:ind w:firstLine="452" w:firstLineChars="196"/>
        <w:textAlignment w:val="auto"/>
        <w:rPr>
          <w:rFonts w:hint="eastAsia" w:ascii="宋体" w:hAnsi="宋体" w:eastAsia="宋体" w:cs="宋体"/>
          <w:b/>
          <w:bCs/>
          <w:color w:val="auto"/>
          <w:spacing w:val="10"/>
          <w:sz w:val="21"/>
          <w:szCs w:val="21"/>
          <w:highlight w:val="none"/>
        </w:rPr>
      </w:pPr>
      <w:r>
        <w:rPr>
          <w:rFonts w:hint="eastAsia" w:ascii="宋体" w:hAnsi="宋体" w:eastAsia="宋体" w:cs="宋体"/>
          <w:b/>
          <w:bCs/>
          <w:color w:val="auto"/>
          <w:spacing w:val="10"/>
          <w:sz w:val="21"/>
          <w:szCs w:val="21"/>
          <w:highlight w:val="none"/>
        </w:rPr>
        <w:t>第七条  安全文明施工与环境保护</w:t>
      </w:r>
    </w:p>
    <w:p w14:paraId="7078F8BA">
      <w:pPr>
        <w:keepNext w:val="0"/>
        <w:keepLines w:val="0"/>
        <w:pageBreakBefore w:val="0"/>
        <w:tabs>
          <w:tab w:val="left" w:pos="1281"/>
        </w:tabs>
        <w:kinsoku/>
        <w:wordWrap/>
        <w:overflowPunct/>
        <w:topLinePunct w:val="0"/>
        <w:bidi w:val="0"/>
        <w:spacing w:afterLines="0" w:line="360" w:lineRule="auto"/>
        <w:ind w:firstLine="411" w:firstLineChars="196"/>
        <w:textAlignment w:val="auto"/>
        <w:rPr>
          <w:rFonts w:hint="eastAsia" w:ascii="宋体" w:hAnsi="宋体" w:eastAsia="宋体" w:cs="宋体"/>
          <w:b/>
          <w:bCs/>
          <w:color w:val="auto"/>
          <w:spacing w:val="10"/>
          <w:sz w:val="21"/>
          <w:szCs w:val="21"/>
          <w:highlight w:val="none"/>
        </w:rPr>
      </w:pPr>
      <w:r>
        <w:rPr>
          <w:rFonts w:hint="eastAsia" w:ascii="宋体" w:hAnsi="宋体" w:eastAsia="宋体" w:cs="宋体"/>
          <w:color w:val="auto"/>
          <w:kern w:val="0"/>
          <w:sz w:val="21"/>
          <w:szCs w:val="21"/>
          <w:highlight w:val="none"/>
        </w:rPr>
        <w:t>7.1</w:t>
      </w:r>
      <w:r>
        <w:rPr>
          <w:rFonts w:hint="eastAsia" w:ascii="宋体" w:hAnsi="宋体" w:eastAsia="宋体" w:cs="宋体"/>
          <w:color w:val="auto"/>
          <w:kern w:val="0"/>
          <w:sz w:val="21"/>
          <w:szCs w:val="21"/>
          <w:highlight w:val="none"/>
          <w:lang w:val="zh-CN"/>
        </w:rPr>
        <w:t>乙方必须严格贯彻国家有关安全生产的方针、政策、规定及甲方有关安全、文明施工及环境保护的规定，把“安全第一，预防为主</w:t>
      </w: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lang w:val="en-US" w:eastAsia="zh-CN"/>
        </w:rPr>
        <w:t>综合治理</w:t>
      </w:r>
      <w:r>
        <w:rPr>
          <w:rFonts w:hint="eastAsia" w:ascii="宋体" w:hAnsi="宋体" w:eastAsia="宋体" w:cs="宋体"/>
          <w:color w:val="auto"/>
          <w:kern w:val="0"/>
          <w:sz w:val="21"/>
          <w:szCs w:val="21"/>
          <w:highlight w:val="none"/>
          <w:lang w:val="zh-CN"/>
        </w:rPr>
        <w:t>”的安全生产方针落实到施工管理中，建立健全安全文明施工管理网络。</w:t>
      </w:r>
    </w:p>
    <w:p w14:paraId="260D6E8D">
      <w:pPr>
        <w:keepNext w:val="0"/>
        <w:keepLines w:val="0"/>
        <w:pageBreakBefore w:val="0"/>
        <w:kinsoku/>
        <w:wordWrap/>
        <w:overflowPunct/>
        <w:topLinePunct w:val="0"/>
        <w:bidi w:val="0"/>
        <w:spacing w:afterLines="0" w:line="360" w:lineRule="auto"/>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7.2乙方负责施工现场的安全及第三方人身安全，工程开工前按国家有关规定要求提交安全施工措施；工程开工前</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zh-CN"/>
        </w:rPr>
        <w:t>日内购买工人人身意外伤害保险，乙方与现场施工人员必须签订劳动合同，并办理工伤保险。</w:t>
      </w:r>
    </w:p>
    <w:p w14:paraId="5FF6D867">
      <w:pPr>
        <w:keepNext w:val="0"/>
        <w:keepLines w:val="0"/>
        <w:pageBreakBefore w:val="0"/>
        <w:kinsoku/>
        <w:wordWrap/>
        <w:overflowPunct/>
        <w:topLinePunct w:val="0"/>
        <w:bidi w:val="0"/>
        <w:spacing w:afterLines="0" w:line="360" w:lineRule="auto"/>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7.3乙方须严格按安全标准组织施工，并随时接受甲方或行业安全检查人员依照法规实施的监督检查，采取必要的安全防范措施，发现隐患，及时地进行整改。由于乙方原因造成的安全事故及由此引起的经济损失，所有责任均由乙方承担；由于乙方原因造成甲方承担业主的经济损失则由全部由乙方承担。</w:t>
      </w:r>
    </w:p>
    <w:p w14:paraId="7A068BF5">
      <w:pPr>
        <w:keepNext w:val="0"/>
        <w:keepLines w:val="0"/>
        <w:pageBreakBefore w:val="0"/>
        <w:kinsoku/>
        <w:wordWrap/>
        <w:overflowPunct/>
        <w:topLinePunct w:val="0"/>
        <w:bidi w:val="0"/>
        <w:spacing w:afterLines="0" w:line="360" w:lineRule="auto"/>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7.4工程施工过程中，乙方应保持施工现场及周边环境的清洁，设备、材料堆放应整齐有序，做到“工完、料尽、场地清”，搞好文明施工和环境保护，已完工的施工项目在试运移交前负责成品保管。若乙方不及时清理垃圾、废料和临时设施，甲方有权委托其他方清理，费用从工程结算款中扣除。</w:t>
      </w:r>
    </w:p>
    <w:p w14:paraId="1A15D7C9">
      <w:pPr>
        <w:keepNext w:val="0"/>
        <w:keepLines w:val="0"/>
        <w:pageBreakBefore w:val="0"/>
        <w:kinsoku/>
        <w:wordWrap/>
        <w:overflowPunct/>
        <w:topLinePunct w:val="0"/>
        <w:bidi w:val="0"/>
        <w:spacing w:afterLines="0" w:line="360" w:lineRule="auto"/>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7.5乙方负责人是安全施工第一责任者，对乙方人员的安全负责，乙方必须按照规定为施工人员配备应有的劳动保护用品、用具，乙方有30人及以上施工时，应设立专职安全员（具有资格证及一定的现场管理经验），少于30人时应设兼职安全员。</w:t>
      </w:r>
    </w:p>
    <w:p w14:paraId="46632B80">
      <w:pPr>
        <w:keepNext w:val="0"/>
        <w:keepLines w:val="0"/>
        <w:pageBreakBefore w:val="0"/>
        <w:kinsoku/>
        <w:wordWrap/>
        <w:overflowPunct/>
        <w:topLinePunct w:val="0"/>
        <w:bidi w:val="0"/>
        <w:spacing w:afterLines="0" w:line="360" w:lineRule="auto"/>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7.6乙方必须为其现场管理人员和施工人员提供必须的、质量符合有关规定的安全防护用品和用具，确保其施工人员的人身安全和健康。</w:t>
      </w:r>
    </w:p>
    <w:p w14:paraId="35109F4D">
      <w:pPr>
        <w:keepNext w:val="0"/>
        <w:keepLines w:val="0"/>
        <w:pageBreakBefore w:val="0"/>
        <w:kinsoku/>
        <w:wordWrap/>
        <w:overflowPunct/>
        <w:topLinePunct w:val="0"/>
        <w:bidi w:val="0"/>
        <w:spacing w:afterLines="0" w:line="360" w:lineRule="auto"/>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7.7对由于不可抗力引起的事故或损失，根据双方各自的职责，各自承担相应的责任及损失，同时双方应尽最大的努力减少损失，由于不可抗力而不能达到合同目的或合同无法履行，双方可书面解除合同。</w:t>
      </w:r>
    </w:p>
    <w:p w14:paraId="22B619E4">
      <w:pPr>
        <w:keepNext w:val="0"/>
        <w:keepLines w:val="0"/>
        <w:pageBreakBefore w:val="0"/>
        <w:kinsoku/>
        <w:wordWrap/>
        <w:overflowPunct/>
        <w:topLinePunct w:val="0"/>
        <w:bidi w:val="0"/>
        <w:spacing w:afterLines="0" w:line="360" w:lineRule="auto"/>
        <w:ind w:firstLine="452" w:firstLineChars="196"/>
        <w:textAlignment w:val="auto"/>
        <w:rPr>
          <w:rFonts w:hint="eastAsia" w:ascii="宋体" w:hAnsi="宋体" w:eastAsia="宋体" w:cs="宋体"/>
          <w:b w:val="0"/>
          <w:bCs w:val="0"/>
          <w:color w:val="auto"/>
          <w:spacing w:val="10"/>
          <w:sz w:val="21"/>
          <w:szCs w:val="21"/>
          <w:highlight w:val="none"/>
          <w:lang w:val="en-US" w:eastAsia="zh-CN"/>
        </w:rPr>
      </w:pPr>
      <w:r>
        <w:rPr>
          <w:rFonts w:hint="eastAsia" w:ascii="宋体" w:hAnsi="宋体" w:eastAsia="宋体" w:cs="宋体"/>
          <w:b/>
          <w:bCs/>
          <w:color w:val="auto"/>
          <w:spacing w:val="10"/>
          <w:sz w:val="21"/>
          <w:szCs w:val="21"/>
          <w:highlight w:val="none"/>
        </w:rPr>
        <w:t>第八条  工程款支付</w:t>
      </w:r>
      <w:r>
        <w:rPr>
          <w:rFonts w:hint="eastAsia" w:ascii="宋体" w:hAnsi="宋体" w:eastAsia="宋体" w:cs="宋体"/>
          <w:b/>
          <w:bCs/>
          <w:color w:val="auto"/>
          <w:spacing w:val="10"/>
          <w:sz w:val="21"/>
          <w:szCs w:val="21"/>
          <w:highlight w:val="none"/>
          <w:lang w:eastAsia="zh-CN"/>
        </w:rPr>
        <w:t>：</w:t>
      </w:r>
      <w:r>
        <w:rPr>
          <w:rFonts w:hint="eastAsia" w:ascii="宋体" w:hAnsi="宋体" w:eastAsia="宋体" w:cs="宋体"/>
          <w:b w:val="0"/>
          <w:bCs w:val="0"/>
          <w:color w:val="auto"/>
          <w:spacing w:val="10"/>
          <w:sz w:val="21"/>
          <w:szCs w:val="21"/>
          <w:highlight w:val="none"/>
          <w:lang w:val="en-US" w:eastAsia="zh-CN"/>
        </w:rPr>
        <w:t>工程款支付方式为承兑汇票或转账。</w:t>
      </w:r>
    </w:p>
    <w:p w14:paraId="04F44746">
      <w:pPr>
        <w:spacing w:afterLines="0" w:line="360" w:lineRule="auto"/>
        <w:ind w:left="210" w:leftChars="100" w:firstLine="210" w:firstLineChars="1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8.1</w:t>
      </w:r>
      <w:r>
        <w:rPr>
          <w:rFonts w:hint="eastAsia" w:ascii="宋体" w:hAnsi="宋体" w:eastAsia="宋体" w:cs="宋体"/>
          <w:b w:val="0"/>
          <w:bCs w:val="0"/>
          <w:color w:val="auto"/>
          <w:sz w:val="21"/>
          <w:szCs w:val="21"/>
          <w:highlight w:val="none"/>
        </w:rPr>
        <w:t>预付款：</w:t>
      </w:r>
      <w:r>
        <w:rPr>
          <w:rFonts w:hint="eastAsia" w:ascii="宋体" w:hAnsi="宋体" w:eastAsia="宋体" w:cs="宋体"/>
          <w:b w:val="0"/>
          <w:bCs w:val="0"/>
          <w:color w:val="auto"/>
          <w:sz w:val="21"/>
          <w:szCs w:val="21"/>
          <w:highlight w:val="none"/>
          <w:lang w:val="en-US" w:eastAsia="zh-CN"/>
        </w:rPr>
        <w:t>合同签订后，甲方向乙方提供付款申请及履约保函后，乙方在10个工作日内支付合同</w:t>
      </w:r>
      <w:r>
        <w:rPr>
          <w:rFonts w:hint="eastAsia" w:ascii="宋体" w:hAnsi="宋体" w:cs="宋体"/>
          <w:b w:val="0"/>
          <w:bCs w:val="0"/>
          <w:color w:val="auto"/>
          <w:sz w:val="21"/>
          <w:szCs w:val="21"/>
          <w:highlight w:val="none"/>
          <w:lang w:val="en-US" w:eastAsia="zh-CN"/>
        </w:rPr>
        <w:t>包干</w:t>
      </w:r>
      <w:r>
        <w:rPr>
          <w:rFonts w:hint="eastAsia" w:ascii="宋体" w:hAnsi="宋体" w:eastAsia="宋体" w:cs="宋体"/>
          <w:b w:val="0"/>
          <w:bCs w:val="0"/>
          <w:color w:val="auto"/>
          <w:sz w:val="21"/>
          <w:szCs w:val="21"/>
          <w:highlight w:val="none"/>
          <w:lang w:val="en-US" w:eastAsia="zh-CN"/>
        </w:rPr>
        <w:t>总价的30%作为预付款</w:t>
      </w:r>
      <w:r>
        <w:rPr>
          <w:rFonts w:hint="eastAsia" w:ascii="宋体" w:hAnsi="宋体" w:eastAsia="宋体" w:cs="宋体"/>
          <w:b w:val="0"/>
          <w:bCs w:val="0"/>
          <w:color w:val="auto"/>
          <w:sz w:val="21"/>
          <w:szCs w:val="21"/>
          <w:highlight w:val="none"/>
        </w:rPr>
        <w:t>。</w:t>
      </w:r>
    </w:p>
    <w:p w14:paraId="776C8C0D">
      <w:pPr>
        <w:spacing w:afterLines="0" w:line="360" w:lineRule="auto"/>
        <w:ind w:left="210" w:leftChars="100" w:firstLine="210" w:firstLineChars="1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8.2进度</w:t>
      </w:r>
      <w:r>
        <w:rPr>
          <w:rFonts w:hint="eastAsia" w:ascii="宋体" w:hAnsi="宋体" w:eastAsia="宋体" w:cs="宋体"/>
          <w:b w:val="0"/>
          <w:bCs w:val="0"/>
          <w:color w:val="auto"/>
          <w:sz w:val="21"/>
          <w:szCs w:val="21"/>
          <w:highlight w:val="none"/>
        </w:rPr>
        <w:t>款</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乙方完成本项目施工，并经甲方确认后在10个工作日内付至合同包干总价的80%</w:t>
      </w:r>
      <w:r>
        <w:rPr>
          <w:rFonts w:hint="eastAsia" w:ascii="宋体" w:hAnsi="宋体" w:eastAsia="宋体" w:cs="宋体"/>
          <w:b w:val="0"/>
          <w:bCs w:val="0"/>
          <w:color w:val="auto"/>
          <w:sz w:val="21"/>
          <w:szCs w:val="21"/>
          <w:highlight w:val="none"/>
        </w:rPr>
        <w:t>。</w:t>
      </w:r>
    </w:p>
    <w:p w14:paraId="038B5EE1">
      <w:pPr>
        <w:spacing w:afterLines="0" w:line="360" w:lineRule="auto"/>
        <w:ind w:left="210" w:leftChars="100" w:firstLine="210" w:firstLineChars="1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8.3验收结算款：项目完成竣工验收及结算后，甲方在15个工作日内支付至</w:t>
      </w:r>
      <w:r>
        <w:rPr>
          <w:rFonts w:hint="eastAsia" w:ascii="宋体" w:hAnsi="宋体" w:cs="宋体"/>
          <w:b w:val="0"/>
          <w:bCs w:val="0"/>
          <w:color w:val="auto"/>
          <w:sz w:val="21"/>
          <w:szCs w:val="21"/>
          <w:highlight w:val="none"/>
          <w:lang w:val="en-US" w:eastAsia="zh-CN"/>
        </w:rPr>
        <w:t>合同</w:t>
      </w:r>
      <w:r>
        <w:rPr>
          <w:rFonts w:hint="eastAsia" w:ascii="宋体" w:hAnsi="宋体" w:eastAsia="宋体" w:cs="宋体"/>
          <w:b w:val="0"/>
          <w:bCs w:val="0"/>
          <w:color w:val="auto"/>
          <w:sz w:val="21"/>
          <w:szCs w:val="21"/>
          <w:highlight w:val="none"/>
          <w:lang w:val="en-US" w:eastAsia="zh-CN"/>
        </w:rPr>
        <w:t>结算总价的97%作为验收结算款</w:t>
      </w:r>
      <w:r>
        <w:rPr>
          <w:rFonts w:hint="eastAsia" w:ascii="宋体" w:hAnsi="宋体" w:eastAsia="宋体" w:cs="宋体"/>
          <w:b w:val="0"/>
          <w:bCs w:val="0"/>
          <w:color w:val="auto"/>
          <w:sz w:val="21"/>
          <w:szCs w:val="21"/>
          <w:highlight w:val="none"/>
        </w:rPr>
        <w:t>。</w:t>
      </w:r>
    </w:p>
    <w:p w14:paraId="1F4CFD16">
      <w:pPr>
        <w:pStyle w:val="104"/>
        <w:keepNext w:val="0"/>
        <w:keepLines w:val="0"/>
        <w:pageBreakBefore w:val="0"/>
        <w:kinsoku/>
        <w:wordWrap/>
        <w:overflowPunct/>
        <w:topLinePunct w:val="0"/>
        <w:bidi w:val="0"/>
        <w:spacing w:before="0" w:after="0" w:afterLines="0" w:line="360" w:lineRule="auto"/>
        <w:ind w:left="315" w:leftChars="150" w:right="720" w:firstLine="105" w:firstLineChars="5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8.4 质保金：质保期满后一个月内，甲方向乙方支付</w:t>
      </w:r>
      <w:r>
        <w:rPr>
          <w:rFonts w:hint="eastAsia" w:ascii="宋体" w:hAnsi="宋体" w:cs="宋体"/>
          <w:b w:val="0"/>
          <w:bCs w:val="0"/>
          <w:color w:val="auto"/>
          <w:sz w:val="21"/>
          <w:szCs w:val="21"/>
          <w:highlight w:val="none"/>
          <w:lang w:val="en-US" w:eastAsia="zh-CN"/>
        </w:rPr>
        <w:t>合同</w:t>
      </w:r>
      <w:r>
        <w:rPr>
          <w:rFonts w:hint="eastAsia" w:ascii="宋体" w:hAnsi="宋体" w:eastAsia="宋体" w:cs="宋体"/>
          <w:b w:val="0"/>
          <w:bCs w:val="0"/>
          <w:color w:val="auto"/>
          <w:sz w:val="21"/>
          <w:szCs w:val="21"/>
          <w:highlight w:val="none"/>
          <w:lang w:val="en-US" w:eastAsia="zh-CN"/>
        </w:rPr>
        <w:t>结算总价的3%作为质保金，质保期为工程72小时试运行验收合格后满2年。</w:t>
      </w:r>
    </w:p>
    <w:p w14:paraId="65BBD095">
      <w:pPr>
        <w:pStyle w:val="104"/>
        <w:keepNext w:val="0"/>
        <w:keepLines w:val="0"/>
        <w:pageBreakBefore w:val="0"/>
        <w:kinsoku/>
        <w:wordWrap/>
        <w:overflowPunct/>
        <w:topLinePunct w:val="0"/>
        <w:bidi w:val="0"/>
        <w:spacing w:before="0" w:after="0" w:afterLines="0" w:line="360" w:lineRule="auto"/>
        <w:ind w:left="315" w:leftChars="150" w:right="720" w:firstLine="105" w:firstLineChars="5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乙方收款信息（乙方已核对无误并确认）：</w:t>
      </w:r>
    </w:p>
    <w:p w14:paraId="34AF1905">
      <w:pPr>
        <w:pStyle w:val="104"/>
        <w:pageBreakBefore w:val="0"/>
        <w:widowControl w:val="0"/>
        <w:kinsoku/>
        <w:wordWrap/>
        <w:overflowPunct/>
        <w:topLinePunct w:val="0"/>
        <w:bidi w:val="0"/>
        <w:snapToGrid w:val="0"/>
        <w:spacing w:before="0" w:after="0" w:afterLines="0" w:line="360" w:lineRule="auto"/>
        <w:ind w:left="0" w:right="0" w:firstLine="480"/>
        <w:rPr>
          <w:rFonts w:hint="eastAsia" w:ascii="宋体" w:hAnsi="宋体" w:eastAsia="宋体" w:cs="宋体"/>
          <w:b/>
          <w:bCs w:val="0"/>
          <w:color w:val="auto"/>
          <w:sz w:val="21"/>
          <w:szCs w:val="21"/>
          <w:highlight w:val="none"/>
          <w:lang w:val="en-US" w:eastAsia="zh-CN"/>
        </w:rPr>
      </w:pPr>
    </w:p>
    <w:p w14:paraId="748B4F79">
      <w:pPr>
        <w:pStyle w:val="104"/>
        <w:pageBreakBefore w:val="0"/>
        <w:widowControl w:val="0"/>
        <w:kinsoku/>
        <w:wordWrap/>
        <w:overflowPunct/>
        <w:topLinePunct w:val="0"/>
        <w:bidi w:val="0"/>
        <w:snapToGrid w:val="0"/>
        <w:spacing w:before="0" w:after="0" w:afterLines="0" w:line="360" w:lineRule="auto"/>
        <w:ind w:left="0" w:right="0" w:firstLine="48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收款人：</w:t>
      </w:r>
    </w:p>
    <w:p w14:paraId="3C246E24">
      <w:pPr>
        <w:pStyle w:val="104"/>
        <w:pageBreakBefore w:val="0"/>
        <w:widowControl w:val="0"/>
        <w:kinsoku/>
        <w:wordWrap/>
        <w:overflowPunct/>
        <w:topLinePunct w:val="0"/>
        <w:bidi w:val="0"/>
        <w:snapToGrid w:val="0"/>
        <w:spacing w:before="0" w:after="0" w:afterLines="0" w:line="360" w:lineRule="auto"/>
        <w:ind w:left="0" w:right="0" w:firstLine="48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开户行：</w:t>
      </w:r>
    </w:p>
    <w:p w14:paraId="1543D452">
      <w:pPr>
        <w:pStyle w:val="104"/>
        <w:pageBreakBefore w:val="0"/>
        <w:widowControl w:val="0"/>
        <w:kinsoku/>
        <w:wordWrap/>
        <w:overflowPunct/>
        <w:topLinePunct w:val="0"/>
        <w:bidi w:val="0"/>
        <w:snapToGrid w:val="0"/>
        <w:spacing w:before="0" w:after="0" w:afterLines="0" w:line="360" w:lineRule="auto"/>
        <w:ind w:right="0" w:firstLine="211" w:firstLineChars="1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账号：</w:t>
      </w:r>
    </w:p>
    <w:p w14:paraId="6693BAFD">
      <w:pPr>
        <w:pStyle w:val="15"/>
        <w:keepNext w:val="0"/>
        <w:keepLines w:val="0"/>
        <w:pageBreakBefore w:val="0"/>
        <w:kinsoku/>
        <w:wordWrap/>
        <w:overflowPunct/>
        <w:topLinePunct w:val="0"/>
        <w:bidi w:val="0"/>
        <w:spacing w:after="0" w:afterLines="0"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开具发票</w:t>
      </w:r>
    </w:p>
    <w:p w14:paraId="695FDFAB">
      <w:pPr>
        <w:pStyle w:val="15"/>
        <w:keepNext w:val="0"/>
        <w:keepLines w:val="0"/>
        <w:pageBreakBefore w:val="0"/>
        <w:kinsoku/>
        <w:wordWrap/>
        <w:overflowPunct/>
        <w:topLinePunct w:val="0"/>
        <w:bidi w:val="0"/>
        <w:spacing w:after="0" w:afterLines="0"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乙方按甲方以及项目所在地税务局要求开具合同额9%增值税专用发票。</w:t>
      </w:r>
    </w:p>
    <w:p w14:paraId="7D0CB5F5">
      <w:pPr>
        <w:keepNext w:val="0"/>
        <w:keepLines w:val="0"/>
        <w:pageBreakBefore w:val="0"/>
        <w:kinsoku/>
        <w:wordWrap/>
        <w:overflowPunct/>
        <w:topLinePunct w:val="0"/>
        <w:bidi w:val="0"/>
        <w:spacing w:afterLines="0" w:line="360" w:lineRule="auto"/>
        <w:ind w:firstLine="452" w:firstLineChars="196"/>
        <w:textAlignment w:val="auto"/>
        <w:rPr>
          <w:rFonts w:hint="eastAsia" w:ascii="宋体" w:hAnsi="宋体" w:eastAsia="宋体" w:cs="宋体"/>
          <w:b/>
          <w:bCs/>
          <w:color w:val="auto"/>
          <w:spacing w:val="10"/>
          <w:sz w:val="21"/>
          <w:szCs w:val="21"/>
          <w:highlight w:val="none"/>
        </w:rPr>
      </w:pPr>
      <w:r>
        <w:rPr>
          <w:rFonts w:hint="eastAsia" w:ascii="宋体" w:hAnsi="宋体" w:eastAsia="宋体" w:cs="宋体"/>
          <w:b/>
          <w:bCs/>
          <w:color w:val="auto"/>
          <w:spacing w:val="10"/>
          <w:sz w:val="21"/>
          <w:szCs w:val="21"/>
          <w:highlight w:val="none"/>
        </w:rPr>
        <w:t>第九条  质量保修</w:t>
      </w:r>
    </w:p>
    <w:p w14:paraId="7530DAA8">
      <w:pPr>
        <w:keepNext w:val="0"/>
        <w:keepLines w:val="0"/>
        <w:pageBreakBefore w:val="0"/>
        <w:kinsoku/>
        <w:wordWrap/>
        <w:overflowPunct/>
        <w:topLinePunct w:val="0"/>
        <w:bidi w:val="0"/>
        <w:spacing w:afterLines="0" w:line="360" w:lineRule="auto"/>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应按法律、行政法规或国家关于工程质量保修的有关规定，对交付</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使用的工程在质量保修期内承担质量保修责任。</w:t>
      </w:r>
    </w:p>
    <w:p w14:paraId="67A3D9AA">
      <w:pPr>
        <w:keepNext w:val="0"/>
        <w:keepLines w:val="0"/>
        <w:pageBreakBefore w:val="0"/>
        <w:kinsoku/>
        <w:wordWrap/>
        <w:overflowPunct/>
        <w:topLinePunct w:val="0"/>
        <w:bidi w:val="0"/>
        <w:spacing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9.2</w:t>
      </w:r>
      <w:r>
        <w:rPr>
          <w:rFonts w:hint="eastAsia" w:ascii="宋体" w:hAnsi="宋体" w:eastAsia="宋体" w:cs="宋体"/>
          <w:color w:val="auto"/>
          <w:sz w:val="21"/>
          <w:szCs w:val="21"/>
          <w:highlight w:val="none"/>
        </w:rPr>
        <w:t>质量保修工作的实施。双方根据国家有关规定</w:t>
      </w:r>
      <w:r>
        <w:rPr>
          <w:rFonts w:hint="eastAsia" w:ascii="宋体" w:hAnsi="宋体" w:eastAsia="宋体" w:cs="宋体"/>
          <w:color w:val="auto"/>
          <w:sz w:val="21"/>
          <w:szCs w:val="21"/>
          <w:highlight w:val="none"/>
          <w:lang w:val="en-US" w:eastAsia="zh-CN"/>
        </w:rPr>
        <w:t>执行，</w:t>
      </w:r>
      <w:r>
        <w:rPr>
          <w:rFonts w:hint="eastAsia" w:ascii="宋体" w:hAnsi="宋体" w:eastAsia="宋体" w:cs="宋体"/>
          <w:color w:val="auto"/>
          <w:sz w:val="21"/>
          <w:szCs w:val="21"/>
          <w:highlight w:val="none"/>
        </w:rPr>
        <w:t>质量保修期自通过相关部门验收合格，取得验收合格报告之日起计算。</w:t>
      </w:r>
    </w:p>
    <w:p w14:paraId="08E08E3E">
      <w:pPr>
        <w:keepNext w:val="0"/>
        <w:keepLines w:val="0"/>
        <w:pageBreakBefore w:val="0"/>
        <w:kinsoku/>
        <w:wordWrap/>
        <w:overflowPunct/>
        <w:topLinePunct w:val="0"/>
        <w:bidi w:val="0"/>
        <w:spacing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9.3</w:t>
      </w:r>
      <w:r>
        <w:rPr>
          <w:rFonts w:hint="eastAsia" w:ascii="宋体" w:hAnsi="宋体" w:eastAsia="宋体" w:cs="宋体"/>
          <w:color w:val="auto"/>
          <w:sz w:val="21"/>
          <w:szCs w:val="21"/>
          <w:highlight w:val="none"/>
        </w:rPr>
        <w:t>质量保修责任</w:t>
      </w:r>
    </w:p>
    <w:p w14:paraId="007E0143">
      <w:pPr>
        <w:keepNext w:val="0"/>
        <w:keepLines w:val="0"/>
        <w:pageBreakBefore w:val="0"/>
        <w:kinsoku/>
        <w:wordWrap/>
        <w:overflowPunct/>
        <w:topLinePunct w:val="0"/>
        <w:bidi w:val="0"/>
        <w:spacing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属于保修范围内的项目，</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应在接到修理通知之日后7天内派人修理。</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不在约定期限内派人修理，</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可委托其他人员修理，保修费用</w:t>
      </w:r>
      <w:r>
        <w:rPr>
          <w:rFonts w:hint="eastAsia" w:ascii="宋体" w:hAnsi="宋体" w:eastAsia="宋体" w:cs="宋体"/>
          <w:color w:val="auto"/>
          <w:sz w:val="21"/>
          <w:szCs w:val="21"/>
          <w:highlight w:val="none"/>
          <w:lang w:val="en-US" w:eastAsia="zh-CN"/>
        </w:rPr>
        <w:t>由乙方予以承担</w:t>
      </w:r>
      <w:r>
        <w:rPr>
          <w:rFonts w:hint="eastAsia" w:ascii="宋体" w:hAnsi="宋体" w:eastAsia="宋体" w:cs="宋体"/>
          <w:color w:val="auto"/>
          <w:sz w:val="21"/>
          <w:szCs w:val="21"/>
          <w:highlight w:val="none"/>
        </w:rPr>
        <w:t>。</w:t>
      </w:r>
    </w:p>
    <w:p w14:paraId="534266F5">
      <w:pPr>
        <w:keepNext w:val="0"/>
        <w:keepLines w:val="0"/>
        <w:pageBreakBefore w:val="0"/>
        <w:kinsoku/>
        <w:wordWrap/>
        <w:overflowPunct/>
        <w:topLinePunct w:val="0"/>
        <w:bidi w:val="0"/>
        <w:spacing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9.4发生须紧急抢修事故，</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接到事故通知后，应立即到达事故现场抢修。非</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施工质量引起的事故，抢修费用由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承担。</w:t>
      </w:r>
    </w:p>
    <w:p w14:paraId="4DF8E23B">
      <w:pPr>
        <w:keepNext w:val="0"/>
        <w:keepLines w:val="0"/>
        <w:pageBreakBefore w:val="0"/>
        <w:kinsoku/>
        <w:wordWrap/>
        <w:overflowPunct/>
        <w:topLinePunct w:val="0"/>
        <w:bidi w:val="0"/>
        <w:spacing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9.5在质量保修期内进行返修的这部分工程按重新验收合格之日起重新计算，这部分工程的质量保修期从重新验收合格之日起顺延壹年。</w:t>
      </w:r>
    </w:p>
    <w:p w14:paraId="07C36561">
      <w:pPr>
        <w:keepNext w:val="0"/>
        <w:keepLines w:val="0"/>
        <w:pageBreakBefore w:val="0"/>
        <w:numPr>
          <w:ilvl w:val="0"/>
          <w:numId w:val="11"/>
        </w:numPr>
        <w:kinsoku/>
        <w:wordWrap/>
        <w:overflowPunct/>
        <w:topLinePunct w:val="0"/>
        <w:bidi w:val="0"/>
        <w:spacing w:afterLines="0" w:line="360" w:lineRule="auto"/>
        <w:ind w:firstLine="452" w:firstLineChars="196"/>
        <w:textAlignment w:val="auto"/>
        <w:rPr>
          <w:rFonts w:hint="eastAsia" w:ascii="宋体" w:hAnsi="宋体" w:eastAsia="宋体" w:cs="宋体"/>
          <w:b/>
          <w:bCs/>
          <w:color w:val="auto"/>
          <w:spacing w:val="10"/>
          <w:sz w:val="21"/>
          <w:szCs w:val="21"/>
          <w:highlight w:val="none"/>
          <w:lang w:val="en-US" w:eastAsia="zh-CN"/>
        </w:rPr>
      </w:pPr>
      <w:r>
        <w:rPr>
          <w:rFonts w:hint="eastAsia" w:ascii="宋体" w:hAnsi="宋体" w:eastAsia="宋体" w:cs="宋体"/>
          <w:b/>
          <w:bCs/>
          <w:color w:val="auto"/>
          <w:spacing w:val="10"/>
          <w:sz w:val="21"/>
          <w:szCs w:val="21"/>
          <w:highlight w:val="none"/>
        </w:rPr>
        <w:t xml:space="preserve"> </w:t>
      </w:r>
      <w:r>
        <w:rPr>
          <w:rFonts w:hint="eastAsia" w:ascii="宋体" w:hAnsi="宋体" w:eastAsia="宋体" w:cs="宋体"/>
          <w:b/>
          <w:bCs/>
          <w:color w:val="auto"/>
          <w:spacing w:val="10"/>
          <w:sz w:val="21"/>
          <w:szCs w:val="21"/>
          <w:highlight w:val="none"/>
          <w:lang w:val="en-US" w:eastAsia="zh-CN"/>
        </w:rPr>
        <w:t>规范及报检报验</w:t>
      </w:r>
    </w:p>
    <w:p w14:paraId="5684FA5E">
      <w:pPr>
        <w:keepNext w:val="0"/>
        <w:keepLines w:val="0"/>
        <w:pageBreakBefore w:val="0"/>
        <w:kinsoku/>
        <w:wordWrap/>
        <w:overflowPunct/>
        <w:topLinePunct w:val="0"/>
        <w:bidi w:val="0"/>
        <w:spacing w:afterLines="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满足本合同附件2技术规范书相关要求。</w:t>
      </w:r>
    </w:p>
    <w:p w14:paraId="5946A78A">
      <w:pPr>
        <w:keepNext w:val="0"/>
        <w:keepLines w:val="0"/>
        <w:pageBreakBefore w:val="0"/>
        <w:kinsoku/>
        <w:wordWrap/>
        <w:overflowPunct/>
        <w:topLinePunct w:val="0"/>
        <w:bidi w:val="0"/>
        <w:spacing w:afterLines="0" w:line="360" w:lineRule="auto"/>
        <w:ind w:firstLine="452" w:firstLineChars="196"/>
        <w:textAlignment w:val="auto"/>
        <w:rPr>
          <w:rFonts w:hint="eastAsia" w:ascii="宋体" w:hAnsi="宋体" w:eastAsia="宋体" w:cs="宋体"/>
          <w:b/>
          <w:bCs/>
          <w:color w:val="auto"/>
          <w:spacing w:val="10"/>
          <w:sz w:val="21"/>
          <w:szCs w:val="21"/>
          <w:highlight w:val="none"/>
          <w:lang w:val="en-US" w:eastAsia="zh-CN"/>
        </w:rPr>
      </w:pPr>
      <w:r>
        <w:rPr>
          <w:rFonts w:hint="eastAsia" w:ascii="宋体" w:hAnsi="宋体" w:eastAsia="宋体" w:cs="宋体"/>
          <w:b/>
          <w:bCs/>
          <w:color w:val="auto"/>
          <w:spacing w:val="10"/>
          <w:sz w:val="21"/>
          <w:szCs w:val="21"/>
          <w:highlight w:val="none"/>
        </w:rPr>
        <w:t>第十</w:t>
      </w:r>
      <w:r>
        <w:rPr>
          <w:rFonts w:hint="eastAsia" w:ascii="宋体" w:hAnsi="宋体" w:eastAsia="宋体" w:cs="宋体"/>
          <w:b/>
          <w:bCs/>
          <w:color w:val="auto"/>
          <w:spacing w:val="10"/>
          <w:sz w:val="21"/>
          <w:szCs w:val="21"/>
          <w:highlight w:val="none"/>
          <w:lang w:val="en-US" w:eastAsia="zh-CN"/>
        </w:rPr>
        <w:t>一</w:t>
      </w:r>
      <w:r>
        <w:rPr>
          <w:rFonts w:hint="eastAsia" w:ascii="宋体" w:hAnsi="宋体" w:eastAsia="宋体" w:cs="宋体"/>
          <w:b/>
          <w:bCs/>
          <w:color w:val="auto"/>
          <w:spacing w:val="10"/>
          <w:sz w:val="21"/>
          <w:szCs w:val="21"/>
          <w:highlight w:val="none"/>
        </w:rPr>
        <w:t>条  违约</w:t>
      </w:r>
      <w:r>
        <w:rPr>
          <w:rFonts w:hint="eastAsia" w:ascii="宋体" w:hAnsi="宋体" w:eastAsia="宋体" w:cs="宋体"/>
          <w:b/>
          <w:bCs/>
          <w:color w:val="auto"/>
          <w:spacing w:val="10"/>
          <w:sz w:val="21"/>
          <w:szCs w:val="21"/>
          <w:highlight w:val="none"/>
          <w:lang w:val="en-US" w:eastAsia="zh-CN"/>
        </w:rPr>
        <w:t>责任</w:t>
      </w:r>
    </w:p>
    <w:p w14:paraId="7C2B75DC">
      <w:pPr>
        <w:keepNext w:val="0"/>
        <w:keepLines w:val="0"/>
        <w:pageBreakBefore w:val="0"/>
        <w:kinsoku/>
        <w:wordWrap/>
        <w:overflowPunct/>
        <w:topLinePunct w:val="0"/>
        <w:bidi w:val="0"/>
        <w:spacing w:afterLines="0" w:line="360" w:lineRule="auto"/>
        <w:ind w:firstLine="482"/>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严格按项目要求的工期</w:t>
      </w:r>
      <w:r>
        <w:rPr>
          <w:rFonts w:hint="eastAsia" w:ascii="宋体" w:hAnsi="宋体" w:eastAsia="宋体" w:cs="宋体"/>
          <w:bCs/>
          <w:color w:val="auto"/>
          <w:sz w:val="21"/>
          <w:szCs w:val="21"/>
          <w:highlight w:val="none"/>
          <w:lang w:val="en-US" w:eastAsia="zh-CN"/>
        </w:rPr>
        <w:t>完成</w:t>
      </w:r>
      <w:r>
        <w:rPr>
          <w:rFonts w:hint="eastAsia" w:ascii="宋体" w:hAnsi="宋体" w:eastAsia="宋体" w:cs="宋体"/>
          <w:bCs/>
          <w:color w:val="auto"/>
          <w:sz w:val="21"/>
          <w:szCs w:val="21"/>
          <w:highlight w:val="none"/>
        </w:rPr>
        <w:t>施工，非</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原因，</w:t>
      </w:r>
      <w:r>
        <w:rPr>
          <w:rFonts w:hint="eastAsia" w:ascii="宋体" w:hAnsi="宋体" w:eastAsia="宋体" w:cs="宋体"/>
          <w:bCs/>
          <w:color w:val="auto"/>
          <w:sz w:val="21"/>
          <w:szCs w:val="21"/>
          <w:highlight w:val="none"/>
          <w:lang w:val="en-US" w:eastAsia="zh-CN"/>
        </w:rPr>
        <w:t>除依照本合同3.3条款进行考核外，超过</w:t>
      </w:r>
      <w:r>
        <w:rPr>
          <w:rFonts w:hint="eastAsia" w:ascii="宋体" w:hAnsi="宋体" w:eastAsia="宋体" w:cs="宋体"/>
          <w:color w:val="auto"/>
          <w:sz w:val="21"/>
          <w:szCs w:val="21"/>
          <w:highlight w:val="none"/>
        </w:rPr>
        <w:t>总工期每延迟一天承担违约金</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u w:val="single"/>
          <w:lang w:val="en-US" w:eastAsia="zh-CN"/>
        </w:rPr>
        <w:t>0</w:t>
      </w:r>
      <w:r>
        <w:rPr>
          <w:rFonts w:hint="eastAsia" w:ascii="宋体" w:hAnsi="宋体" w:eastAsia="宋体" w:cs="宋体"/>
          <w:b/>
          <w:bCs/>
          <w:color w:val="auto"/>
          <w:sz w:val="21"/>
          <w:szCs w:val="21"/>
          <w:highlight w:val="none"/>
          <w:u w:val="single"/>
        </w:rPr>
        <w:t>000</w:t>
      </w:r>
      <w:r>
        <w:rPr>
          <w:rFonts w:hint="eastAsia" w:ascii="宋体" w:hAnsi="宋体" w:eastAsia="宋体" w:cs="宋体"/>
          <w:b/>
          <w:bCs/>
          <w:color w:val="auto"/>
          <w:sz w:val="21"/>
          <w:szCs w:val="21"/>
          <w:highlight w:val="none"/>
          <w:u w:val="single"/>
          <w:lang w:val="en-US" w:eastAsia="zh-CN"/>
        </w:rPr>
        <w:t>0</w:t>
      </w:r>
      <w:r>
        <w:rPr>
          <w:rFonts w:hint="eastAsia" w:ascii="宋体" w:hAnsi="宋体" w:eastAsia="宋体" w:cs="宋体"/>
          <w:b/>
          <w:bCs/>
          <w:color w:val="auto"/>
          <w:sz w:val="21"/>
          <w:szCs w:val="21"/>
          <w:highlight w:val="none"/>
        </w:rPr>
        <w:t>元</w:t>
      </w:r>
      <w:r>
        <w:rPr>
          <w:rFonts w:hint="eastAsia" w:ascii="宋体" w:hAnsi="宋体" w:eastAsia="宋体" w:cs="宋体"/>
          <w:b/>
          <w:bCs/>
          <w:color w:val="auto"/>
          <w:sz w:val="21"/>
          <w:szCs w:val="21"/>
          <w:highlight w:val="none"/>
          <w:lang w:val="en-US" w:eastAsia="zh-CN"/>
        </w:rPr>
        <w:t>/天</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违约金从本合同剩余应支付价款中予以扣除，累计扣罚超过合同总价的20%的，属于严重违约，甲方有权解除合同，并要求乙方同时承担损失赔偿责任，包括但不限于另行委托第三人整改费用、供电损失、业主罚款等直接经济损失，以及律师费、诉讼费、保全费等权利救济发生的费用。</w:t>
      </w:r>
    </w:p>
    <w:p w14:paraId="5B20F225">
      <w:pPr>
        <w:pStyle w:val="29"/>
        <w:keepNext w:val="0"/>
        <w:keepLines w:val="0"/>
        <w:pageBreakBefore w:val="0"/>
        <w:kinsoku/>
        <w:wordWrap/>
        <w:overflowPunct/>
        <w:topLinePunct w:val="0"/>
        <w:bidi w:val="0"/>
        <w:spacing w:afterLines="0" w:line="360" w:lineRule="auto"/>
        <w:ind w:firstLine="48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.2因</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原因工程质量达不到</w:t>
      </w:r>
      <w:r>
        <w:rPr>
          <w:rFonts w:hint="eastAsia" w:ascii="宋体" w:hAnsi="宋体" w:eastAsia="宋体" w:cs="宋体"/>
          <w:color w:val="auto"/>
          <w:sz w:val="21"/>
          <w:szCs w:val="21"/>
          <w:highlight w:val="none"/>
          <w:lang w:val="en-US" w:eastAsia="zh-CN"/>
        </w:rPr>
        <w:t>技术规范书</w:t>
      </w:r>
      <w:r>
        <w:rPr>
          <w:rFonts w:hint="eastAsia" w:ascii="宋体" w:hAnsi="宋体" w:eastAsia="宋体" w:cs="宋体"/>
          <w:color w:val="auto"/>
          <w:sz w:val="21"/>
          <w:szCs w:val="21"/>
          <w:highlight w:val="none"/>
        </w:rPr>
        <w:t>约定的质量标准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验收标准、取得项目所在地</w:t>
      </w:r>
      <w:r>
        <w:rPr>
          <w:rFonts w:hint="eastAsia" w:ascii="宋体" w:hAnsi="宋体" w:eastAsia="宋体" w:cs="宋体"/>
          <w:bCs/>
          <w:color w:val="auto"/>
          <w:sz w:val="21"/>
          <w:szCs w:val="21"/>
          <w:highlight w:val="none"/>
        </w:rPr>
        <w:t>地方</w:t>
      </w:r>
      <w:r>
        <w:rPr>
          <w:rFonts w:hint="eastAsia" w:ascii="宋体" w:hAnsi="宋体" w:eastAsia="宋体" w:cs="宋体"/>
          <w:bCs/>
          <w:color w:val="auto"/>
          <w:sz w:val="21"/>
          <w:szCs w:val="21"/>
          <w:highlight w:val="none"/>
          <w:lang w:val="en-US" w:eastAsia="zh-CN"/>
        </w:rPr>
        <w:t>行政</w:t>
      </w:r>
      <w:r>
        <w:rPr>
          <w:rFonts w:hint="eastAsia" w:ascii="宋体" w:hAnsi="宋体" w:eastAsia="宋体" w:cs="宋体"/>
          <w:bCs/>
          <w:color w:val="auto"/>
          <w:sz w:val="21"/>
          <w:szCs w:val="21"/>
          <w:highlight w:val="none"/>
        </w:rPr>
        <w:t>部门现场监检</w:t>
      </w:r>
      <w:r>
        <w:rPr>
          <w:rFonts w:hint="eastAsia" w:ascii="宋体" w:hAnsi="宋体" w:eastAsia="宋体" w:cs="宋体"/>
          <w:color w:val="auto"/>
          <w:sz w:val="21"/>
          <w:szCs w:val="21"/>
          <w:highlight w:val="none"/>
        </w:rPr>
        <w:t>，则</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负责无条件整改直至合格，所延误工期不予顺延，并承担由此造成</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的一切损失。</w:t>
      </w:r>
    </w:p>
    <w:p w14:paraId="4C3B4013">
      <w:pPr>
        <w:keepNext w:val="0"/>
        <w:keepLines w:val="0"/>
        <w:pageBreakBefore w:val="0"/>
        <w:kinsoku/>
        <w:wordWrap/>
        <w:overflowPunct/>
        <w:topLinePunct w:val="0"/>
        <w:bidi w:val="0"/>
        <w:spacing w:afterLines="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.3施工过程中</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应做好</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设备、设施的防护工作，如保护不当造成损坏，因此造成的直接或间接损失</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应予以赔偿。</w:t>
      </w:r>
    </w:p>
    <w:p w14:paraId="667A69CF">
      <w:pPr>
        <w:keepNext w:val="0"/>
        <w:keepLines w:val="0"/>
        <w:pageBreakBefore w:val="0"/>
        <w:kinsoku/>
        <w:wordWrap/>
        <w:overflowPunct/>
        <w:topLinePunct w:val="0"/>
        <w:bidi w:val="0"/>
        <w:spacing w:afterLines="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.4施工过程中达不到</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lang w:val="en-US" w:eastAsia="zh-CN"/>
        </w:rPr>
        <w:t>或广青科技</w:t>
      </w:r>
      <w:r>
        <w:rPr>
          <w:rFonts w:hint="eastAsia" w:ascii="宋体" w:hAnsi="宋体" w:eastAsia="宋体" w:cs="宋体"/>
          <w:bCs/>
          <w:color w:val="auto"/>
          <w:sz w:val="21"/>
          <w:szCs w:val="21"/>
          <w:highlight w:val="none"/>
        </w:rPr>
        <w:t>有关安全文明生产规定及违章作业，</w:t>
      </w:r>
      <w:r>
        <w:rPr>
          <w:rFonts w:hint="eastAsia" w:ascii="宋体" w:hAnsi="宋体" w:eastAsia="宋体" w:cs="宋体"/>
          <w:bCs/>
          <w:color w:val="auto"/>
          <w:sz w:val="21"/>
          <w:szCs w:val="21"/>
          <w:highlight w:val="none"/>
          <w:lang w:val="en-US" w:eastAsia="zh-CN"/>
        </w:rPr>
        <w:t>产生的安全罚款以及给甲方造成</w:t>
      </w:r>
      <w:r>
        <w:rPr>
          <w:rFonts w:hint="eastAsia" w:ascii="宋体" w:hAnsi="宋体" w:eastAsia="宋体" w:cs="宋体"/>
          <w:bCs/>
          <w:color w:val="auto"/>
          <w:sz w:val="21"/>
          <w:szCs w:val="21"/>
          <w:highlight w:val="none"/>
        </w:rPr>
        <w:t>所有损失由</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lang w:val="en-US" w:eastAsia="zh-CN"/>
        </w:rPr>
        <w:t>自行</w:t>
      </w:r>
      <w:r>
        <w:rPr>
          <w:rFonts w:hint="eastAsia" w:ascii="宋体" w:hAnsi="宋体" w:eastAsia="宋体" w:cs="宋体"/>
          <w:bCs/>
          <w:color w:val="auto"/>
          <w:sz w:val="21"/>
          <w:szCs w:val="21"/>
          <w:highlight w:val="none"/>
        </w:rPr>
        <w:t>承担</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由乙方自行缴纳，如乙方拒绝缴纳，甲方有权在合同总价中予以扣除</w:t>
      </w:r>
      <w:r>
        <w:rPr>
          <w:rFonts w:hint="eastAsia" w:ascii="宋体" w:hAnsi="宋体" w:eastAsia="宋体" w:cs="宋体"/>
          <w:bCs/>
          <w:color w:val="auto"/>
          <w:sz w:val="21"/>
          <w:szCs w:val="21"/>
          <w:highlight w:val="none"/>
        </w:rPr>
        <w:t>。</w:t>
      </w:r>
    </w:p>
    <w:p w14:paraId="3CF06508">
      <w:pPr>
        <w:keepNext w:val="0"/>
        <w:keepLines w:val="0"/>
        <w:pageBreakBefore w:val="0"/>
        <w:kinsoku/>
        <w:wordWrap/>
        <w:overflowPunct/>
        <w:topLinePunct w:val="0"/>
        <w:bidi w:val="0"/>
        <w:spacing w:afterLines="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.5施工中不按</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管理人员要求施工，按</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有关规定罚款，在</w:t>
      </w:r>
      <w:r>
        <w:rPr>
          <w:rFonts w:hint="eastAsia" w:ascii="宋体" w:hAnsi="宋体" w:eastAsia="宋体" w:cs="宋体"/>
          <w:bCs/>
          <w:color w:val="auto"/>
          <w:sz w:val="21"/>
          <w:szCs w:val="21"/>
          <w:highlight w:val="none"/>
          <w:lang w:val="en-US" w:eastAsia="zh-CN"/>
        </w:rPr>
        <w:t>合同</w:t>
      </w:r>
      <w:r>
        <w:rPr>
          <w:rFonts w:hint="eastAsia" w:ascii="宋体" w:hAnsi="宋体" w:eastAsia="宋体" w:cs="宋体"/>
          <w:bCs/>
          <w:color w:val="auto"/>
          <w:sz w:val="21"/>
          <w:szCs w:val="21"/>
          <w:highlight w:val="none"/>
        </w:rPr>
        <w:t>总价中扣除。</w:t>
      </w:r>
    </w:p>
    <w:p w14:paraId="2021C5F1">
      <w:pPr>
        <w:pStyle w:val="15"/>
        <w:keepNext w:val="0"/>
        <w:keepLines w:val="0"/>
        <w:pageBreakBefore w:val="0"/>
        <w:kinsoku/>
        <w:wordWrap/>
        <w:overflowPunct/>
        <w:topLinePunct w:val="0"/>
        <w:bidi w:val="0"/>
        <w:spacing w:afterLines="0" w:line="360" w:lineRule="auto"/>
        <w:ind w:left="0" w:leftChars="0" w:firstLine="415" w:firstLineChars="197"/>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.6因</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原因解除合同时，</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对</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处以</w:t>
      </w:r>
      <w:r>
        <w:rPr>
          <w:rFonts w:hint="eastAsia" w:ascii="宋体" w:hAnsi="宋体" w:eastAsia="宋体" w:cs="宋体"/>
          <w:bCs/>
          <w:color w:val="auto"/>
          <w:sz w:val="21"/>
          <w:szCs w:val="21"/>
          <w:highlight w:val="none"/>
          <w:lang w:val="en-US" w:eastAsia="zh-CN"/>
        </w:rPr>
        <w:t>预付款双倍</w:t>
      </w:r>
      <w:r>
        <w:rPr>
          <w:rFonts w:hint="eastAsia" w:ascii="宋体" w:hAnsi="宋体" w:eastAsia="宋体" w:cs="宋体"/>
          <w:bCs/>
          <w:color w:val="auto"/>
          <w:sz w:val="21"/>
          <w:szCs w:val="21"/>
          <w:highlight w:val="none"/>
        </w:rPr>
        <w:t>的违约金，且</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有权决定是否接受属于</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在现场的一切设施、设备、材料使用与本工程，并有进一步要求</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索赔的权利。</w:t>
      </w:r>
    </w:p>
    <w:p w14:paraId="48D4C9D6">
      <w:pPr>
        <w:pStyle w:val="16"/>
        <w:spacing w:afterLines="0" w:line="360" w:lineRule="auto"/>
        <w:ind w:firstLine="42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第十</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 xml:space="preserve">条  </w:t>
      </w:r>
      <w:r>
        <w:rPr>
          <w:rFonts w:hint="eastAsia" w:ascii="宋体" w:hAnsi="宋体" w:eastAsia="宋体" w:cs="宋体"/>
          <w:b/>
          <w:bCs/>
          <w:color w:val="auto"/>
          <w:sz w:val="21"/>
          <w:szCs w:val="21"/>
          <w:highlight w:val="none"/>
          <w:lang w:val="en-US" w:eastAsia="zh-CN"/>
        </w:rPr>
        <w:t>履约担保</w:t>
      </w:r>
    </w:p>
    <w:p w14:paraId="72630213">
      <w:pPr>
        <w:pStyle w:val="16"/>
        <w:spacing w:afterLines="0" w:line="360" w:lineRule="auto"/>
        <w:rPr>
          <w:rFonts w:hint="eastAsia" w:ascii="宋体" w:hAnsi="宋体" w:eastAsia="宋体" w:cs="宋体"/>
          <w:bCs/>
          <w:color w:val="auto"/>
          <w:sz w:val="21"/>
          <w:szCs w:val="21"/>
          <w:highlight w:val="none"/>
          <w:lang w:val="en-US" w:eastAsia="zh-CN" w:bidi="ar-SA"/>
        </w:rPr>
      </w:pPr>
      <w:r>
        <w:rPr>
          <w:rFonts w:hint="eastAsia" w:ascii="宋体" w:hAnsi="宋体" w:eastAsia="宋体" w:cs="宋体"/>
          <w:color w:val="auto"/>
          <w:highlight w:val="none"/>
          <w:lang w:val="en-US" w:eastAsia="zh-CN"/>
        </w:rPr>
        <w:t xml:space="preserve">    </w:t>
      </w:r>
      <w:r>
        <w:rPr>
          <w:rFonts w:hint="eastAsia" w:ascii="宋体" w:hAnsi="宋体" w:eastAsia="宋体" w:cs="宋体"/>
          <w:bCs/>
          <w:color w:val="auto"/>
          <w:sz w:val="21"/>
          <w:szCs w:val="21"/>
          <w:highlight w:val="none"/>
          <w:lang w:val="en-US" w:eastAsia="zh-CN" w:bidi="ar-SA"/>
        </w:rPr>
        <w:t>卖方在合同签订之日起7个工作日内，向买方提交金额为本合同总价10%的不可撤销银行保函或履约保证金作为履行合同的担保，即担保金额为人民币</w:t>
      </w:r>
      <w:r>
        <w:rPr>
          <w:rFonts w:hint="eastAsia" w:ascii="宋体" w:hAnsi="宋体" w:eastAsia="宋体" w:cs="宋体"/>
          <w:bCs/>
          <w:color w:val="auto"/>
          <w:sz w:val="21"/>
          <w:szCs w:val="21"/>
          <w:highlight w:val="none"/>
          <w:u w:val="single"/>
          <w:lang w:val="en-US" w:eastAsia="zh-CN" w:bidi="ar-SA"/>
        </w:rPr>
        <w:t xml:space="preserve">        </w:t>
      </w:r>
      <w:r>
        <w:rPr>
          <w:rFonts w:hint="eastAsia" w:ascii="宋体" w:hAnsi="宋体" w:eastAsia="宋体" w:cs="宋体"/>
          <w:bCs/>
          <w:color w:val="auto"/>
          <w:sz w:val="21"/>
          <w:szCs w:val="21"/>
          <w:highlight w:val="none"/>
          <w:lang w:val="en-US" w:eastAsia="zh-CN" w:bidi="ar-SA"/>
        </w:rPr>
        <w:t>元 （大写：</w:t>
      </w:r>
      <w:r>
        <w:rPr>
          <w:rFonts w:hint="eastAsia" w:ascii="宋体" w:hAnsi="宋体" w:eastAsia="宋体" w:cs="宋体"/>
          <w:bCs/>
          <w:color w:val="auto"/>
          <w:sz w:val="21"/>
          <w:szCs w:val="21"/>
          <w:highlight w:val="none"/>
          <w:u w:val="single"/>
          <w:lang w:val="en-US" w:eastAsia="zh-CN" w:bidi="ar-SA"/>
        </w:rPr>
        <w:t xml:space="preserve">         </w:t>
      </w:r>
      <w:r>
        <w:rPr>
          <w:rFonts w:hint="eastAsia" w:ascii="宋体" w:hAnsi="宋体" w:eastAsia="宋体" w:cs="宋体"/>
          <w:bCs/>
          <w:color w:val="auto"/>
          <w:sz w:val="21"/>
          <w:szCs w:val="21"/>
          <w:highlight w:val="none"/>
          <w:lang w:val="en-US" w:eastAsia="zh-CN" w:bidi="ar-SA"/>
        </w:rPr>
        <w:t>元整）。履约担保期限从合同签订之日起至项目竣工验收合格后一个月后保持有效；卖方在本合同项下的义务全部履行完毕，且经买方验收合格（或者视同验收合格），卖方向买方提供履约保证金、履约保函退还申请书，买方审核无误后五个工作日内无息退还。若卖方不履行合同或者履行不符合合同约定或者有任何其他违约行为，买方有权扣除卖方履约保证金、要求支付履约保函金额，买方暂扣的履约保证金、履约保函金额不足以扣除违约赔偿费用的，买方有权在卖方的结算款中扣除或由卖方自行补足，买方在扣除该笔违约赔偿费用前书面通知卖方。</w:t>
      </w:r>
    </w:p>
    <w:p w14:paraId="6A760DA7">
      <w:pPr>
        <w:pStyle w:val="16"/>
        <w:spacing w:afterLines="0" w:line="360" w:lineRule="auto"/>
        <w:ind w:firstLine="42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条  合同纠纷解决方式</w:t>
      </w:r>
    </w:p>
    <w:p w14:paraId="5F18A347">
      <w:pPr>
        <w:keepNext w:val="0"/>
        <w:keepLines w:val="0"/>
        <w:pageBreakBefore w:val="0"/>
        <w:kinsoku/>
        <w:wordWrap/>
        <w:overflowPunct/>
        <w:topLinePunct w:val="0"/>
        <w:bidi w:val="0"/>
        <w:spacing w:afterLines="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如发生争议，双方约定，在履行合同过程中产生争议时：双方约定向</w:t>
      </w:r>
      <w:r>
        <w:rPr>
          <w:rFonts w:hint="eastAsia" w:ascii="宋体" w:hAnsi="宋体" w:eastAsia="宋体" w:cs="宋体"/>
          <w:bCs/>
          <w:color w:val="auto"/>
          <w:sz w:val="21"/>
          <w:szCs w:val="21"/>
          <w:highlight w:val="none"/>
          <w:u w:val="single"/>
        </w:rPr>
        <w:t>合同签订地</w:t>
      </w:r>
      <w:r>
        <w:rPr>
          <w:rFonts w:hint="eastAsia" w:ascii="宋体" w:hAnsi="宋体" w:eastAsia="宋体" w:cs="宋体"/>
          <w:bCs/>
          <w:color w:val="auto"/>
          <w:sz w:val="21"/>
          <w:szCs w:val="21"/>
          <w:highlight w:val="none"/>
        </w:rPr>
        <w:t>人民法院起诉。</w:t>
      </w:r>
    </w:p>
    <w:p w14:paraId="52F39DAD">
      <w:pPr>
        <w:keepNext w:val="0"/>
        <w:keepLines w:val="0"/>
        <w:pageBreakBefore w:val="0"/>
        <w:kinsoku/>
        <w:wordWrap/>
        <w:overflowPunct/>
        <w:topLinePunct w:val="0"/>
        <w:bidi w:val="0"/>
        <w:spacing w:afterLines="0" w:line="360" w:lineRule="auto"/>
        <w:ind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bCs/>
          <w:color w:val="auto"/>
          <w:sz w:val="21"/>
          <w:szCs w:val="21"/>
          <w:highlight w:val="none"/>
        </w:rPr>
        <w:t>第十</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 xml:space="preserve">条  </w:t>
      </w:r>
      <w:r>
        <w:rPr>
          <w:rFonts w:hint="eastAsia" w:ascii="宋体" w:hAnsi="宋体" w:eastAsia="宋体" w:cs="宋体"/>
          <w:b/>
          <w:bCs/>
          <w:color w:val="auto"/>
          <w:spacing w:val="10"/>
          <w:sz w:val="21"/>
          <w:szCs w:val="21"/>
          <w:highlight w:val="none"/>
        </w:rPr>
        <w:t>其他事宜</w:t>
      </w:r>
    </w:p>
    <w:p w14:paraId="16890CC1">
      <w:pPr>
        <w:pStyle w:val="104"/>
        <w:keepNext w:val="0"/>
        <w:keepLines w:val="0"/>
        <w:pageBreakBefore w:val="0"/>
        <w:kinsoku/>
        <w:wordWrap/>
        <w:overflowPunct/>
        <w:topLinePunct w:val="0"/>
        <w:bidi w:val="0"/>
        <w:spacing w:before="0" w:after="0" w:afterLines="0" w:line="360" w:lineRule="auto"/>
        <w:ind w:left="359" w:leftChars="171" w:right="44" w:firstLine="105" w:firstLineChars="50"/>
        <w:textAlignment w:val="auto"/>
        <w:rPr>
          <w:rFonts w:hint="eastAsia" w:ascii="宋体" w:hAnsi="宋体" w:eastAsia="宋体" w:cs="宋体"/>
          <w:bCs/>
          <w:color w:val="auto"/>
          <w:szCs w:val="24"/>
          <w:highlight w:val="none"/>
        </w:rPr>
      </w:pPr>
      <w:r>
        <w:rPr>
          <w:rFonts w:hint="eastAsia" w:ascii="宋体" w:hAnsi="宋体" w:eastAsia="宋体" w:cs="宋体"/>
          <w:bCs/>
          <w:color w:val="auto"/>
          <w:sz w:val="21"/>
          <w:szCs w:val="21"/>
          <w:highlight w:val="none"/>
        </w:rPr>
        <w:t>本合同自双方签字盖章后生效。</w:t>
      </w: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u w:val="single"/>
          <w:lang w:val="en-US" w:eastAsia="zh-CN"/>
        </w:rPr>
        <w:t>伍</w:t>
      </w:r>
      <w:r>
        <w:rPr>
          <w:rFonts w:hint="eastAsia" w:ascii="宋体" w:hAnsi="宋体" w:eastAsia="宋体" w:cs="宋体"/>
          <w:color w:val="auto"/>
          <w:sz w:val="21"/>
          <w:szCs w:val="21"/>
          <w:highlight w:val="none"/>
        </w:rPr>
        <w:t>份，双方各执</w:t>
      </w:r>
      <w:r>
        <w:rPr>
          <w:rFonts w:hint="eastAsia" w:ascii="宋体" w:hAnsi="宋体" w:eastAsia="宋体" w:cs="宋体"/>
          <w:color w:val="auto"/>
          <w:sz w:val="21"/>
          <w:szCs w:val="21"/>
          <w:highlight w:val="none"/>
          <w:u w:val="single"/>
        </w:rPr>
        <w:t>两</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招标代理机构执</w:t>
      </w:r>
      <w:r>
        <w:rPr>
          <w:rFonts w:hint="eastAsia" w:ascii="宋体" w:hAnsi="宋体" w:eastAsia="宋体" w:cs="宋体"/>
          <w:color w:val="auto"/>
          <w:sz w:val="21"/>
          <w:szCs w:val="21"/>
          <w:highlight w:val="none"/>
          <w:u w:val="single"/>
          <w:lang w:val="en-US" w:eastAsia="zh-CN"/>
        </w:rPr>
        <w:t>一</w:t>
      </w:r>
      <w:r>
        <w:rPr>
          <w:rFonts w:hint="eastAsia" w:ascii="宋体" w:hAnsi="宋体" w:eastAsia="宋体" w:cs="宋体"/>
          <w:color w:val="auto"/>
          <w:sz w:val="21"/>
          <w:szCs w:val="21"/>
          <w:highlight w:val="none"/>
          <w:lang w:val="en-US" w:eastAsia="zh-CN"/>
        </w:rPr>
        <w:t>份</w:t>
      </w:r>
      <w:r>
        <w:rPr>
          <w:rFonts w:hint="eastAsia" w:ascii="宋体" w:hAnsi="宋体" w:eastAsia="宋体" w:cs="宋体"/>
          <w:color w:val="auto"/>
          <w:spacing w:val="10"/>
          <w:sz w:val="21"/>
          <w:szCs w:val="21"/>
          <w:highlight w:val="none"/>
        </w:rPr>
        <w:t>。  </w:t>
      </w:r>
      <w:r>
        <w:rPr>
          <w:rFonts w:hint="eastAsia" w:ascii="宋体" w:hAnsi="宋体" w:eastAsia="宋体" w:cs="宋体"/>
          <w:color w:val="auto"/>
          <w:spacing w:val="10"/>
          <w:highlight w:val="none"/>
        </w:rPr>
        <w:t xml:space="preserve"> </w:t>
      </w:r>
    </w:p>
    <w:p w14:paraId="0D2793CE">
      <w:pPr>
        <w:spacing w:afterLines="0" w:line="360" w:lineRule="auto"/>
        <w:rPr>
          <w:rFonts w:hint="eastAsia" w:ascii="宋体" w:hAnsi="宋体" w:eastAsia="宋体" w:cs="宋体"/>
          <w:i/>
          <w:color w:val="auto"/>
          <w:spacing w:val="10"/>
          <w:sz w:val="24"/>
          <w:highlight w:val="none"/>
        </w:rPr>
      </w:pPr>
    </w:p>
    <w:p w14:paraId="2A7AB882">
      <w:pPr>
        <w:spacing w:afterLines="0" w:line="360" w:lineRule="auto"/>
        <w:ind w:firstLine="520" w:firstLineChars="200"/>
        <w:rPr>
          <w:rFonts w:hint="eastAsia" w:ascii="宋体" w:hAnsi="宋体" w:eastAsia="宋体" w:cs="宋体"/>
          <w:i/>
          <w:color w:val="auto"/>
          <w:spacing w:val="10"/>
          <w:sz w:val="24"/>
          <w:highlight w:val="none"/>
        </w:rPr>
      </w:pPr>
      <w:r>
        <w:rPr>
          <w:rFonts w:hint="eastAsia" w:ascii="宋体" w:hAnsi="宋体" w:eastAsia="宋体" w:cs="宋体"/>
          <w:i/>
          <w:color w:val="auto"/>
          <w:spacing w:val="10"/>
          <w:sz w:val="24"/>
          <w:highlight w:val="none"/>
        </w:rPr>
        <w:t>（本页为签字页无正文）</w:t>
      </w:r>
    </w:p>
    <w:p w14:paraId="1FB64D66">
      <w:pPr>
        <w:spacing w:afterLines="0" w:line="360" w:lineRule="auto"/>
        <w:rPr>
          <w:rFonts w:hint="eastAsia" w:ascii="宋体" w:hAnsi="宋体" w:eastAsia="宋体" w:cs="宋体"/>
          <w:color w:val="auto"/>
          <w:spacing w:val="10"/>
          <w:sz w:val="24"/>
          <w:highlight w:val="none"/>
        </w:rPr>
      </w:pPr>
    </w:p>
    <w:p w14:paraId="2932B0AC">
      <w:pPr>
        <w:snapToGrid w:val="0"/>
        <w:spacing w:after="0" w:afterLines="0" w:line="360" w:lineRule="auto"/>
        <w:ind w:firstLine="331" w:firstLineChars="15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eastAsia="zh-CN"/>
        </w:rPr>
        <w:t>甲方</w:t>
      </w:r>
      <w:r>
        <w:rPr>
          <w:rFonts w:hint="eastAsia" w:ascii="宋体" w:hAnsi="宋体" w:eastAsia="宋体" w:cs="宋体"/>
          <w:b/>
          <w:color w:val="auto"/>
          <w:sz w:val="22"/>
          <w:szCs w:val="22"/>
          <w:highlight w:val="none"/>
        </w:rPr>
        <w:t xml:space="preserve">: </w:t>
      </w:r>
      <w:r>
        <w:rPr>
          <w:rFonts w:hint="eastAsia" w:ascii="宋体" w:hAnsi="宋体" w:eastAsia="宋体" w:cs="宋体"/>
          <w:b/>
          <w:color w:val="auto"/>
          <w:sz w:val="22"/>
          <w:szCs w:val="22"/>
          <w:highlight w:val="none"/>
          <w:lang w:eastAsia="zh-CN"/>
        </w:rPr>
        <w:t>阳江开能环保能源有限公司</w:t>
      </w:r>
      <w:r>
        <w:rPr>
          <w:rFonts w:hint="eastAsia" w:ascii="宋体" w:hAnsi="宋体" w:eastAsia="宋体" w:cs="宋体"/>
          <w:b/>
          <w:color w:val="auto"/>
          <w:sz w:val="22"/>
          <w:szCs w:val="22"/>
          <w:highlight w:val="none"/>
        </w:rPr>
        <w:t xml:space="preserve">      </w:t>
      </w:r>
      <w:r>
        <w:rPr>
          <w:rFonts w:hint="eastAsia" w:ascii="宋体" w:hAnsi="宋体" w:eastAsia="宋体" w:cs="宋体"/>
          <w:b/>
          <w:color w:val="auto"/>
          <w:sz w:val="22"/>
          <w:szCs w:val="22"/>
          <w:highlight w:val="none"/>
          <w:lang w:val="en-US" w:eastAsia="zh-CN"/>
        </w:rPr>
        <w:t xml:space="preserve">  </w:t>
      </w:r>
      <w:r>
        <w:rPr>
          <w:rFonts w:hint="eastAsia" w:ascii="宋体" w:hAnsi="宋体" w:eastAsia="宋体" w:cs="宋体"/>
          <w:b/>
          <w:color w:val="auto"/>
          <w:sz w:val="22"/>
          <w:szCs w:val="22"/>
          <w:highlight w:val="none"/>
          <w:lang w:eastAsia="zh-CN"/>
        </w:rPr>
        <w:t>乙方（乙方）</w:t>
      </w:r>
      <w:r>
        <w:rPr>
          <w:rFonts w:hint="eastAsia" w:ascii="宋体" w:hAnsi="宋体" w:eastAsia="宋体" w:cs="宋体"/>
          <w:b/>
          <w:color w:val="auto"/>
          <w:sz w:val="22"/>
          <w:szCs w:val="22"/>
          <w:highlight w:val="none"/>
        </w:rPr>
        <w:t xml:space="preserve">: </w:t>
      </w:r>
    </w:p>
    <w:p w14:paraId="5BD628C7">
      <w:pPr>
        <w:snapToGrid w:val="0"/>
        <w:spacing w:after="0" w:afterLines="0" w:line="360" w:lineRule="auto"/>
        <w:ind w:firstLine="331" w:firstLineChars="150"/>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rPr>
        <w:t>地址：</w:t>
      </w:r>
      <w:r>
        <w:rPr>
          <w:rFonts w:hint="eastAsia" w:ascii="宋体" w:hAnsi="宋体" w:eastAsia="宋体" w:cs="宋体"/>
          <w:b/>
          <w:color w:val="auto"/>
          <w:sz w:val="22"/>
          <w:szCs w:val="22"/>
          <w:highlight w:val="none"/>
          <w:lang w:val="en-US" w:eastAsia="zh-CN"/>
        </w:rPr>
        <w:t xml:space="preserve"> 广东省阳江市高新区港口             </w:t>
      </w:r>
      <w:r>
        <w:rPr>
          <w:rFonts w:hint="eastAsia" w:ascii="宋体" w:hAnsi="宋体" w:eastAsia="宋体" w:cs="宋体"/>
          <w:b/>
          <w:color w:val="auto"/>
          <w:sz w:val="22"/>
          <w:szCs w:val="22"/>
          <w:highlight w:val="none"/>
        </w:rPr>
        <w:t>地址：</w:t>
      </w:r>
    </w:p>
    <w:p w14:paraId="27369B82">
      <w:pPr>
        <w:pStyle w:val="35"/>
        <w:spacing w:afterLines="0" w:line="360" w:lineRule="auto"/>
        <w:ind w:left="0" w:leftChars="0" w:firstLine="221" w:firstLineChars="100"/>
        <w:rPr>
          <w:rFonts w:hint="eastAsia" w:ascii="宋体" w:hAnsi="宋体" w:eastAsia="宋体" w:cs="宋体"/>
          <w:color w:val="auto"/>
          <w:highlight w:val="none"/>
        </w:rPr>
      </w:pPr>
      <w:r>
        <w:rPr>
          <w:rFonts w:hint="eastAsia" w:ascii="宋体" w:hAnsi="宋体" w:eastAsia="宋体" w:cs="宋体"/>
          <w:b/>
          <w:color w:val="auto"/>
          <w:sz w:val="22"/>
          <w:szCs w:val="22"/>
          <w:highlight w:val="none"/>
          <w:lang w:val="en-US" w:eastAsia="zh-CN"/>
        </w:rPr>
        <w:t>工业区海港二横路一号</w:t>
      </w:r>
    </w:p>
    <w:p w14:paraId="2CC36364">
      <w:pPr>
        <w:snapToGrid w:val="0"/>
        <w:spacing w:after="0" w:afterLines="0" w:line="360" w:lineRule="auto"/>
        <w:ind w:firstLine="331" w:firstLineChars="150"/>
        <w:rPr>
          <w:rFonts w:hint="eastAsia" w:ascii="宋体" w:hAnsi="宋体" w:eastAsia="宋体" w:cs="宋体"/>
          <w:b/>
          <w:color w:val="auto"/>
          <w:sz w:val="22"/>
          <w:szCs w:val="22"/>
          <w:highlight w:val="none"/>
        </w:rPr>
      </w:pPr>
    </w:p>
    <w:p w14:paraId="3293AF26">
      <w:pPr>
        <w:snapToGrid w:val="0"/>
        <w:spacing w:after="0" w:afterLines="0" w:line="360" w:lineRule="auto"/>
        <w:ind w:firstLine="331" w:firstLineChars="150"/>
        <w:rPr>
          <w:rFonts w:hint="eastAsia" w:ascii="宋体" w:hAnsi="宋体" w:eastAsia="宋体" w:cs="宋体"/>
          <w:b/>
          <w:color w:val="auto"/>
          <w:sz w:val="22"/>
          <w:szCs w:val="22"/>
          <w:highlight w:val="none"/>
        </w:rPr>
      </w:pPr>
    </w:p>
    <w:p w14:paraId="099AF90B">
      <w:pPr>
        <w:snapToGrid w:val="0"/>
        <w:spacing w:after="0" w:afterLines="0"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法定代表人</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授权代表</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                         法定代表人</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授权代表</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w:t>
      </w:r>
    </w:p>
    <w:p w14:paraId="4A96A595">
      <w:pPr>
        <w:pStyle w:val="35"/>
        <w:spacing w:afterLines="0" w:line="360" w:lineRule="auto"/>
        <w:ind w:firstLine="0" w:firstLineChars="0"/>
        <w:rPr>
          <w:rFonts w:hint="eastAsia" w:ascii="宋体" w:hAnsi="宋体" w:eastAsia="宋体" w:cs="宋体"/>
          <w:b/>
          <w:color w:val="auto"/>
          <w:spacing w:val="-10"/>
          <w:sz w:val="24"/>
          <w:highlight w:val="none"/>
        </w:rPr>
      </w:pPr>
      <w:r>
        <w:rPr>
          <w:rFonts w:hint="eastAsia" w:ascii="宋体" w:hAnsi="宋体" w:eastAsia="宋体" w:cs="宋体"/>
          <w:b/>
          <w:color w:val="auto"/>
          <w:sz w:val="22"/>
          <w:szCs w:val="22"/>
          <w:highlight w:val="none"/>
          <w:lang w:val="en-US" w:eastAsia="zh-CN"/>
        </w:rPr>
        <w:t>签订日期：  年    月    日                       签订日期：  年    月    日</w:t>
      </w:r>
    </w:p>
    <w:p w14:paraId="3670628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8"/>
          <w:szCs w:val="28"/>
          <w:highlight w:val="none"/>
          <w:lang w:val="en-US" w:eastAsia="zh-CN"/>
        </w:rPr>
        <w:sectPr>
          <w:headerReference r:id="rId9" w:type="default"/>
          <w:footerReference r:id="rId10" w:type="default"/>
          <w:pgSz w:w="11906" w:h="16838"/>
          <w:pgMar w:top="1134" w:right="707" w:bottom="1134" w:left="1134" w:header="851" w:footer="850" w:gutter="0"/>
          <w:pgBorders>
            <w:top w:val="none" w:sz="0" w:space="0"/>
            <w:left w:val="none" w:sz="0" w:space="0"/>
            <w:bottom w:val="none" w:sz="0" w:space="0"/>
            <w:right w:val="none" w:sz="0" w:space="0"/>
          </w:pgBorders>
          <w:pgNumType w:fmt="decimal" w:start="2"/>
          <w:cols w:space="720" w:num="1"/>
          <w:rtlGutter w:val="0"/>
          <w:docGrid w:type="lines" w:linePitch="312" w:charSpace="0"/>
        </w:sectPr>
      </w:pPr>
    </w:p>
    <w:p w14:paraId="7013D70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color w:val="auto"/>
          <w:sz w:val="28"/>
          <w:szCs w:val="28"/>
          <w:highlight w:val="none"/>
        </w:rPr>
      </w:pPr>
    </w:p>
    <w:p w14:paraId="13D3838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附件1</w:t>
      </w:r>
      <w:r>
        <w:rPr>
          <w:rFonts w:hint="eastAsia" w:ascii="宋体" w:hAnsi="宋体" w:eastAsia="宋体" w:cs="宋体"/>
          <w:b/>
          <w:color w:val="auto"/>
          <w:sz w:val="21"/>
          <w:szCs w:val="21"/>
          <w:highlight w:val="none"/>
        </w:rPr>
        <w:t>工作量清单</w:t>
      </w:r>
      <w:r>
        <w:rPr>
          <w:rFonts w:hint="eastAsia" w:ascii="宋体" w:hAnsi="宋体" w:eastAsia="宋体" w:cs="宋体"/>
          <w:b/>
          <w:color w:val="auto"/>
          <w:sz w:val="21"/>
          <w:szCs w:val="21"/>
          <w:highlight w:val="none"/>
          <w:lang w:val="en-US" w:eastAsia="zh-CN"/>
        </w:rPr>
        <w:t>及价格表（下述每项价格都包含合同3.2条所描述的所有费用）</w:t>
      </w:r>
    </w:p>
    <w:p w14:paraId="3526758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color w:val="auto"/>
          <w:sz w:val="21"/>
          <w:szCs w:val="21"/>
          <w:highlight w:val="none"/>
          <w:lang w:val="en-US" w:eastAsia="zh-CN"/>
        </w:rPr>
      </w:pPr>
    </w:p>
    <w:tbl>
      <w:tblPr>
        <w:tblStyle w:val="36"/>
        <w:tblW w:w="1019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6"/>
        <w:gridCol w:w="1567"/>
        <w:gridCol w:w="3892"/>
        <w:gridCol w:w="725"/>
        <w:gridCol w:w="888"/>
        <w:gridCol w:w="675"/>
        <w:gridCol w:w="1300"/>
        <w:gridCol w:w="703"/>
      </w:tblGrid>
      <w:tr w14:paraId="2FC9F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14:paraId="1A89962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1344B79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3892" w:type="dxa"/>
            <w:tcBorders>
              <w:top w:val="single" w:color="auto" w:sz="4" w:space="0"/>
              <w:left w:val="single" w:color="auto" w:sz="4" w:space="0"/>
              <w:bottom w:val="single" w:color="auto" w:sz="4" w:space="0"/>
              <w:right w:val="single" w:color="auto" w:sz="4" w:space="0"/>
            </w:tcBorders>
            <w:shd w:val="clear" w:color="auto" w:fill="auto"/>
            <w:vAlign w:val="center"/>
          </w:tcPr>
          <w:p w14:paraId="3014FC6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相关要求及描述</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30C015F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888" w:type="dxa"/>
            <w:tcBorders>
              <w:top w:val="single" w:color="auto" w:sz="4" w:space="0"/>
              <w:left w:val="single" w:color="auto" w:sz="4" w:space="0"/>
              <w:bottom w:val="single" w:color="auto" w:sz="4" w:space="0"/>
              <w:right w:val="single" w:color="auto" w:sz="4" w:space="0"/>
            </w:tcBorders>
            <w:shd w:val="clear" w:color="auto" w:fill="FFFFFF"/>
            <w:vAlign w:val="center"/>
          </w:tcPr>
          <w:p w14:paraId="0793AEE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工程量</w:t>
            </w:r>
          </w:p>
        </w:tc>
        <w:tc>
          <w:tcPr>
            <w:tcW w:w="675" w:type="dxa"/>
            <w:tcBorders>
              <w:top w:val="single" w:color="auto" w:sz="4" w:space="0"/>
              <w:left w:val="single" w:color="auto" w:sz="4" w:space="0"/>
              <w:bottom w:val="single" w:color="auto" w:sz="4" w:space="0"/>
              <w:right w:val="single" w:color="auto" w:sz="4" w:space="0"/>
            </w:tcBorders>
            <w:shd w:val="clear" w:color="auto" w:fill="FFFFFF"/>
            <w:vAlign w:val="center"/>
          </w:tcPr>
          <w:p w14:paraId="63D5C1D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单价</w:t>
            </w:r>
          </w:p>
        </w:tc>
        <w:tc>
          <w:tcPr>
            <w:tcW w:w="1300" w:type="dxa"/>
            <w:tcBorders>
              <w:top w:val="single" w:color="auto" w:sz="4" w:space="0"/>
              <w:left w:val="single" w:color="auto" w:sz="4" w:space="0"/>
              <w:bottom w:val="single" w:color="auto" w:sz="4" w:space="0"/>
              <w:right w:val="single" w:color="auto" w:sz="4" w:space="0"/>
            </w:tcBorders>
            <w:shd w:val="clear" w:color="auto" w:fill="FFFFFF"/>
            <w:vAlign w:val="center"/>
          </w:tcPr>
          <w:p w14:paraId="48F32C5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总价（元）</w:t>
            </w:r>
          </w:p>
        </w:tc>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2DFF6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3805B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14:paraId="2EF56F9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5A1B4FD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拆除工程</w:t>
            </w:r>
          </w:p>
        </w:tc>
        <w:tc>
          <w:tcPr>
            <w:tcW w:w="3892" w:type="dxa"/>
            <w:tcBorders>
              <w:top w:val="single" w:color="auto" w:sz="4" w:space="0"/>
              <w:left w:val="single" w:color="auto" w:sz="4" w:space="0"/>
              <w:bottom w:val="single" w:color="auto" w:sz="4" w:space="0"/>
              <w:right w:val="single" w:color="auto" w:sz="4" w:space="0"/>
            </w:tcBorders>
            <w:shd w:val="clear" w:color="auto" w:fill="auto"/>
            <w:vAlign w:val="center"/>
          </w:tcPr>
          <w:p w14:paraId="2B11452E">
            <w:pPr>
              <w:jc w:val="center"/>
              <w:rPr>
                <w:rFonts w:hint="eastAsia" w:ascii="宋体" w:hAnsi="宋体" w:eastAsia="宋体" w:cs="宋体"/>
                <w:b/>
                <w:bCs/>
                <w:i w:val="0"/>
                <w:iCs w:val="0"/>
                <w:color w:val="auto"/>
                <w:sz w:val="21"/>
                <w:szCs w:val="21"/>
                <w:highlight w:val="none"/>
                <w:u w:val="none"/>
              </w:rPr>
            </w:pP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02477319">
            <w:pPr>
              <w:jc w:val="center"/>
              <w:rPr>
                <w:rFonts w:hint="eastAsia" w:ascii="宋体" w:hAnsi="宋体" w:eastAsia="宋体" w:cs="宋体"/>
                <w:b/>
                <w:bCs/>
                <w:i w:val="0"/>
                <w:iCs w:val="0"/>
                <w:color w:val="auto"/>
                <w:sz w:val="21"/>
                <w:szCs w:val="21"/>
                <w:highlight w:val="none"/>
                <w:u w:val="none"/>
              </w:rPr>
            </w:pPr>
          </w:p>
        </w:tc>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14:paraId="19FE25AA">
            <w:pPr>
              <w:jc w:val="center"/>
              <w:rPr>
                <w:rFonts w:hint="eastAsia" w:ascii="宋体" w:hAnsi="宋体" w:eastAsia="宋体" w:cs="宋体"/>
                <w:b/>
                <w:bCs/>
                <w:i w:val="0"/>
                <w:iCs w:val="0"/>
                <w:color w:val="auto"/>
                <w:sz w:val="21"/>
                <w:szCs w:val="21"/>
                <w:highlight w:val="none"/>
                <w:u w:val="none"/>
              </w:rPr>
            </w:pP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B7017A4">
            <w:pPr>
              <w:jc w:val="center"/>
              <w:rPr>
                <w:rFonts w:hint="eastAsia" w:ascii="宋体" w:hAnsi="宋体" w:eastAsia="宋体" w:cs="宋体"/>
                <w:b/>
                <w:bCs/>
                <w:i w:val="0"/>
                <w:iCs w:val="0"/>
                <w:color w:val="auto"/>
                <w:sz w:val="21"/>
                <w:szCs w:val="21"/>
                <w:highlight w:val="none"/>
                <w:u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000CE022">
            <w:pPr>
              <w:jc w:val="center"/>
              <w:rPr>
                <w:rFonts w:hint="eastAsia" w:ascii="宋体" w:hAnsi="宋体" w:eastAsia="宋体" w:cs="宋体"/>
                <w:b/>
                <w:bCs/>
                <w:i w:val="0"/>
                <w:iCs w:val="0"/>
                <w:color w:val="auto"/>
                <w:sz w:val="21"/>
                <w:szCs w:val="21"/>
                <w:highlight w:val="none"/>
                <w:u w:val="none"/>
              </w:rPr>
            </w:pPr>
          </w:p>
        </w:tc>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A0EBB6">
            <w:pPr>
              <w:jc w:val="center"/>
              <w:rPr>
                <w:rFonts w:hint="eastAsia" w:ascii="宋体" w:hAnsi="宋体" w:eastAsia="宋体" w:cs="宋体"/>
                <w:b/>
                <w:bCs/>
                <w:i w:val="0"/>
                <w:iCs w:val="0"/>
                <w:color w:val="auto"/>
                <w:sz w:val="21"/>
                <w:szCs w:val="21"/>
                <w:highlight w:val="none"/>
                <w:u w:val="none"/>
              </w:rPr>
            </w:pPr>
          </w:p>
        </w:tc>
      </w:tr>
      <w:tr w14:paraId="2F185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7" w:hRule="atLeast"/>
        </w:trPr>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14:paraId="6AC6E3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65F689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原一段烟道本体（总重约22T）</w:t>
            </w:r>
          </w:p>
        </w:tc>
        <w:tc>
          <w:tcPr>
            <w:tcW w:w="3892" w:type="dxa"/>
            <w:tcBorders>
              <w:top w:val="single" w:color="auto" w:sz="4" w:space="0"/>
              <w:left w:val="single" w:color="auto" w:sz="4" w:space="0"/>
              <w:bottom w:val="single" w:color="auto" w:sz="4" w:space="0"/>
              <w:right w:val="single" w:color="auto" w:sz="4" w:space="0"/>
            </w:tcBorders>
            <w:shd w:val="clear" w:color="auto" w:fill="auto"/>
            <w:vAlign w:val="center"/>
          </w:tcPr>
          <w:p w14:paraId="734112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单套包括一段烟道本体（含进出口联箱）及与此相连接的为完成本工程的上升管、下降管、氧枪口、下料口、支撑悬挂装置、相应保温材料及影响施工的（如：12.8m平台）所有工作内容。（整体保护性拆除）</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4432EF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8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853CD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3079380">
            <w:pPr>
              <w:jc w:val="center"/>
              <w:rPr>
                <w:rFonts w:hint="eastAsia" w:ascii="宋体" w:hAnsi="宋体" w:eastAsia="宋体" w:cs="宋体"/>
                <w:i w:val="0"/>
                <w:iCs w:val="0"/>
                <w:color w:val="auto"/>
                <w:sz w:val="21"/>
                <w:szCs w:val="21"/>
                <w:highlight w:val="none"/>
                <w:u w:val="none"/>
              </w:rPr>
            </w:pPr>
          </w:p>
        </w:tc>
        <w:tc>
          <w:tcPr>
            <w:tcW w:w="130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D79CB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136422">
            <w:pPr>
              <w:jc w:val="center"/>
              <w:rPr>
                <w:rFonts w:hint="eastAsia" w:ascii="宋体" w:hAnsi="宋体" w:eastAsia="宋体" w:cs="宋体"/>
                <w:i w:val="0"/>
                <w:iCs w:val="0"/>
                <w:color w:val="auto"/>
                <w:sz w:val="21"/>
                <w:szCs w:val="21"/>
                <w:highlight w:val="none"/>
                <w:u w:val="none"/>
              </w:rPr>
            </w:pPr>
          </w:p>
        </w:tc>
      </w:tr>
      <w:tr w14:paraId="292B7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8" w:hRule="atLeast"/>
        </w:trPr>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14:paraId="4D72DF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0046EE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放置及垃圾清运</w:t>
            </w:r>
          </w:p>
        </w:tc>
        <w:tc>
          <w:tcPr>
            <w:tcW w:w="3892" w:type="dxa"/>
            <w:tcBorders>
              <w:top w:val="single" w:color="auto" w:sz="4" w:space="0"/>
              <w:left w:val="single" w:color="auto" w:sz="4" w:space="0"/>
              <w:bottom w:val="single" w:color="auto" w:sz="4" w:space="0"/>
              <w:right w:val="single" w:color="auto" w:sz="4" w:space="0"/>
            </w:tcBorders>
            <w:shd w:val="clear" w:color="auto" w:fill="auto"/>
            <w:vAlign w:val="center"/>
          </w:tcPr>
          <w:p w14:paraId="107DBA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烟道本体设备放至采购人（甲方）指定位置（不超过1500m），所产生的施工垃圾装袋后自行运至环保定点位置（不超过1500m）。</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7D07AF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8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DEFF0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5AFC9C2">
            <w:pPr>
              <w:jc w:val="center"/>
              <w:rPr>
                <w:rFonts w:hint="eastAsia" w:ascii="宋体" w:hAnsi="宋体" w:eastAsia="宋体" w:cs="宋体"/>
                <w:i w:val="0"/>
                <w:iCs w:val="0"/>
                <w:color w:val="auto"/>
                <w:sz w:val="21"/>
                <w:szCs w:val="21"/>
                <w:highlight w:val="none"/>
                <w:u w:val="none"/>
              </w:rPr>
            </w:pPr>
          </w:p>
        </w:tc>
        <w:tc>
          <w:tcPr>
            <w:tcW w:w="130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0ABDE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AA76DB">
            <w:pPr>
              <w:jc w:val="center"/>
              <w:rPr>
                <w:rFonts w:hint="eastAsia" w:ascii="宋体" w:hAnsi="宋体" w:eastAsia="宋体" w:cs="宋体"/>
                <w:i w:val="0"/>
                <w:iCs w:val="0"/>
                <w:color w:val="auto"/>
                <w:sz w:val="21"/>
                <w:szCs w:val="21"/>
                <w:highlight w:val="none"/>
                <w:u w:val="none"/>
              </w:rPr>
            </w:pPr>
          </w:p>
        </w:tc>
      </w:tr>
      <w:tr w14:paraId="5E284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14:paraId="73BB55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0DACFC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其它</w:t>
            </w:r>
          </w:p>
        </w:tc>
        <w:tc>
          <w:tcPr>
            <w:tcW w:w="3892" w:type="dxa"/>
            <w:tcBorders>
              <w:top w:val="single" w:color="auto" w:sz="4" w:space="0"/>
              <w:left w:val="single" w:color="auto" w:sz="4" w:space="0"/>
              <w:bottom w:val="single" w:color="auto" w:sz="4" w:space="0"/>
              <w:right w:val="single" w:color="auto" w:sz="4" w:space="0"/>
            </w:tcBorders>
            <w:shd w:val="clear" w:color="auto" w:fill="auto"/>
            <w:vAlign w:val="center"/>
          </w:tcPr>
          <w:p w14:paraId="2513D3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所有影响拆除、安装施工的其它工作。</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24A410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88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4F3B5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594C2CE">
            <w:pPr>
              <w:jc w:val="center"/>
              <w:rPr>
                <w:rFonts w:hint="eastAsia" w:ascii="宋体" w:hAnsi="宋体" w:eastAsia="宋体" w:cs="宋体"/>
                <w:i w:val="0"/>
                <w:iCs w:val="0"/>
                <w:color w:val="auto"/>
                <w:sz w:val="21"/>
                <w:szCs w:val="21"/>
                <w:highlight w:val="none"/>
                <w:u w:val="none"/>
              </w:rPr>
            </w:pPr>
          </w:p>
        </w:tc>
        <w:tc>
          <w:tcPr>
            <w:tcW w:w="130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E854B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83E4E5">
            <w:pPr>
              <w:jc w:val="center"/>
              <w:rPr>
                <w:rFonts w:hint="eastAsia" w:ascii="宋体" w:hAnsi="宋体" w:eastAsia="宋体" w:cs="宋体"/>
                <w:i w:val="0"/>
                <w:iCs w:val="0"/>
                <w:color w:val="auto"/>
                <w:sz w:val="21"/>
                <w:szCs w:val="21"/>
                <w:highlight w:val="none"/>
                <w:u w:val="none"/>
              </w:rPr>
            </w:pPr>
          </w:p>
        </w:tc>
      </w:tr>
      <w:tr w14:paraId="1D731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14:paraId="4665633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1568612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安装工程</w:t>
            </w:r>
          </w:p>
        </w:tc>
        <w:tc>
          <w:tcPr>
            <w:tcW w:w="3892" w:type="dxa"/>
            <w:tcBorders>
              <w:top w:val="single" w:color="auto" w:sz="4" w:space="0"/>
              <w:left w:val="single" w:color="auto" w:sz="4" w:space="0"/>
              <w:bottom w:val="single" w:color="auto" w:sz="4" w:space="0"/>
              <w:right w:val="single" w:color="auto" w:sz="4" w:space="0"/>
            </w:tcBorders>
            <w:shd w:val="clear" w:color="auto" w:fill="auto"/>
            <w:vAlign w:val="center"/>
          </w:tcPr>
          <w:p w14:paraId="03170881">
            <w:pPr>
              <w:jc w:val="center"/>
              <w:rPr>
                <w:rFonts w:hint="eastAsia" w:ascii="宋体" w:hAnsi="宋体" w:eastAsia="宋体" w:cs="宋体"/>
                <w:b/>
                <w:bCs/>
                <w:i w:val="0"/>
                <w:iCs w:val="0"/>
                <w:color w:val="auto"/>
                <w:sz w:val="21"/>
                <w:szCs w:val="21"/>
                <w:highlight w:val="none"/>
                <w:u w:val="none"/>
              </w:rPr>
            </w:pP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7DEC77AB">
            <w:pPr>
              <w:jc w:val="center"/>
              <w:rPr>
                <w:rFonts w:hint="eastAsia" w:ascii="宋体" w:hAnsi="宋体" w:eastAsia="宋体" w:cs="宋体"/>
                <w:b/>
                <w:bCs/>
                <w:i w:val="0"/>
                <w:iCs w:val="0"/>
                <w:color w:val="auto"/>
                <w:sz w:val="21"/>
                <w:szCs w:val="21"/>
                <w:highlight w:val="none"/>
                <w:u w:val="none"/>
              </w:rPr>
            </w:pPr>
          </w:p>
        </w:tc>
        <w:tc>
          <w:tcPr>
            <w:tcW w:w="888" w:type="dxa"/>
            <w:tcBorders>
              <w:top w:val="single" w:color="auto" w:sz="4" w:space="0"/>
              <w:left w:val="single" w:color="auto" w:sz="4" w:space="0"/>
              <w:bottom w:val="single" w:color="auto" w:sz="4" w:space="0"/>
              <w:right w:val="single" w:color="auto" w:sz="4" w:space="0"/>
            </w:tcBorders>
            <w:shd w:val="clear" w:color="auto" w:fill="FFFFFF"/>
            <w:vAlign w:val="center"/>
          </w:tcPr>
          <w:p w14:paraId="1EB058F9">
            <w:pPr>
              <w:jc w:val="center"/>
              <w:rPr>
                <w:rFonts w:hint="eastAsia" w:ascii="宋体" w:hAnsi="宋体" w:eastAsia="宋体" w:cs="宋体"/>
                <w:b/>
                <w:bCs/>
                <w:i w:val="0"/>
                <w:iCs w:val="0"/>
                <w:color w:val="auto"/>
                <w:sz w:val="21"/>
                <w:szCs w:val="21"/>
                <w:highlight w:val="none"/>
                <w:u w:val="none"/>
              </w:rPr>
            </w:pPr>
          </w:p>
        </w:tc>
        <w:tc>
          <w:tcPr>
            <w:tcW w:w="675" w:type="dxa"/>
            <w:tcBorders>
              <w:top w:val="single" w:color="auto" w:sz="4" w:space="0"/>
              <w:left w:val="single" w:color="auto" w:sz="4" w:space="0"/>
              <w:bottom w:val="single" w:color="auto" w:sz="4" w:space="0"/>
              <w:right w:val="single" w:color="auto" w:sz="4" w:space="0"/>
            </w:tcBorders>
            <w:shd w:val="clear" w:color="auto" w:fill="FFFFFF"/>
            <w:vAlign w:val="center"/>
          </w:tcPr>
          <w:p w14:paraId="037CE91D">
            <w:pPr>
              <w:jc w:val="center"/>
              <w:rPr>
                <w:rFonts w:hint="eastAsia" w:ascii="宋体" w:hAnsi="宋体" w:eastAsia="宋体" w:cs="宋体"/>
                <w:b/>
                <w:bCs/>
                <w:i w:val="0"/>
                <w:iCs w:val="0"/>
                <w:color w:val="auto"/>
                <w:sz w:val="21"/>
                <w:szCs w:val="21"/>
                <w:highlight w:val="none"/>
                <w:u w:val="none"/>
              </w:rPr>
            </w:pPr>
          </w:p>
        </w:tc>
        <w:tc>
          <w:tcPr>
            <w:tcW w:w="1300" w:type="dxa"/>
            <w:tcBorders>
              <w:top w:val="single" w:color="auto" w:sz="4" w:space="0"/>
              <w:left w:val="single" w:color="auto" w:sz="4" w:space="0"/>
              <w:bottom w:val="single" w:color="auto" w:sz="4" w:space="0"/>
              <w:right w:val="single" w:color="auto" w:sz="4" w:space="0"/>
            </w:tcBorders>
            <w:shd w:val="clear" w:color="auto" w:fill="FFFFFF"/>
            <w:vAlign w:val="center"/>
          </w:tcPr>
          <w:p w14:paraId="7234176A">
            <w:pPr>
              <w:jc w:val="center"/>
              <w:rPr>
                <w:rFonts w:hint="eastAsia" w:ascii="宋体" w:hAnsi="宋体" w:eastAsia="宋体" w:cs="宋体"/>
                <w:b/>
                <w:bCs/>
                <w:i w:val="0"/>
                <w:iCs w:val="0"/>
                <w:color w:val="auto"/>
                <w:sz w:val="21"/>
                <w:szCs w:val="21"/>
                <w:highlight w:val="none"/>
                <w:u w:val="none"/>
              </w:rPr>
            </w:pPr>
          </w:p>
        </w:tc>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7FC7BC">
            <w:pPr>
              <w:jc w:val="center"/>
              <w:rPr>
                <w:rFonts w:hint="eastAsia" w:ascii="宋体" w:hAnsi="宋体" w:eastAsia="宋体" w:cs="宋体"/>
                <w:b/>
                <w:bCs/>
                <w:i w:val="0"/>
                <w:iCs w:val="0"/>
                <w:color w:val="auto"/>
                <w:sz w:val="21"/>
                <w:szCs w:val="21"/>
                <w:highlight w:val="none"/>
                <w:u w:val="none"/>
              </w:rPr>
            </w:pPr>
          </w:p>
        </w:tc>
      </w:tr>
      <w:tr w14:paraId="504E7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14:paraId="380005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0831F3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新一段烟道本体（总重约22T）</w:t>
            </w:r>
          </w:p>
        </w:tc>
        <w:tc>
          <w:tcPr>
            <w:tcW w:w="3892" w:type="dxa"/>
            <w:tcBorders>
              <w:top w:val="single" w:color="auto" w:sz="4" w:space="0"/>
              <w:left w:val="single" w:color="auto" w:sz="4" w:space="0"/>
              <w:bottom w:val="single" w:color="auto" w:sz="4" w:space="0"/>
              <w:right w:val="single" w:color="auto" w:sz="4" w:space="0"/>
            </w:tcBorders>
            <w:shd w:val="clear" w:color="auto" w:fill="auto"/>
            <w:vAlign w:val="center"/>
          </w:tcPr>
          <w:p w14:paraId="5716C0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套包括一段烟道本体（含进出口联箱）的安装就位、与一段烟道相连接的上升管、下降管、氧枪口、下料口、支撑悬挂装置、相应保温材料的恢复安装及其它拆除工程量的（如：12.8m平台）恢复安装等所有工作内容。</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12DF01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8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DF2BD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2097ABB">
            <w:pPr>
              <w:jc w:val="center"/>
              <w:rPr>
                <w:rFonts w:hint="eastAsia" w:ascii="宋体" w:hAnsi="宋体" w:eastAsia="宋体" w:cs="宋体"/>
                <w:i w:val="0"/>
                <w:iCs w:val="0"/>
                <w:color w:val="auto"/>
                <w:sz w:val="21"/>
                <w:szCs w:val="21"/>
                <w:highlight w:val="none"/>
                <w:u w:val="none"/>
              </w:rPr>
            </w:pPr>
          </w:p>
        </w:tc>
        <w:tc>
          <w:tcPr>
            <w:tcW w:w="130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82D96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1AF47">
            <w:pPr>
              <w:jc w:val="center"/>
              <w:rPr>
                <w:rFonts w:hint="eastAsia" w:ascii="宋体" w:hAnsi="宋体" w:eastAsia="宋体" w:cs="宋体"/>
                <w:i w:val="0"/>
                <w:iCs w:val="0"/>
                <w:color w:val="auto"/>
                <w:sz w:val="21"/>
                <w:szCs w:val="21"/>
                <w:highlight w:val="none"/>
                <w:u w:val="none"/>
              </w:rPr>
            </w:pPr>
          </w:p>
        </w:tc>
      </w:tr>
      <w:tr w14:paraId="46657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6" w:hRule="atLeast"/>
        </w:trPr>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14:paraId="6CA186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443A0F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二、三段烟道磨损严重部位的管子更换</w:t>
            </w:r>
          </w:p>
        </w:tc>
        <w:tc>
          <w:tcPr>
            <w:tcW w:w="3892" w:type="dxa"/>
            <w:tcBorders>
              <w:top w:val="single" w:color="auto" w:sz="4" w:space="0"/>
              <w:left w:val="single" w:color="auto" w:sz="4" w:space="0"/>
              <w:bottom w:val="single" w:color="auto" w:sz="4" w:space="0"/>
              <w:right w:val="single" w:color="auto" w:sz="4" w:space="0"/>
            </w:tcBorders>
            <w:shd w:val="clear" w:color="auto" w:fill="auto"/>
            <w:vAlign w:val="center"/>
          </w:tcPr>
          <w:p w14:paraId="66B8EA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段烟道弯管共180根*4m（其中：5-7#炉烟道弯管3*40根，8#炉烟道弯管1*60根），5-8#炉二、三段下集箱弯管共448根*0.5m（其中：二段下集箱各72根，共288根；三段下集箱弯管各40条，共160条）。包括换管工作量所需的现场弯管、搭架等工作，以及修复为施工而拆除的栏杆、保温等所有其它工作。（全部管材、鳍片由采购人（甲方）提供）</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7EFC73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88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85922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628</w:t>
            </w:r>
          </w:p>
        </w:tc>
        <w:tc>
          <w:tcPr>
            <w:tcW w:w="6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503F29A">
            <w:pPr>
              <w:jc w:val="center"/>
              <w:rPr>
                <w:rFonts w:hint="eastAsia" w:ascii="宋体" w:hAnsi="宋体" w:eastAsia="宋体" w:cs="宋体"/>
                <w:i w:val="0"/>
                <w:iCs w:val="0"/>
                <w:color w:val="auto"/>
                <w:sz w:val="21"/>
                <w:szCs w:val="21"/>
                <w:highlight w:val="none"/>
                <w:u w:val="none"/>
              </w:rPr>
            </w:pPr>
          </w:p>
        </w:tc>
        <w:tc>
          <w:tcPr>
            <w:tcW w:w="130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0E401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C2F2CF">
            <w:pPr>
              <w:jc w:val="center"/>
              <w:rPr>
                <w:rFonts w:hint="eastAsia" w:ascii="宋体" w:hAnsi="宋体" w:eastAsia="宋体" w:cs="宋体"/>
                <w:i w:val="0"/>
                <w:iCs w:val="0"/>
                <w:color w:val="auto"/>
                <w:sz w:val="21"/>
                <w:szCs w:val="21"/>
                <w:highlight w:val="none"/>
                <w:u w:val="none"/>
              </w:rPr>
            </w:pPr>
          </w:p>
        </w:tc>
      </w:tr>
      <w:tr w14:paraId="463AD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14:paraId="60FCDA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6C07CF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二、三段烟道防磨金属喷涂</w:t>
            </w:r>
          </w:p>
        </w:tc>
        <w:tc>
          <w:tcPr>
            <w:tcW w:w="3892" w:type="dxa"/>
            <w:tcBorders>
              <w:top w:val="single" w:color="auto" w:sz="4" w:space="0"/>
              <w:left w:val="single" w:color="auto" w:sz="4" w:space="0"/>
              <w:bottom w:val="single" w:color="auto" w:sz="4" w:space="0"/>
              <w:right w:val="single" w:color="auto" w:sz="4" w:space="0"/>
            </w:tcBorders>
            <w:shd w:val="clear" w:color="auto" w:fill="auto"/>
            <w:vAlign w:val="center"/>
          </w:tcPr>
          <w:p w14:paraId="10C2D6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4套共405㎡（本项为乙方包工包料）。</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3E0721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8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9376F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0C7AC58">
            <w:pPr>
              <w:jc w:val="center"/>
              <w:rPr>
                <w:rFonts w:hint="eastAsia" w:ascii="宋体" w:hAnsi="宋体" w:eastAsia="宋体" w:cs="宋体"/>
                <w:i w:val="0"/>
                <w:iCs w:val="0"/>
                <w:color w:val="auto"/>
                <w:sz w:val="21"/>
                <w:szCs w:val="21"/>
                <w:highlight w:val="none"/>
                <w:u w:val="none"/>
              </w:rPr>
            </w:pPr>
          </w:p>
        </w:tc>
        <w:tc>
          <w:tcPr>
            <w:tcW w:w="130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248F9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7ACC3E">
            <w:pPr>
              <w:jc w:val="center"/>
              <w:rPr>
                <w:rFonts w:hint="eastAsia" w:ascii="宋体" w:hAnsi="宋体" w:eastAsia="宋体" w:cs="宋体"/>
                <w:i w:val="0"/>
                <w:iCs w:val="0"/>
                <w:color w:val="auto"/>
                <w:sz w:val="21"/>
                <w:szCs w:val="21"/>
                <w:highlight w:val="none"/>
                <w:u w:val="none"/>
              </w:rPr>
            </w:pPr>
          </w:p>
        </w:tc>
      </w:tr>
      <w:tr w14:paraId="7939B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2" w:hRule="atLeast"/>
        </w:trPr>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14:paraId="1B8A1B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2FC887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一、二、三段烟道部分部位敷设浇注料</w:t>
            </w:r>
          </w:p>
        </w:tc>
        <w:tc>
          <w:tcPr>
            <w:tcW w:w="3892" w:type="dxa"/>
            <w:tcBorders>
              <w:top w:val="single" w:color="auto" w:sz="4" w:space="0"/>
              <w:left w:val="single" w:color="auto" w:sz="4" w:space="0"/>
              <w:bottom w:val="single" w:color="auto" w:sz="4" w:space="0"/>
              <w:right w:val="single" w:color="auto" w:sz="4" w:space="0"/>
            </w:tcBorders>
            <w:shd w:val="clear" w:color="auto" w:fill="auto"/>
            <w:vAlign w:val="center"/>
          </w:tcPr>
          <w:p w14:paraId="1E661D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套共56㎡，厚度δ=50mm。其中，一段烟道抓钉已焊好，面积为各6㎡，共24㎡；二、三段烟道抓钉需现场焊接，面积每套各8㎡，共32㎡，抓钉25个/㎡，抓钉材质为310S不锈钢，焊条须用A401。（抓钉由采购人（甲方）提供）</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27ADBE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8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16109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6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3C50512">
            <w:pPr>
              <w:jc w:val="center"/>
              <w:rPr>
                <w:rFonts w:hint="eastAsia" w:ascii="宋体" w:hAnsi="宋体" w:eastAsia="宋体" w:cs="宋体"/>
                <w:i w:val="0"/>
                <w:iCs w:val="0"/>
                <w:color w:val="auto"/>
                <w:sz w:val="21"/>
                <w:szCs w:val="21"/>
                <w:highlight w:val="none"/>
                <w:u w:val="none"/>
              </w:rPr>
            </w:pPr>
          </w:p>
        </w:tc>
        <w:tc>
          <w:tcPr>
            <w:tcW w:w="130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4F379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03248F">
            <w:pPr>
              <w:jc w:val="center"/>
              <w:rPr>
                <w:rFonts w:hint="eastAsia" w:ascii="宋体" w:hAnsi="宋体" w:eastAsia="宋体" w:cs="宋体"/>
                <w:i w:val="0"/>
                <w:iCs w:val="0"/>
                <w:color w:val="auto"/>
                <w:sz w:val="21"/>
                <w:szCs w:val="21"/>
                <w:highlight w:val="none"/>
                <w:u w:val="none"/>
              </w:rPr>
            </w:pPr>
          </w:p>
        </w:tc>
      </w:tr>
      <w:tr w14:paraId="70F05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4" w:hRule="atLeast"/>
        </w:trPr>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14:paraId="3B3BCA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50C257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保温</w:t>
            </w:r>
          </w:p>
        </w:tc>
        <w:tc>
          <w:tcPr>
            <w:tcW w:w="3892" w:type="dxa"/>
            <w:tcBorders>
              <w:top w:val="single" w:color="auto" w:sz="4" w:space="0"/>
              <w:left w:val="single" w:color="auto" w:sz="4" w:space="0"/>
              <w:bottom w:val="single" w:color="auto" w:sz="4" w:space="0"/>
              <w:right w:val="single" w:color="auto" w:sz="4" w:space="0"/>
            </w:tcBorders>
            <w:shd w:val="clear" w:color="auto" w:fill="auto"/>
            <w:vAlign w:val="center"/>
          </w:tcPr>
          <w:p w14:paraId="1583E5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①烟道面积（3.7+1.3+0.25）*3.14*2.6,厚度200mm;保温体积 V1=8.57 m³/套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②上集箱∮273*14周长：3.14*3.46，厚度150mm；保温体积V2=1.4 m³/套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③下降管∮159*5长45m，厚度150mm；保温体积V3=3.37 m³/套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④12.8m平台夹层保温：6*6-3.14*1.3*1.3，厚度330mm。保温体积V4=10.13m³/套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上述①-④项4套总保温体积V总=4*23.47=93.88m³（注：乙方注意勿重复计算，此项为乙方包工包料）</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6D6CB8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m³</w:t>
            </w:r>
          </w:p>
        </w:tc>
        <w:tc>
          <w:tcPr>
            <w:tcW w:w="88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7E284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93.88</w:t>
            </w:r>
          </w:p>
        </w:tc>
        <w:tc>
          <w:tcPr>
            <w:tcW w:w="6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B97849A">
            <w:pPr>
              <w:jc w:val="center"/>
              <w:rPr>
                <w:rFonts w:hint="eastAsia" w:ascii="宋体" w:hAnsi="宋体" w:eastAsia="宋体" w:cs="宋体"/>
                <w:i w:val="0"/>
                <w:iCs w:val="0"/>
                <w:color w:val="auto"/>
                <w:sz w:val="21"/>
                <w:szCs w:val="21"/>
                <w:highlight w:val="none"/>
                <w:u w:val="none"/>
              </w:rPr>
            </w:pPr>
          </w:p>
        </w:tc>
        <w:tc>
          <w:tcPr>
            <w:tcW w:w="130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C26F7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F9794D">
            <w:pPr>
              <w:jc w:val="center"/>
              <w:rPr>
                <w:rFonts w:hint="eastAsia" w:ascii="宋体" w:hAnsi="宋体" w:eastAsia="宋体" w:cs="宋体"/>
                <w:i w:val="0"/>
                <w:iCs w:val="0"/>
                <w:color w:val="auto"/>
                <w:sz w:val="21"/>
                <w:szCs w:val="21"/>
                <w:highlight w:val="none"/>
                <w:u w:val="none"/>
              </w:rPr>
            </w:pPr>
          </w:p>
        </w:tc>
      </w:tr>
      <w:tr w14:paraId="0F0F1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7" w:hRule="atLeast"/>
        </w:trPr>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14:paraId="377D7D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2FBE58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w:t>
            </w:r>
          </w:p>
        </w:tc>
        <w:tc>
          <w:tcPr>
            <w:tcW w:w="3892" w:type="dxa"/>
            <w:tcBorders>
              <w:top w:val="single" w:color="auto" w:sz="4" w:space="0"/>
              <w:left w:val="single" w:color="auto" w:sz="4" w:space="0"/>
              <w:bottom w:val="single" w:color="auto" w:sz="4" w:space="0"/>
              <w:right w:val="single" w:color="auto" w:sz="4" w:space="0"/>
            </w:tcBorders>
            <w:shd w:val="clear" w:color="auto" w:fill="auto"/>
            <w:vAlign w:val="center"/>
          </w:tcPr>
          <w:p w14:paraId="43CA0A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详见附件一：风管安装，阀门更换，水位计更换等工作。(此项为采购人（甲方）提供材料并领工，乙方负责提供8个钳工/天*10天)</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3E26A1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88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81537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73EF8CD">
            <w:pPr>
              <w:jc w:val="center"/>
              <w:rPr>
                <w:rFonts w:hint="eastAsia" w:ascii="宋体" w:hAnsi="宋体" w:eastAsia="宋体" w:cs="宋体"/>
                <w:i w:val="0"/>
                <w:iCs w:val="0"/>
                <w:color w:val="auto"/>
                <w:sz w:val="21"/>
                <w:szCs w:val="21"/>
                <w:highlight w:val="none"/>
                <w:u w:val="none"/>
              </w:rPr>
            </w:pPr>
          </w:p>
        </w:tc>
        <w:tc>
          <w:tcPr>
            <w:tcW w:w="130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1C4C9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A9B056">
            <w:pPr>
              <w:jc w:val="center"/>
              <w:rPr>
                <w:rFonts w:hint="eastAsia" w:ascii="宋体" w:hAnsi="宋体" w:eastAsia="宋体" w:cs="宋体"/>
                <w:i w:val="0"/>
                <w:iCs w:val="0"/>
                <w:color w:val="auto"/>
                <w:sz w:val="21"/>
                <w:szCs w:val="21"/>
                <w:highlight w:val="none"/>
                <w:u w:val="none"/>
              </w:rPr>
            </w:pPr>
          </w:p>
        </w:tc>
      </w:tr>
      <w:tr w14:paraId="27AC7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14:paraId="0803D6E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三</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203662A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包干总价合计（含9%增值税专用发票）</w:t>
            </w:r>
          </w:p>
        </w:tc>
        <w:tc>
          <w:tcPr>
            <w:tcW w:w="3892" w:type="dxa"/>
            <w:tcBorders>
              <w:top w:val="single" w:color="auto" w:sz="4" w:space="0"/>
              <w:left w:val="single" w:color="auto" w:sz="4" w:space="0"/>
              <w:bottom w:val="single" w:color="auto" w:sz="4" w:space="0"/>
              <w:right w:val="single" w:color="auto" w:sz="4" w:space="0"/>
            </w:tcBorders>
            <w:shd w:val="clear" w:color="auto" w:fill="auto"/>
            <w:vAlign w:val="center"/>
          </w:tcPr>
          <w:p w14:paraId="30BDF8AF">
            <w:pPr>
              <w:jc w:val="center"/>
              <w:rPr>
                <w:rFonts w:hint="eastAsia" w:ascii="宋体" w:hAnsi="宋体" w:eastAsia="宋体" w:cs="宋体"/>
                <w:b/>
                <w:bCs/>
                <w:i w:val="0"/>
                <w:iCs w:val="0"/>
                <w:color w:val="auto"/>
                <w:sz w:val="21"/>
                <w:szCs w:val="21"/>
                <w:highlight w:val="none"/>
                <w:u w:val="none"/>
              </w:rPr>
            </w:pP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73F51F57">
            <w:pPr>
              <w:jc w:val="center"/>
              <w:rPr>
                <w:rFonts w:hint="eastAsia" w:ascii="宋体" w:hAnsi="宋体" w:eastAsia="宋体" w:cs="宋体"/>
                <w:b/>
                <w:bCs/>
                <w:i w:val="0"/>
                <w:iCs w:val="0"/>
                <w:color w:val="auto"/>
                <w:sz w:val="21"/>
                <w:szCs w:val="21"/>
                <w:highlight w:val="none"/>
                <w:u w:val="none"/>
              </w:rPr>
            </w:pPr>
          </w:p>
        </w:tc>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14:paraId="71D83500">
            <w:pPr>
              <w:jc w:val="center"/>
              <w:rPr>
                <w:rFonts w:hint="eastAsia" w:ascii="宋体" w:hAnsi="宋体" w:eastAsia="宋体" w:cs="宋体"/>
                <w:b/>
                <w:bCs/>
                <w:i w:val="0"/>
                <w:iCs w:val="0"/>
                <w:color w:val="auto"/>
                <w:sz w:val="21"/>
                <w:szCs w:val="21"/>
                <w:highlight w:val="none"/>
                <w:u w:val="none"/>
              </w:rPr>
            </w:pP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9A7B47F">
            <w:pPr>
              <w:jc w:val="center"/>
              <w:rPr>
                <w:rFonts w:hint="eastAsia" w:ascii="宋体" w:hAnsi="宋体" w:eastAsia="宋体" w:cs="宋体"/>
                <w:b/>
                <w:bCs/>
                <w:i w:val="0"/>
                <w:iCs w:val="0"/>
                <w:color w:val="auto"/>
                <w:sz w:val="21"/>
                <w:szCs w:val="21"/>
                <w:highlight w:val="none"/>
                <w:u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30574CA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p>
        </w:tc>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B8B621">
            <w:pPr>
              <w:rPr>
                <w:rFonts w:hint="eastAsia" w:ascii="宋体" w:hAnsi="宋体" w:eastAsia="宋体" w:cs="宋体"/>
                <w:i w:val="0"/>
                <w:iCs w:val="0"/>
                <w:color w:val="auto"/>
                <w:sz w:val="21"/>
                <w:szCs w:val="21"/>
                <w:highlight w:val="none"/>
                <w:u w:val="none"/>
              </w:rPr>
            </w:pPr>
          </w:p>
        </w:tc>
      </w:tr>
    </w:tbl>
    <w:p w14:paraId="474A925D">
      <w:pPr>
        <w:jc w:val="left"/>
        <w:rPr>
          <w:rFonts w:hint="eastAsia" w:ascii="宋体" w:hAnsi="宋体" w:eastAsia="宋体" w:cs="宋体"/>
          <w:b/>
          <w:color w:val="auto"/>
          <w:sz w:val="21"/>
          <w:szCs w:val="21"/>
          <w:highlight w:val="none"/>
          <w:lang w:val="en-US" w:eastAsia="zh-CN"/>
        </w:rPr>
        <w:sectPr>
          <w:footerReference r:id="rId11" w:type="default"/>
          <w:pgSz w:w="11906" w:h="16838"/>
          <w:pgMar w:top="1134" w:right="709" w:bottom="1134" w:left="1134" w:header="851" w:footer="850" w:gutter="0"/>
          <w:pgBorders>
            <w:top w:val="none" w:sz="0" w:space="0"/>
            <w:left w:val="none" w:sz="0" w:space="0"/>
            <w:bottom w:val="none" w:sz="0" w:space="0"/>
            <w:right w:val="none" w:sz="0" w:space="0"/>
          </w:pgBorders>
          <w:pgNumType w:fmt="decimal"/>
          <w:cols w:space="720" w:num="1"/>
          <w:rtlGutter w:val="0"/>
          <w:docGrid w:type="lines" w:linePitch="314" w:charSpace="0"/>
        </w:sectPr>
      </w:pPr>
    </w:p>
    <w:p w14:paraId="55179A4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附件2 阳江开能5-8#AOD余热锅炉技术改造项目施工技术规范书</w:t>
      </w:r>
    </w:p>
    <w:p w14:paraId="0AF31D6B">
      <w:pPr>
        <w:pStyle w:val="3"/>
        <w:snapToGrid w:val="0"/>
        <w:spacing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一、项目概况</w:t>
      </w:r>
    </w:p>
    <w:p w14:paraId="5BC8AB4D">
      <w:pPr>
        <w:snapToGrid w:val="0"/>
        <w:spacing w:afterLines="0" w:line="360" w:lineRule="auto"/>
        <w:ind w:left="48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1.1项目名称：阳江开能5-8#AOD余热锅炉技术改造</w:t>
      </w:r>
      <w:r>
        <w:rPr>
          <w:rFonts w:hint="eastAsia" w:ascii="宋体" w:hAnsi="宋体" w:eastAsia="宋体" w:cs="宋体"/>
          <w:color w:val="auto"/>
          <w:sz w:val="21"/>
          <w:szCs w:val="21"/>
          <w:highlight w:val="none"/>
          <w:lang w:val="en-US" w:eastAsia="zh-CN"/>
        </w:rPr>
        <w:t>项目施工</w:t>
      </w:r>
    </w:p>
    <w:p w14:paraId="16A5A0CE">
      <w:pPr>
        <w:snapToGrid w:val="0"/>
        <w:spacing w:afterLines="0" w:line="360" w:lineRule="auto"/>
        <w:ind w:left="48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1.2施工地点：广东省阳江市江城区平冈镇临港工业园广青科技公司炼钢厂</w:t>
      </w:r>
    </w:p>
    <w:p w14:paraId="5A559874">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1.3项目概况：AOD 余热锅炉是专门为炼钢厂AOD 精炼炉工程配套的汽化冷却余热锅炉，每座AOD 精炼炉配置1 套余热锅炉装置，锅炉布置AOD 精炼炉炉口上方。余热锅炉设在车间加料除尘跨内，采用OG 法煤气回收，由精炼炉炉口逸出的烟气温度约为1300-1600℃，精炼炉汽化冷却装置目的是收集精炼炉冶炼过程中的高温烟气并将其冷却下来，以满足下一步除尘及</w:t>
      </w:r>
      <w:r>
        <w:rPr>
          <w:rFonts w:hint="eastAsia" w:ascii="宋体" w:hAnsi="宋体" w:cs="宋体"/>
          <w:color w:val="auto"/>
          <w:sz w:val="21"/>
          <w:szCs w:val="21"/>
          <w:highlight w:val="none"/>
          <w:lang w:val="en-US" w:eastAsia="zh-CN"/>
        </w:rPr>
        <w:t>烟</w:t>
      </w:r>
      <w:r>
        <w:rPr>
          <w:rFonts w:hint="eastAsia" w:ascii="宋体" w:hAnsi="宋体" w:eastAsia="宋体" w:cs="宋体"/>
          <w:color w:val="auto"/>
          <w:sz w:val="21"/>
          <w:szCs w:val="21"/>
          <w:highlight w:val="none"/>
        </w:rPr>
        <w:t>气回收的要求，保证精炼炉炼钢的安全生产；同时生产蒸汽回收大量热能供发电使用。</w:t>
      </w:r>
    </w:p>
    <w:p w14:paraId="3CA71F5C">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余热锅炉本体由I 段汽化烟道（上有氧枪口及加料口）及非金属膨胀补偿器、II 段汽化烟道和III 段汽化烟道所组成。每段为独立的循环回路，各段烟道均与锅筒通过下降管和引出管连接组成自然循环系统，锅筒额定工作压力2.5MPa，I 段汽化烟道的工作压力为2.75MPa，II 段、III 段汽化烟道工作压力稍低些，统一按2.75MPa 作工作压力。阳江开能能源环保有限公司共配备8台AOD汽化烟道余热锅炉，本次技术改造为5-8#AOD余热锅炉汽化烟道。</w:t>
      </w:r>
    </w:p>
    <w:p w14:paraId="2782FBAE">
      <w:pPr>
        <w:pStyle w:val="3"/>
        <w:snapToGrid w:val="0"/>
        <w:spacing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二、技改施工范围</w:t>
      </w:r>
    </w:p>
    <w:p w14:paraId="37E3DAE7">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技改施工范围如下表：                                 表一</w:t>
      </w:r>
    </w:p>
    <w:tbl>
      <w:tblPr>
        <w:tblStyle w:val="36"/>
        <w:tblW w:w="8359" w:type="dxa"/>
        <w:jc w:val="center"/>
        <w:tblLayout w:type="autofit"/>
        <w:tblCellMar>
          <w:top w:w="0" w:type="dxa"/>
          <w:left w:w="108" w:type="dxa"/>
          <w:bottom w:w="0" w:type="dxa"/>
          <w:right w:w="108" w:type="dxa"/>
        </w:tblCellMar>
      </w:tblPr>
      <w:tblGrid>
        <w:gridCol w:w="704"/>
        <w:gridCol w:w="1134"/>
        <w:gridCol w:w="6521"/>
      </w:tblGrid>
      <w:tr w14:paraId="6609460C">
        <w:tblPrEx>
          <w:tblCellMar>
            <w:top w:w="0" w:type="dxa"/>
            <w:left w:w="108" w:type="dxa"/>
            <w:bottom w:w="0" w:type="dxa"/>
            <w:right w:w="108" w:type="dxa"/>
          </w:tblCellMar>
        </w:tblPrEx>
        <w:trPr>
          <w:trHeight w:val="28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926136">
            <w:pPr>
              <w:widowControl/>
              <w:snapToGrid w:val="0"/>
              <w:spacing w:afterLines="0" w:line="36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7F0626BE">
            <w:pPr>
              <w:widowControl/>
              <w:snapToGrid w:val="0"/>
              <w:spacing w:afterLines="0" w:line="36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技改项目</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14:paraId="23B26B04">
            <w:pPr>
              <w:widowControl/>
              <w:snapToGrid w:val="0"/>
              <w:spacing w:afterLines="0" w:line="36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技改施工内容</w:t>
            </w:r>
          </w:p>
        </w:tc>
      </w:tr>
      <w:tr w14:paraId="7B3637EC">
        <w:tblPrEx>
          <w:tblCellMar>
            <w:top w:w="0" w:type="dxa"/>
            <w:left w:w="108" w:type="dxa"/>
            <w:bottom w:w="0" w:type="dxa"/>
            <w:right w:w="108" w:type="dxa"/>
          </w:tblCellMar>
        </w:tblPrEx>
        <w:trPr>
          <w:trHeight w:val="457"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09E680B5">
            <w:pPr>
              <w:widowControl/>
              <w:snapToGrid w:val="0"/>
              <w:spacing w:afterLines="0" w:line="36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34" w:type="dxa"/>
            <w:tcBorders>
              <w:top w:val="nil"/>
              <w:left w:val="nil"/>
              <w:bottom w:val="single" w:color="auto" w:sz="4" w:space="0"/>
              <w:right w:val="single" w:color="auto" w:sz="4" w:space="0"/>
            </w:tcBorders>
            <w:shd w:val="clear" w:color="auto" w:fill="auto"/>
            <w:noWrap/>
            <w:vAlign w:val="center"/>
          </w:tcPr>
          <w:p w14:paraId="1A897F3A">
            <w:pPr>
              <w:widowControl/>
              <w:snapToGrid w:val="0"/>
              <w:spacing w:afterLines="0"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一段烟道本体（总重约22T）</w:t>
            </w:r>
          </w:p>
        </w:tc>
        <w:tc>
          <w:tcPr>
            <w:tcW w:w="6521" w:type="dxa"/>
            <w:tcBorders>
              <w:top w:val="nil"/>
              <w:left w:val="nil"/>
              <w:bottom w:val="single" w:color="auto" w:sz="4" w:space="0"/>
              <w:right w:val="single" w:color="auto" w:sz="4" w:space="0"/>
            </w:tcBorders>
            <w:shd w:val="clear" w:color="auto" w:fill="auto"/>
            <w:vAlign w:val="center"/>
          </w:tcPr>
          <w:p w14:paraId="612D2E9D">
            <w:pPr>
              <w:widowControl/>
              <w:snapToGrid w:val="0"/>
              <w:spacing w:afterLines="0"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包括：（1）原一段烟道本体整体拆除，放置至</w:t>
            </w:r>
            <w:r>
              <w:rPr>
                <w:rFonts w:hint="eastAsia" w:ascii="宋体" w:hAnsi="宋体" w:eastAsia="宋体" w:cs="宋体"/>
                <w:color w:val="auto"/>
                <w:kern w:val="0"/>
                <w:sz w:val="21"/>
                <w:szCs w:val="21"/>
                <w:highlight w:val="none"/>
                <w:lang w:eastAsia="zh-CN"/>
              </w:rPr>
              <w:t>采购人（甲方）</w:t>
            </w:r>
            <w:r>
              <w:rPr>
                <w:rFonts w:hint="eastAsia" w:ascii="宋体" w:hAnsi="宋体" w:eastAsia="宋体" w:cs="宋体"/>
                <w:color w:val="auto"/>
                <w:kern w:val="0"/>
                <w:sz w:val="21"/>
                <w:szCs w:val="21"/>
                <w:highlight w:val="none"/>
              </w:rPr>
              <w:t>指定位置；新一段烟道本体的整体安装就位（一段烟道本体为进出口联箱间设备、1个氧枪口和2个下料口装置及附属支吊装置等）。拆除、安装内容除本体设备外还包含本体的保温及影响拆除、安装的连接部件及图纸标高12.8m的支撑平台等工作。拆除及安装施工技术要求见“一段烟道拆除、安装技术规范”。（原一段烟道和新一段烟道详见附件</w:t>
            </w:r>
            <w:r>
              <w:rPr>
                <w:rFonts w:hint="eastAsia" w:ascii="宋体" w:hAnsi="宋体" w:cs="宋体"/>
                <w:color w:val="auto"/>
                <w:kern w:val="0"/>
                <w:sz w:val="21"/>
                <w:szCs w:val="21"/>
                <w:highlight w:val="none"/>
                <w:lang w:eastAsia="zh-CN"/>
              </w:rPr>
              <w:t>二</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eastAsia="zh-CN"/>
              </w:rPr>
              <w:t>三</w:t>
            </w:r>
            <w:r>
              <w:rPr>
                <w:rFonts w:hint="eastAsia" w:ascii="宋体" w:hAnsi="宋体" w:eastAsia="宋体" w:cs="宋体"/>
                <w:color w:val="auto"/>
                <w:kern w:val="0"/>
                <w:sz w:val="21"/>
                <w:szCs w:val="21"/>
                <w:highlight w:val="none"/>
              </w:rPr>
              <w:t>）</w:t>
            </w:r>
          </w:p>
          <w:p w14:paraId="1588C9C6">
            <w:pPr>
              <w:widowControl/>
              <w:snapToGrid w:val="0"/>
              <w:spacing w:afterLines="0"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（2）一段烟道迎风面拐点至烟道出口受热面浇注料的敷设（抓钉已完成焊接），面积约6㎡/套，施工技术要求见“浇注料施工技术规范”。</w:t>
            </w:r>
          </w:p>
          <w:p w14:paraId="7109ED34">
            <w:pPr>
              <w:widowControl/>
              <w:snapToGrid w:val="0"/>
              <w:spacing w:afterLines="0"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（3）一、二段烟道间非金属补偿器安装。</w:t>
            </w:r>
          </w:p>
          <w:p w14:paraId="631E5306">
            <w:pPr>
              <w:widowControl/>
              <w:snapToGrid w:val="0"/>
              <w:spacing w:afterLines="0"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（4）一段烟道悬挂装置安装。</w:t>
            </w:r>
          </w:p>
        </w:tc>
      </w:tr>
      <w:tr w14:paraId="647763B3">
        <w:tblPrEx>
          <w:tblCellMar>
            <w:top w:w="0" w:type="dxa"/>
            <w:left w:w="108" w:type="dxa"/>
            <w:bottom w:w="0" w:type="dxa"/>
            <w:right w:w="108" w:type="dxa"/>
          </w:tblCellMar>
        </w:tblPrEx>
        <w:trPr>
          <w:trHeight w:val="28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986217">
            <w:pPr>
              <w:widowControl/>
              <w:snapToGrid w:val="0"/>
              <w:spacing w:afterLines="0" w:line="36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ACB855">
            <w:pPr>
              <w:widowControl/>
              <w:snapToGrid w:val="0"/>
              <w:spacing w:afterLines="0"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二、三段烟道</w:t>
            </w:r>
          </w:p>
        </w:tc>
        <w:tc>
          <w:tcPr>
            <w:tcW w:w="6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0A3519">
            <w:pPr>
              <w:widowControl/>
              <w:snapToGrid w:val="0"/>
              <w:spacing w:afterLines="0"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包括：</w:t>
            </w:r>
            <w:r>
              <w:rPr>
                <w:rFonts w:hint="eastAsia" w:ascii="宋体" w:hAnsi="宋体" w:eastAsia="宋体" w:cs="宋体"/>
                <w:color w:val="auto"/>
                <w:sz w:val="21"/>
                <w:szCs w:val="21"/>
                <w:highlight w:val="none"/>
              </w:rPr>
              <w:t>（1）二段烟道弯管共180根*4m（其中：5-7#炉烟道弯管3*40根，8#炉烟道弯管1*60根），5-8#炉二、三段下集箱弯管共448根*0.5m（其中：二段下集箱各72根，共288根；三段下集箱弯管各40根，共160根）。</w:t>
            </w:r>
          </w:p>
          <w:p w14:paraId="3B7DA623">
            <w:pPr>
              <w:widowControl/>
              <w:snapToGrid w:val="0"/>
              <w:spacing w:afterLines="0"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（2）二、三段烟道内壁管子整体防磨喷涂，施工要求见“防磨喷涂施工技术规范”。</w:t>
            </w:r>
          </w:p>
          <w:p w14:paraId="479C05C0">
            <w:pPr>
              <w:widowControl/>
              <w:snapToGrid w:val="0"/>
              <w:spacing w:afterLines="0"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（3）二、三段烟道磨损严重部位敷浇注料，面积共56㎡，施工要求见“浇注料施工技术规范”</w:t>
            </w:r>
          </w:p>
        </w:tc>
      </w:tr>
      <w:tr w14:paraId="300E12C8">
        <w:tblPrEx>
          <w:tblCellMar>
            <w:top w:w="0" w:type="dxa"/>
            <w:left w:w="108" w:type="dxa"/>
            <w:bottom w:w="0" w:type="dxa"/>
            <w:right w:w="108" w:type="dxa"/>
          </w:tblCellMar>
        </w:tblPrEx>
        <w:trPr>
          <w:trHeight w:val="28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ECB62C">
            <w:pPr>
              <w:widowControl/>
              <w:snapToGrid w:val="0"/>
              <w:spacing w:afterLines="0"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3</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64AD1E">
            <w:pPr>
              <w:widowControl/>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报装报检</w:t>
            </w:r>
          </w:p>
        </w:tc>
        <w:tc>
          <w:tcPr>
            <w:tcW w:w="6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073753">
            <w:pPr>
              <w:widowControl/>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rPr>
              <w:t>投标方负责招标内容中的特种设备的安装及监督检验等相关事宜及费用。</w:t>
            </w:r>
          </w:p>
        </w:tc>
      </w:tr>
    </w:tbl>
    <w:p w14:paraId="1A4C956F">
      <w:pPr>
        <w:pStyle w:val="3"/>
        <w:snapToGrid w:val="0"/>
        <w:spacing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三、施工工程量</w:t>
      </w:r>
    </w:p>
    <w:p w14:paraId="2BA67539">
      <w:pPr>
        <w:snapToGrid w:val="0"/>
        <w:spacing w:afterLines="0" w:line="360" w:lineRule="auto"/>
        <w:ind w:firstLine="6300" w:firstLineChars="30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表二</w:t>
      </w:r>
    </w:p>
    <w:tbl>
      <w:tblPr>
        <w:tblStyle w:val="3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603"/>
        <w:gridCol w:w="709"/>
        <w:gridCol w:w="1276"/>
        <w:gridCol w:w="4368"/>
        <w:gridCol w:w="6"/>
      </w:tblGrid>
      <w:tr w14:paraId="0494E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660" w:type="dxa"/>
            <w:vAlign w:val="center"/>
          </w:tcPr>
          <w:p w14:paraId="55DAC7A1">
            <w:pPr>
              <w:snapToGrid w:val="0"/>
              <w:spacing w:afterLines="0"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603" w:type="dxa"/>
            <w:vAlign w:val="center"/>
          </w:tcPr>
          <w:p w14:paraId="5D7A1BEA">
            <w:pPr>
              <w:snapToGrid w:val="0"/>
              <w:spacing w:afterLines="0"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709" w:type="dxa"/>
            <w:vAlign w:val="center"/>
          </w:tcPr>
          <w:p w14:paraId="31F2E54C">
            <w:pPr>
              <w:snapToGrid w:val="0"/>
              <w:spacing w:afterLines="0"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276" w:type="dxa"/>
            <w:vAlign w:val="center"/>
          </w:tcPr>
          <w:p w14:paraId="343B49D8">
            <w:pPr>
              <w:snapToGrid w:val="0"/>
              <w:spacing w:afterLines="0"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4368" w:type="dxa"/>
            <w:vAlign w:val="center"/>
          </w:tcPr>
          <w:p w14:paraId="034F94F1">
            <w:pPr>
              <w:snapToGrid w:val="0"/>
              <w:spacing w:afterLines="0"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3368A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2" w:type="dxa"/>
            <w:gridSpan w:val="6"/>
            <w:vAlign w:val="center"/>
          </w:tcPr>
          <w:p w14:paraId="78FC3BD8">
            <w:pPr>
              <w:snapToGrid w:val="0"/>
              <w:spacing w:afterLines="0"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1、拆除工程量</w:t>
            </w:r>
          </w:p>
        </w:tc>
      </w:tr>
      <w:tr w14:paraId="49FB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660" w:type="dxa"/>
            <w:vAlign w:val="center"/>
          </w:tcPr>
          <w:p w14:paraId="55C0FDC1">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603" w:type="dxa"/>
            <w:vAlign w:val="center"/>
          </w:tcPr>
          <w:p w14:paraId="717214BD">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原一段烟道本体</w:t>
            </w:r>
            <w:r>
              <w:rPr>
                <w:rFonts w:hint="eastAsia" w:ascii="宋体" w:hAnsi="宋体" w:eastAsia="宋体" w:cs="宋体"/>
                <w:color w:val="auto"/>
                <w:kern w:val="0"/>
                <w:sz w:val="21"/>
                <w:szCs w:val="21"/>
                <w:highlight w:val="none"/>
              </w:rPr>
              <w:t>（总重约22T）</w:t>
            </w:r>
          </w:p>
        </w:tc>
        <w:tc>
          <w:tcPr>
            <w:tcW w:w="709" w:type="dxa"/>
            <w:vAlign w:val="center"/>
          </w:tcPr>
          <w:p w14:paraId="6DBFAD7B">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276" w:type="dxa"/>
            <w:vAlign w:val="center"/>
          </w:tcPr>
          <w:p w14:paraId="20B72ADD">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368" w:type="dxa"/>
            <w:vAlign w:val="center"/>
          </w:tcPr>
          <w:p w14:paraId="490969DA">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单套包括一段烟道本体（含进出口联箱）及与此相连接的为完成本工程的上升管、下降管、氧枪口、下料口、支撑悬挂装置、相应保温材料及影响施工的（如：12.8m平台）所有工作内容。（整体保护性拆除）</w:t>
            </w:r>
          </w:p>
        </w:tc>
      </w:tr>
      <w:tr w14:paraId="08123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660" w:type="dxa"/>
            <w:vAlign w:val="center"/>
          </w:tcPr>
          <w:p w14:paraId="36AA69E4">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603" w:type="dxa"/>
            <w:vAlign w:val="center"/>
          </w:tcPr>
          <w:p w14:paraId="06E08899">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放置及垃圾清运</w:t>
            </w:r>
          </w:p>
        </w:tc>
        <w:tc>
          <w:tcPr>
            <w:tcW w:w="709" w:type="dxa"/>
            <w:vAlign w:val="center"/>
          </w:tcPr>
          <w:p w14:paraId="7C53F56E">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276" w:type="dxa"/>
            <w:vAlign w:val="center"/>
          </w:tcPr>
          <w:p w14:paraId="623A1BF6">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368" w:type="dxa"/>
            <w:vAlign w:val="center"/>
          </w:tcPr>
          <w:p w14:paraId="55592418">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烟道本体设备放至</w:t>
            </w:r>
            <w:r>
              <w:rPr>
                <w:rFonts w:hint="eastAsia" w:ascii="宋体" w:hAnsi="宋体" w:eastAsia="宋体" w:cs="宋体"/>
                <w:color w:val="auto"/>
                <w:sz w:val="21"/>
                <w:szCs w:val="21"/>
                <w:highlight w:val="none"/>
                <w:lang w:eastAsia="zh-CN"/>
              </w:rPr>
              <w:t>采购人（甲方）</w:t>
            </w:r>
            <w:r>
              <w:rPr>
                <w:rFonts w:hint="eastAsia" w:ascii="宋体" w:hAnsi="宋体" w:eastAsia="宋体" w:cs="宋体"/>
                <w:color w:val="auto"/>
                <w:sz w:val="21"/>
                <w:szCs w:val="21"/>
                <w:highlight w:val="none"/>
              </w:rPr>
              <w:t>指定位置（不超过1500m），所产生的施工垃圾装袋后自行运至环保定点位置（不超过1500m）。</w:t>
            </w:r>
          </w:p>
        </w:tc>
      </w:tr>
      <w:tr w14:paraId="7667B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660" w:type="dxa"/>
            <w:vAlign w:val="center"/>
          </w:tcPr>
          <w:p w14:paraId="07A7129F">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603" w:type="dxa"/>
            <w:vAlign w:val="center"/>
          </w:tcPr>
          <w:p w14:paraId="146E0873">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其它</w:t>
            </w:r>
          </w:p>
        </w:tc>
        <w:tc>
          <w:tcPr>
            <w:tcW w:w="709" w:type="dxa"/>
            <w:vAlign w:val="center"/>
          </w:tcPr>
          <w:p w14:paraId="749158D1">
            <w:pPr>
              <w:snapToGrid w:val="0"/>
              <w:spacing w:afterLines="0" w:line="360" w:lineRule="auto"/>
              <w:ind w:firstLine="0" w:firstLineChars="0"/>
              <w:jc w:val="center"/>
              <w:rPr>
                <w:rFonts w:hint="eastAsia" w:ascii="宋体" w:hAnsi="宋体" w:eastAsia="宋体" w:cs="宋体"/>
                <w:color w:val="auto"/>
                <w:sz w:val="21"/>
                <w:szCs w:val="21"/>
                <w:highlight w:val="none"/>
              </w:rPr>
            </w:pPr>
          </w:p>
        </w:tc>
        <w:tc>
          <w:tcPr>
            <w:tcW w:w="1276" w:type="dxa"/>
            <w:vAlign w:val="center"/>
          </w:tcPr>
          <w:p w14:paraId="37E52B6D">
            <w:pPr>
              <w:snapToGrid w:val="0"/>
              <w:spacing w:afterLines="0" w:line="360" w:lineRule="auto"/>
              <w:ind w:firstLine="0" w:firstLineChars="0"/>
              <w:jc w:val="center"/>
              <w:rPr>
                <w:rFonts w:hint="eastAsia" w:ascii="宋体" w:hAnsi="宋体" w:eastAsia="宋体" w:cs="宋体"/>
                <w:color w:val="auto"/>
                <w:sz w:val="21"/>
                <w:szCs w:val="21"/>
                <w:highlight w:val="none"/>
              </w:rPr>
            </w:pPr>
          </w:p>
        </w:tc>
        <w:tc>
          <w:tcPr>
            <w:tcW w:w="4368" w:type="dxa"/>
            <w:vAlign w:val="center"/>
          </w:tcPr>
          <w:p w14:paraId="1F9FA95E">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所有影响拆除、安装施工的其它工作。</w:t>
            </w:r>
          </w:p>
        </w:tc>
      </w:tr>
      <w:tr w14:paraId="261AE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2" w:type="dxa"/>
            <w:gridSpan w:val="6"/>
            <w:vAlign w:val="center"/>
          </w:tcPr>
          <w:p w14:paraId="4F41684F">
            <w:pPr>
              <w:snapToGrid w:val="0"/>
              <w:spacing w:afterLines="0"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2、安装工程量</w:t>
            </w:r>
          </w:p>
        </w:tc>
      </w:tr>
      <w:tr w14:paraId="0668B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660" w:type="dxa"/>
            <w:vAlign w:val="center"/>
          </w:tcPr>
          <w:p w14:paraId="2914C2C7">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603" w:type="dxa"/>
            <w:vAlign w:val="center"/>
          </w:tcPr>
          <w:p w14:paraId="695DEFB4">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新一段烟道本体</w:t>
            </w:r>
            <w:r>
              <w:rPr>
                <w:rFonts w:hint="eastAsia" w:ascii="宋体" w:hAnsi="宋体" w:eastAsia="宋体" w:cs="宋体"/>
                <w:color w:val="auto"/>
                <w:kern w:val="0"/>
                <w:sz w:val="21"/>
                <w:szCs w:val="21"/>
                <w:highlight w:val="none"/>
              </w:rPr>
              <w:t>（总重约22T）</w:t>
            </w:r>
          </w:p>
        </w:tc>
        <w:tc>
          <w:tcPr>
            <w:tcW w:w="709" w:type="dxa"/>
            <w:vAlign w:val="center"/>
          </w:tcPr>
          <w:p w14:paraId="41B39F4E">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276" w:type="dxa"/>
            <w:vAlign w:val="center"/>
          </w:tcPr>
          <w:p w14:paraId="71E6E3BD">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368" w:type="dxa"/>
            <w:vAlign w:val="center"/>
          </w:tcPr>
          <w:p w14:paraId="36487118">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套包括一段烟道本体（含进出口联箱）的安装就位、与一段烟道相连接的上升管、下降管、氧枪口、下料口、支撑悬挂装置、相应保温材料的恢复安装及其它拆除工程量的（如：12.8m平台）恢复安装等所有工作内容。</w:t>
            </w:r>
          </w:p>
        </w:tc>
      </w:tr>
      <w:tr w14:paraId="0A840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660" w:type="dxa"/>
            <w:vAlign w:val="center"/>
          </w:tcPr>
          <w:p w14:paraId="6BA76F1C">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603" w:type="dxa"/>
            <w:vAlign w:val="center"/>
          </w:tcPr>
          <w:p w14:paraId="0F3630BC">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二、三段烟道磨损严重部位的管子更换</w:t>
            </w:r>
          </w:p>
        </w:tc>
        <w:tc>
          <w:tcPr>
            <w:tcW w:w="709" w:type="dxa"/>
            <w:vAlign w:val="center"/>
          </w:tcPr>
          <w:p w14:paraId="0C594DB5">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1276" w:type="dxa"/>
            <w:vAlign w:val="center"/>
          </w:tcPr>
          <w:p w14:paraId="4B55BF7C">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628</w:t>
            </w:r>
          </w:p>
        </w:tc>
        <w:tc>
          <w:tcPr>
            <w:tcW w:w="4368" w:type="dxa"/>
            <w:vAlign w:val="center"/>
          </w:tcPr>
          <w:p w14:paraId="013C1EA3">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二段</w:t>
            </w:r>
            <w:r>
              <w:rPr>
                <w:rFonts w:hint="eastAsia" w:ascii="宋体" w:hAnsi="宋体" w:eastAsia="宋体" w:cs="宋体"/>
                <w:b/>
                <w:color w:val="auto"/>
                <w:sz w:val="21"/>
                <w:szCs w:val="21"/>
                <w:highlight w:val="none"/>
                <w:u w:val="single"/>
              </w:rPr>
              <w:t>烟道弯管</w:t>
            </w:r>
            <w:r>
              <w:rPr>
                <w:rFonts w:hint="eastAsia" w:ascii="宋体" w:hAnsi="宋体" w:eastAsia="宋体" w:cs="宋体"/>
                <w:color w:val="auto"/>
                <w:sz w:val="21"/>
                <w:szCs w:val="21"/>
                <w:highlight w:val="none"/>
              </w:rPr>
              <w:t>共180根*4m（其中：5-7#炉烟道弯管3*40根，8#炉烟道弯管1*60根），5-8#炉二、三段</w:t>
            </w:r>
            <w:r>
              <w:rPr>
                <w:rFonts w:hint="eastAsia" w:ascii="宋体" w:hAnsi="宋体" w:eastAsia="宋体" w:cs="宋体"/>
                <w:b/>
                <w:color w:val="auto"/>
                <w:sz w:val="21"/>
                <w:szCs w:val="21"/>
                <w:highlight w:val="none"/>
                <w:u w:val="single"/>
              </w:rPr>
              <w:t>下集箱弯管</w:t>
            </w:r>
            <w:r>
              <w:rPr>
                <w:rFonts w:hint="eastAsia" w:ascii="宋体" w:hAnsi="宋体" w:eastAsia="宋体" w:cs="宋体"/>
                <w:color w:val="auto"/>
                <w:sz w:val="21"/>
                <w:szCs w:val="21"/>
                <w:highlight w:val="none"/>
              </w:rPr>
              <w:t>共448根*0.5m（其中：二段下集箱各72根，共288根；三段下集箱弯管各40条，共160条）。包括换管工作量所需的现场弯管、搭架等工作，以及修复为施工而拆除的栏杆、保温等所有其它工作。（全部管材、鳍片由</w:t>
            </w:r>
            <w:r>
              <w:rPr>
                <w:rFonts w:hint="eastAsia" w:ascii="宋体" w:hAnsi="宋体" w:eastAsia="宋体" w:cs="宋体"/>
                <w:color w:val="auto"/>
                <w:sz w:val="21"/>
                <w:szCs w:val="21"/>
                <w:highlight w:val="none"/>
                <w:lang w:eastAsia="zh-CN"/>
              </w:rPr>
              <w:t>采购人（甲方）</w:t>
            </w:r>
            <w:r>
              <w:rPr>
                <w:rFonts w:hint="eastAsia" w:ascii="宋体" w:hAnsi="宋体" w:eastAsia="宋体" w:cs="宋体"/>
                <w:color w:val="auto"/>
                <w:sz w:val="21"/>
                <w:szCs w:val="21"/>
                <w:highlight w:val="none"/>
              </w:rPr>
              <w:t>提供）</w:t>
            </w:r>
          </w:p>
        </w:tc>
      </w:tr>
      <w:tr w14:paraId="22E2B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660" w:type="dxa"/>
            <w:vAlign w:val="center"/>
          </w:tcPr>
          <w:p w14:paraId="6663E9A0">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603" w:type="dxa"/>
            <w:vAlign w:val="center"/>
          </w:tcPr>
          <w:p w14:paraId="0A36C787">
            <w:pPr>
              <w:snapToGrid w:val="0"/>
              <w:spacing w:afterLines="0"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二、三段烟道防磨金属喷涂</w:t>
            </w:r>
          </w:p>
        </w:tc>
        <w:tc>
          <w:tcPr>
            <w:tcW w:w="709" w:type="dxa"/>
            <w:vAlign w:val="center"/>
          </w:tcPr>
          <w:p w14:paraId="324B0DAA">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276" w:type="dxa"/>
            <w:vAlign w:val="center"/>
          </w:tcPr>
          <w:p w14:paraId="25A50843">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368" w:type="dxa"/>
            <w:vAlign w:val="center"/>
          </w:tcPr>
          <w:p w14:paraId="4DD6EE89">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4套共405㎡（本项为</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包工包料）。</w:t>
            </w:r>
          </w:p>
        </w:tc>
      </w:tr>
      <w:tr w14:paraId="70276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660" w:type="dxa"/>
            <w:vAlign w:val="center"/>
          </w:tcPr>
          <w:p w14:paraId="339AA256">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603" w:type="dxa"/>
            <w:vAlign w:val="center"/>
          </w:tcPr>
          <w:p w14:paraId="7F244722">
            <w:pPr>
              <w:snapToGrid w:val="0"/>
              <w:spacing w:afterLines="0"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一、二、三段烟道部分部位敷设浇注料</w:t>
            </w:r>
          </w:p>
        </w:tc>
        <w:tc>
          <w:tcPr>
            <w:tcW w:w="709" w:type="dxa"/>
            <w:vAlign w:val="center"/>
          </w:tcPr>
          <w:p w14:paraId="1DC16C1C">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76" w:type="dxa"/>
            <w:vAlign w:val="center"/>
          </w:tcPr>
          <w:p w14:paraId="69AB3A29">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w:t>
            </w:r>
          </w:p>
        </w:tc>
        <w:tc>
          <w:tcPr>
            <w:tcW w:w="4368" w:type="dxa"/>
            <w:vAlign w:val="center"/>
          </w:tcPr>
          <w:p w14:paraId="2CE50BB3">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4套共56㎡，厚度δ=50mm。其中，一段烟道抓钉已焊好，面积为各6㎡，共24㎡；二、三段烟道抓钉需现场焊接，面积每套各8㎡，共32㎡，抓钉25个/㎡，抓钉材质为310S不锈钢，焊条须用A401。（抓钉由</w:t>
            </w:r>
            <w:r>
              <w:rPr>
                <w:rFonts w:hint="eastAsia" w:ascii="宋体" w:hAnsi="宋体" w:eastAsia="宋体" w:cs="宋体"/>
                <w:color w:val="auto"/>
                <w:sz w:val="21"/>
                <w:szCs w:val="21"/>
                <w:highlight w:val="none"/>
                <w:lang w:eastAsia="zh-CN"/>
              </w:rPr>
              <w:t>采购人（甲方）</w:t>
            </w:r>
            <w:r>
              <w:rPr>
                <w:rFonts w:hint="eastAsia" w:ascii="宋体" w:hAnsi="宋体" w:eastAsia="宋体" w:cs="宋体"/>
                <w:color w:val="auto"/>
                <w:sz w:val="21"/>
                <w:szCs w:val="21"/>
                <w:highlight w:val="none"/>
              </w:rPr>
              <w:t>提供）</w:t>
            </w:r>
          </w:p>
        </w:tc>
      </w:tr>
      <w:tr w14:paraId="0A2D2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660" w:type="dxa"/>
            <w:vAlign w:val="center"/>
          </w:tcPr>
          <w:p w14:paraId="7D189CE5">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603" w:type="dxa"/>
            <w:vAlign w:val="center"/>
          </w:tcPr>
          <w:p w14:paraId="2F82C5D4">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保温</w:t>
            </w:r>
          </w:p>
        </w:tc>
        <w:tc>
          <w:tcPr>
            <w:tcW w:w="709" w:type="dxa"/>
            <w:vAlign w:val="center"/>
          </w:tcPr>
          <w:p w14:paraId="7A3392B8">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m³</w:t>
            </w:r>
          </w:p>
        </w:tc>
        <w:tc>
          <w:tcPr>
            <w:tcW w:w="1276" w:type="dxa"/>
            <w:vAlign w:val="center"/>
          </w:tcPr>
          <w:p w14:paraId="53294D69">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93.88</w:t>
            </w:r>
          </w:p>
        </w:tc>
        <w:tc>
          <w:tcPr>
            <w:tcW w:w="4368" w:type="dxa"/>
            <w:vAlign w:val="center"/>
          </w:tcPr>
          <w:p w14:paraId="32951F7E">
            <w:pPr>
              <w:pStyle w:val="51"/>
              <w:numPr>
                <w:ilvl w:val="0"/>
                <w:numId w:val="2"/>
              </w:numPr>
              <w:adjustRightInd w:val="0"/>
              <w:snapToGrid w:val="0"/>
              <w:spacing w:afterLines="0" w:line="360" w:lineRule="auto"/>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烟道面积（3.7+1.3+0.25）*3.14*2.6,厚度200mm;保温体积 V</w:t>
            </w:r>
            <w:r>
              <w:rPr>
                <w:rFonts w:hint="eastAsia" w:ascii="宋体" w:hAnsi="宋体" w:eastAsia="宋体" w:cs="宋体"/>
                <w:color w:val="auto"/>
                <w:sz w:val="21"/>
                <w:szCs w:val="21"/>
                <w:highlight w:val="none"/>
                <w:vertAlign w:val="subscript"/>
              </w:rPr>
              <w:t>1</w:t>
            </w:r>
            <w:r>
              <w:rPr>
                <w:rFonts w:hint="eastAsia" w:ascii="宋体" w:hAnsi="宋体" w:eastAsia="宋体" w:cs="宋体"/>
                <w:color w:val="auto"/>
                <w:sz w:val="21"/>
                <w:szCs w:val="21"/>
                <w:highlight w:val="none"/>
              </w:rPr>
              <w:t>=8.57 m³/套</w:t>
            </w:r>
          </w:p>
          <w:p w14:paraId="7B48FF1A">
            <w:pPr>
              <w:pStyle w:val="51"/>
              <w:numPr>
                <w:ilvl w:val="0"/>
                <w:numId w:val="2"/>
              </w:numPr>
              <w:adjustRightInd w:val="0"/>
              <w:snapToGrid w:val="0"/>
              <w:spacing w:afterLines="0" w:line="360" w:lineRule="auto"/>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上集箱∮273*14周长：3.14*3.46，厚度150mm；保温体积V</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rPr>
              <w:t>=1.4 m³/套</w:t>
            </w:r>
          </w:p>
          <w:p w14:paraId="31BD6484">
            <w:pPr>
              <w:pStyle w:val="51"/>
              <w:numPr>
                <w:ilvl w:val="0"/>
                <w:numId w:val="2"/>
              </w:numPr>
              <w:adjustRightInd w:val="0"/>
              <w:snapToGrid w:val="0"/>
              <w:spacing w:afterLines="0" w:line="360" w:lineRule="auto"/>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下降管∮159*5长45m，厚度150mm；保温体积V</w:t>
            </w:r>
            <w:r>
              <w:rPr>
                <w:rFonts w:hint="eastAsia" w:ascii="宋体" w:hAnsi="宋体" w:eastAsia="宋体" w:cs="宋体"/>
                <w:color w:val="auto"/>
                <w:sz w:val="21"/>
                <w:szCs w:val="21"/>
                <w:highlight w:val="none"/>
                <w:vertAlign w:val="subscript"/>
              </w:rPr>
              <w:t>3</w:t>
            </w:r>
            <w:r>
              <w:rPr>
                <w:rFonts w:hint="eastAsia" w:ascii="宋体" w:hAnsi="宋体" w:eastAsia="宋体" w:cs="宋体"/>
                <w:color w:val="auto"/>
                <w:sz w:val="21"/>
                <w:szCs w:val="21"/>
                <w:highlight w:val="none"/>
              </w:rPr>
              <w:t>=3.37 m³/套</w:t>
            </w:r>
          </w:p>
          <w:p w14:paraId="235FF7C5">
            <w:pPr>
              <w:pStyle w:val="51"/>
              <w:numPr>
                <w:ilvl w:val="0"/>
                <w:numId w:val="2"/>
              </w:numPr>
              <w:adjustRightInd w:val="0"/>
              <w:snapToGrid w:val="0"/>
              <w:spacing w:afterLines="0" w:line="360" w:lineRule="auto"/>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12.8m平台夹层保温：6*6-3.14*1.3*1.3，厚度330mm。保温体积V</w:t>
            </w:r>
            <w:r>
              <w:rPr>
                <w:rFonts w:hint="eastAsia" w:ascii="宋体" w:hAnsi="宋体" w:eastAsia="宋体" w:cs="宋体"/>
                <w:color w:val="auto"/>
                <w:sz w:val="21"/>
                <w:szCs w:val="21"/>
                <w:highlight w:val="none"/>
                <w:vertAlign w:val="subscript"/>
              </w:rPr>
              <w:t>4</w:t>
            </w:r>
            <w:r>
              <w:rPr>
                <w:rFonts w:hint="eastAsia" w:ascii="宋体" w:hAnsi="宋体" w:eastAsia="宋体" w:cs="宋体"/>
                <w:color w:val="auto"/>
                <w:sz w:val="21"/>
                <w:szCs w:val="21"/>
                <w:highlight w:val="none"/>
              </w:rPr>
              <w:t>=10.13m³/套</w:t>
            </w:r>
          </w:p>
          <w:p w14:paraId="034B65E2">
            <w:pPr>
              <w:pStyle w:val="51"/>
              <w:numPr>
                <w:ilvl w:val="0"/>
                <w:numId w:val="2"/>
              </w:numPr>
              <w:adjustRightInd w:val="0"/>
              <w:snapToGrid w:val="0"/>
              <w:spacing w:afterLines="0" w:line="360" w:lineRule="auto"/>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上述①-④项4套总保温体积V</w:t>
            </w:r>
            <w:r>
              <w:rPr>
                <w:rFonts w:hint="eastAsia" w:ascii="宋体" w:hAnsi="宋体" w:eastAsia="宋体" w:cs="宋体"/>
                <w:color w:val="auto"/>
                <w:sz w:val="21"/>
                <w:szCs w:val="21"/>
                <w:highlight w:val="none"/>
                <w:vertAlign w:val="subscript"/>
              </w:rPr>
              <w:t>总</w:t>
            </w:r>
            <w:r>
              <w:rPr>
                <w:rFonts w:hint="eastAsia" w:ascii="宋体" w:hAnsi="宋体" w:eastAsia="宋体" w:cs="宋体"/>
                <w:color w:val="auto"/>
                <w:sz w:val="21"/>
                <w:szCs w:val="21"/>
                <w:highlight w:val="none"/>
              </w:rPr>
              <w:t>=4*23.47=93.88m³（注：</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注意勿重复计算，此项为</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包工包料）</w:t>
            </w:r>
          </w:p>
        </w:tc>
      </w:tr>
      <w:tr w14:paraId="5B25F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660" w:type="dxa"/>
            <w:vAlign w:val="center"/>
          </w:tcPr>
          <w:p w14:paraId="66AC7F1E">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603" w:type="dxa"/>
            <w:vAlign w:val="center"/>
          </w:tcPr>
          <w:p w14:paraId="1E36EAA9">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其它</w:t>
            </w:r>
          </w:p>
        </w:tc>
        <w:tc>
          <w:tcPr>
            <w:tcW w:w="709" w:type="dxa"/>
            <w:vAlign w:val="center"/>
          </w:tcPr>
          <w:p w14:paraId="6AFD9AB1">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1276" w:type="dxa"/>
            <w:vAlign w:val="center"/>
          </w:tcPr>
          <w:p w14:paraId="7B8C089B">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368" w:type="dxa"/>
            <w:vAlign w:val="center"/>
          </w:tcPr>
          <w:p w14:paraId="14A2EA31">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详见附件一：风管安装，阀门更换，水位计更换等工作。(此项为</w:t>
            </w:r>
            <w:r>
              <w:rPr>
                <w:rFonts w:hint="eastAsia" w:ascii="宋体" w:hAnsi="宋体" w:eastAsia="宋体" w:cs="宋体"/>
                <w:color w:val="auto"/>
                <w:sz w:val="21"/>
                <w:szCs w:val="21"/>
                <w:highlight w:val="none"/>
                <w:lang w:eastAsia="zh-CN"/>
              </w:rPr>
              <w:t>采购人（甲方）</w:t>
            </w:r>
            <w:r>
              <w:rPr>
                <w:rFonts w:hint="eastAsia" w:ascii="宋体" w:hAnsi="宋体" w:eastAsia="宋体" w:cs="宋体"/>
                <w:color w:val="auto"/>
                <w:sz w:val="21"/>
                <w:szCs w:val="21"/>
                <w:highlight w:val="none"/>
              </w:rPr>
              <w:t>提供材料并领工，</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负责提供8个钳工/天*10天)</w:t>
            </w:r>
          </w:p>
        </w:tc>
      </w:tr>
    </w:tbl>
    <w:p w14:paraId="3A662008">
      <w:pPr>
        <w:pStyle w:val="3"/>
        <w:snapToGrid w:val="0"/>
        <w:spacing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四、施工技术规范</w:t>
      </w:r>
    </w:p>
    <w:p w14:paraId="20DAF699">
      <w:pPr>
        <w:pStyle w:val="4"/>
        <w:snapToGrid w:val="0"/>
        <w:spacing w:afterLines="0" w:line="360" w:lineRule="auto"/>
        <w:ind w:firstLine="56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（一）施工依据</w:t>
      </w:r>
    </w:p>
    <w:p w14:paraId="1A92EAC4">
      <w:pPr>
        <w:pStyle w:val="51"/>
        <w:numPr>
          <w:ilvl w:val="0"/>
          <w:numId w:val="3"/>
        </w:numPr>
        <w:adjustRightInd w:val="0"/>
        <w:snapToGrid w:val="0"/>
        <w:spacing w:afterLines="0" w:line="360" w:lineRule="auto"/>
        <w:ind w:right="420" w:rightChars="2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《锅炉安全技术监察规程》（2022年版）</w:t>
      </w:r>
    </w:p>
    <w:p w14:paraId="5EC9CEA4">
      <w:pPr>
        <w:pStyle w:val="51"/>
        <w:numPr>
          <w:ilvl w:val="0"/>
          <w:numId w:val="3"/>
        </w:numPr>
        <w:adjustRightInd w:val="0"/>
        <w:snapToGrid w:val="0"/>
        <w:spacing w:afterLines="0" w:line="360" w:lineRule="auto"/>
        <w:ind w:right="420" w:rightChars="2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《压力管道规范一工业管道》(GB/T20801)</w:t>
      </w:r>
    </w:p>
    <w:p w14:paraId="2BA213A4">
      <w:pPr>
        <w:pStyle w:val="51"/>
        <w:numPr>
          <w:ilvl w:val="0"/>
          <w:numId w:val="3"/>
        </w:numPr>
        <w:adjustRightInd w:val="0"/>
        <w:snapToGrid w:val="0"/>
        <w:spacing w:afterLines="0" w:line="360" w:lineRule="auto"/>
        <w:ind w:right="420" w:rightChars="2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《火力发电厂焊接技术规程》DL/T 869—2012</w:t>
      </w:r>
    </w:p>
    <w:p w14:paraId="6B5B5330">
      <w:pPr>
        <w:pStyle w:val="51"/>
        <w:numPr>
          <w:ilvl w:val="0"/>
          <w:numId w:val="3"/>
        </w:numPr>
        <w:adjustRightInd w:val="0"/>
        <w:snapToGrid w:val="0"/>
        <w:spacing w:afterLines="0" w:line="360" w:lineRule="auto"/>
        <w:ind w:right="420" w:rightChars="2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《电力建设施工质量验收及评价规程》（焊接篇）DL/T 5210.7-2018</w:t>
      </w:r>
    </w:p>
    <w:p w14:paraId="63F6EC58">
      <w:pPr>
        <w:pStyle w:val="51"/>
        <w:numPr>
          <w:ilvl w:val="0"/>
          <w:numId w:val="3"/>
        </w:numPr>
        <w:adjustRightInd w:val="0"/>
        <w:snapToGrid w:val="0"/>
        <w:spacing w:afterLines="0" w:line="360" w:lineRule="auto"/>
        <w:ind w:right="420" w:rightChars="2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《电力建设施工技术规范 第2部分：锅炉机组》DL 5190.2-2019</w:t>
      </w:r>
    </w:p>
    <w:p w14:paraId="0AE125F2">
      <w:pPr>
        <w:pStyle w:val="51"/>
        <w:numPr>
          <w:ilvl w:val="0"/>
          <w:numId w:val="3"/>
        </w:numPr>
        <w:adjustRightInd w:val="0"/>
        <w:snapToGrid w:val="0"/>
        <w:spacing w:afterLines="0" w:line="360" w:lineRule="auto"/>
        <w:ind w:right="420" w:rightChars="2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《电力建设施工技术规范 第5部分：管道及系统》DL 5190.5-2019</w:t>
      </w:r>
    </w:p>
    <w:p w14:paraId="60D3164D">
      <w:pPr>
        <w:pStyle w:val="51"/>
        <w:numPr>
          <w:ilvl w:val="0"/>
          <w:numId w:val="3"/>
        </w:numPr>
        <w:adjustRightInd w:val="0"/>
        <w:snapToGrid w:val="0"/>
        <w:spacing w:afterLines="0" w:line="360" w:lineRule="auto"/>
        <w:ind w:right="420" w:rightChars="2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《电力建设施工技术规范 第8部分：加工配制》DL 5190.8-2019</w:t>
      </w:r>
    </w:p>
    <w:p w14:paraId="388EFDD9">
      <w:pPr>
        <w:pStyle w:val="51"/>
        <w:numPr>
          <w:ilvl w:val="0"/>
          <w:numId w:val="3"/>
        </w:numPr>
        <w:adjustRightInd w:val="0"/>
        <w:snapToGrid w:val="0"/>
        <w:spacing w:afterLines="0" w:line="360" w:lineRule="auto"/>
        <w:ind w:right="420" w:rightChars="2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《工业设备及管道绝热工程施工质量验收规范》GB50185-2010</w:t>
      </w:r>
    </w:p>
    <w:p w14:paraId="6BE5B945">
      <w:pPr>
        <w:pStyle w:val="103"/>
        <w:numPr>
          <w:ilvl w:val="0"/>
          <w:numId w:val="3"/>
        </w:numPr>
        <w:adjustRightInd w:val="0"/>
        <w:snapToGrid w:val="0"/>
        <w:spacing w:afterLines="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《焊工技术考核规程》DL/T679—1999</w:t>
      </w:r>
    </w:p>
    <w:p w14:paraId="1184364F">
      <w:pPr>
        <w:pStyle w:val="103"/>
        <w:numPr>
          <w:ilvl w:val="0"/>
          <w:numId w:val="3"/>
        </w:numPr>
        <w:adjustRightInd w:val="0"/>
        <w:snapToGrid w:val="0"/>
        <w:spacing w:afterLines="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《焊接工艺评定规程》DL/T868-2004</w:t>
      </w:r>
    </w:p>
    <w:p w14:paraId="5F38B281">
      <w:pPr>
        <w:pStyle w:val="103"/>
        <w:numPr>
          <w:ilvl w:val="0"/>
          <w:numId w:val="3"/>
        </w:numPr>
        <w:adjustRightInd w:val="0"/>
        <w:snapToGrid w:val="0"/>
        <w:spacing w:afterLines="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《火力发电厂异种钢焊接技术规程》DL/T572《电站锅炉压力容器检验规程》DL/T647-2004</w:t>
      </w:r>
    </w:p>
    <w:p w14:paraId="1C049E30">
      <w:pPr>
        <w:pStyle w:val="103"/>
        <w:numPr>
          <w:ilvl w:val="0"/>
          <w:numId w:val="3"/>
        </w:numPr>
        <w:adjustRightInd w:val="0"/>
        <w:snapToGrid w:val="0"/>
        <w:spacing w:afterLines="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《管道焊接接头超声波检验技术规程》DL/T820-2002</w:t>
      </w:r>
    </w:p>
    <w:p w14:paraId="1C3CA1EC">
      <w:pPr>
        <w:pStyle w:val="103"/>
        <w:numPr>
          <w:ilvl w:val="0"/>
          <w:numId w:val="3"/>
        </w:numPr>
        <w:adjustRightInd w:val="0"/>
        <w:snapToGrid w:val="0"/>
        <w:spacing w:afterLines="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《钢制承压管道对接焊接接头射线检验技术规程》DL/T821-2002</w:t>
      </w:r>
    </w:p>
    <w:p w14:paraId="202C41DD">
      <w:pPr>
        <w:pStyle w:val="51"/>
        <w:numPr>
          <w:ilvl w:val="0"/>
          <w:numId w:val="3"/>
        </w:numPr>
        <w:adjustRightInd w:val="0"/>
        <w:snapToGrid w:val="0"/>
        <w:spacing w:afterLines="0" w:line="360" w:lineRule="auto"/>
        <w:ind w:right="420" w:rightChars="2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《火力发电厂金属技术监督规程》DL/T438—2016</w:t>
      </w:r>
    </w:p>
    <w:p w14:paraId="472221D4">
      <w:pPr>
        <w:pStyle w:val="51"/>
        <w:numPr>
          <w:ilvl w:val="0"/>
          <w:numId w:val="3"/>
        </w:numPr>
        <w:adjustRightInd w:val="0"/>
        <w:snapToGrid w:val="0"/>
        <w:spacing w:afterLines="0" w:line="360" w:lineRule="auto"/>
        <w:ind w:right="420" w:rightChars="2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《锅炉安装监督检验规则》TSG G7001－2015</w:t>
      </w:r>
    </w:p>
    <w:p w14:paraId="0FEA6BB9">
      <w:pPr>
        <w:pStyle w:val="51"/>
        <w:numPr>
          <w:ilvl w:val="0"/>
          <w:numId w:val="3"/>
        </w:numPr>
        <w:adjustRightInd w:val="0"/>
        <w:snapToGrid w:val="0"/>
        <w:spacing w:afterLines="0" w:line="360" w:lineRule="auto"/>
        <w:ind w:right="420" w:rightChars="2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《室内汽水管道支品架》和《西北电力设计院汽水管道支吊架手》</w:t>
      </w:r>
    </w:p>
    <w:p w14:paraId="4B4F5266">
      <w:pPr>
        <w:pStyle w:val="51"/>
        <w:numPr>
          <w:ilvl w:val="0"/>
          <w:numId w:val="3"/>
        </w:numPr>
        <w:adjustRightInd w:val="0"/>
        <w:snapToGrid w:val="0"/>
        <w:spacing w:afterLines="0" w:line="360" w:lineRule="auto"/>
        <w:ind w:right="420" w:rightChars="2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《施工现场临时用电安全技术规范》JGJ46-2005</w:t>
      </w:r>
    </w:p>
    <w:p w14:paraId="7FAFED1C">
      <w:pPr>
        <w:pStyle w:val="51"/>
        <w:numPr>
          <w:ilvl w:val="0"/>
          <w:numId w:val="3"/>
        </w:numPr>
        <w:adjustRightInd w:val="0"/>
        <w:snapToGrid w:val="0"/>
        <w:spacing w:afterLines="0" w:line="360" w:lineRule="auto"/>
        <w:ind w:right="420" w:rightChars="2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《建筑施工扣件式钢管脚手架安全技术规范》JGJ-130-2011</w:t>
      </w:r>
    </w:p>
    <w:p w14:paraId="43430ADC">
      <w:pPr>
        <w:pStyle w:val="51"/>
        <w:numPr>
          <w:ilvl w:val="0"/>
          <w:numId w:val="3"/>
        </w:numPr>
        <w:adjustRightInd w:val="0"/>
        <w:snapToGrid w:val="0"/>
        <w:spacing w:afterLines="0" w:line="360" w:lineRule="auto"/>
        <w:ind w:right="420" w:rightChars="2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《建筑机械使用安全技术规程》(JGJ33-2012)</w:t>
      </w:r>
    </w:p>
    <w:p w14:paraId="48B4FD17">
      <w:pPr>
        <w:pStyle w:val="51"/>
        <w:numPr>
          <w:ilvl w:val="0"/>
          <w:numId w:val="3"/>
        </w:numPr>
        <w:adjustRightInd w:val="0"/>
        <w:snapToGrid w:val="0"/>
        <w:spacing w:afterLines="0" w:line="360" w:lineRule="auto"/>
        <w:ind w:right="420" w:rightChars="2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《起重机械安全规程》GB6067-2011</w:t>
      </w:r>
    </w:p>
    <w:p w14:paraId="5BC6BB8F">
      <w:pPr>
        <w:pStyle w:val="51"/>
        <w:numPr>
          <w:ilvl w:val="0"/>
          <w:numId w:val="3"/>
        </w:numPr>
        <w:adjustRightInd w:val="0"/>
        <w:snapToGrid w:val="0"/>
        <w:spacing w:afterLines="0" w:line="360" w:lineRule="auto"/>
        <w:ind w:right="420" w:rightChars="2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《电力建设安全健康与环境管理规定》</w:t>
      </w:r>
    </w:p>
    <w:p w14:paraId="518048DE">
      <w:pPr>
        <w:pStyle w:val="4"/>
        <w:snapToGrid w:val="0"/>
        <w:spacing w:afterLines="0" w:line="360" w:lineRule="auto"/>
        <w:ind w:firstLine="56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（二）施工前的准备</w:t>
      </w:r>
    </w:p>
    <w:p w14:paraId="0C157071">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一段烟道的拆除和安装、二三段烟道管子更换施工、防磨金属喷涂施工、浇注料敷设施工、保温施工等施工应根据上述技术条件或规范，在详细研究本锅炉的图纸后，结合具体的施工条件和其它有关技术规定，制订一份施工组织设计，编制施工作业指导书、质量验收报告。在施工中应对每道工序均应仔细检查，做好记录，并严格进行部、组件分阶段验收及整体验收。</w:t>
      </w:r>
    </w:p>
    <w:p w14:paraId="1A555BA8">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2、为完成施工所具备的劳动力资源和工、器具资源（详见下表三、表四：</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填写）。</w:t>
      </w:r>
    </w:p>
    <w:p w14:paraId="645BF43D">
      <w:pPr>
        <w:snapToGrid w:val="0"/>
        <w:spacing w:afterLines="0"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表三：劳动办资源</w:t>
      </w:r>
    </w:p>
    <w:tbl>
      <w:tblPr>
        <w:tblStyle w:val="36"/>
        <w:tblW w:w="820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24"/>
        <w:gridCol w:w="2268"/>
        <w:gridCol w:w="1843"/>
        <w:gridCol w:w="2971"/>
      </w:tblGrid>
      <w:tr w14:paraId="5A188D7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24" w:type="dxa"/>
            <w:vAlign w:val="center"/>
          </w:tcPr>
          <w:p w14:paraId="0BE4CDAB">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268" w:type="dxa"/>
            <w:vAlign w:val="center"/>
          </w:tcPr>
          <w:p w14:paraId="081D8217">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工种</w:t>
            </w:r>
          </w:p>
        </w:tc>
        <w:tc>
          <w:tcPr>
            <w:tcW w:w="1843" w:type="dxa"/>
            <w:vAlign w:val="center"/>
          </w:tcPr>
          <w:p w14:paraId="59073527">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数量（人）</w:t>
            </w:r>
          </w:p>
        </w:tc>
        <w:tc>
          <w:tcPr>
            <w:tcW w:w="2971" w:type="dxa"/>
            <w:vAlign w:val="center"/>
          </w:tcPr>
          <w:p w14:paraId="3ABA727E">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r>
      <w:tr w14:paraId="2327CB1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24" w:type="dxa"/>
            <w:vAlign w:val="center"/>
          </w:tcPr>
          <w:p w14:paraId="1F8FDA7C">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268" w:type="dxa"/>
            <w:vAlign w:val="center"/>
          </w:tcPr>
          <w:p w14:paraId="40F06CCB">
            <w:pPr>
              <w:snapToGrid w:val="0"/>
              <w:spacing w:afterLines="0"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施工负责人</w:t>
            </w:r>
          </w:p>
        </w:tc>
        <w:tc>
          <w:tcPr>
            <w:tcW w:w="1843" w:type="dxa"/>
            <w:vAlign w:val="center"/>
          </w:tcPr>
          <w:p w14:paraId="6B54D2AA">
            <w:pPr>
              <w:snapToGrid w:val="0"/>
              <w:spacing w:afterLines="0" w:line="360" w:lineRule="auto"/>
              <w:ind w:firstLine="0" w:firstLineChars="0"/>
              <w:jc w:val="center"/>
              <w:rPr>
                <w:rFonts w:hint="eastAsia" w:ascii="宋体" w:hAnsi="宋体" w:eastAsia="宋体" w:cs="宋体"/>
                <w:color w:val="auto"/>
                <w:sz w:val="21"/>
                <w:szCs w:val="21"/>
                <w:highlight w:val="none"/>
              </w:rPr>
            </w:pPr>
          </w:p>
        </w:tc>
        <w:tc>
          <w:tcPr>
            <w:tcW w:w="2971" w:type="dxa"/>
            <w:vAlign w:val="center"/>
          </w:tcPr>
          <w:p w14:paraId="669AB4E9">
            <w:pPr>
              <w:snapToGrid w:val="0"/>
              <w:spacing w:afterLines="0" w:line="360" w:lineRule="auto"/>
              <w:ind w:firstLine="0" w:firstLineChars="0"/>
              <w:jc w:val="center"/>
              <w:rPr>
                <w:rFonts w:hint="eastAsia" w:ascii="宋体" w:hAnsi="宋体" w:eastAsia="宋体" w:cs="宋体"/>
                <w:color w:val="auto"/>
                <w:sz w:val="21"/>
                <w:szCs w:val="21"/>
                <w:highlight w:val="none"/>
              </w:rPr>
            </w:pPr>
          </w:p>
        </w:tc>
      </w:tr>
      <w:tr w14:paraId="16EBAEE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24" w:type="dxa"/>
            <w:vAlign w:val="center"/>
          </w:tcPr>
          <w:p w14:paraId="5421FC27">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268" w:type="dxa"/>
            <w:vAlign w:val="center"/>
          </w:tcPr>
          <w:p w14:paraId="7FA3FCF9">
            <w:pPr>
              <w:snapToGrid w:val="0"/>
              <w:spacing w:afterLines="0"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技术员</w:t>
            </w:r>
          </w:p>
        </w:tc>
        <w:tc>
          <w:tcPr>
            <w:tcW w:w="1843" w:type="dxa"/>
            <w:vAlign w:val="center"/>
          </w:tcPr>
          <w:p w14:paraId="4A6A2839">
            <w:pPr>
              <w:snapToGrid w:val="0"/>
              <w:spacing w:afterLines="0" w:line="360" w:lineRule="auto"/>
              <w:ind w:firstLine="0" w:firstLineChars="0"/>
              <w:jc w:val="center"/>
              <w:rPr>
                <w:rFonts w:hint="eastAsia" w:ascii="宋体" w:hAnsi="宋体" w:eastAsia="宋体" w:cs="宋体"/>
                <w:color w:val="auto"/>
                <w:sz w:val="21"/>
                <w:szCs w:val="21"/>
                <w:highlight w:val="none"/>
              </w:rPr>
            </w:pPr>
          </w:p>
        </w:tc>
        <w:tc>
          <w:tcPr>
            <w:tcW w:w="2971" w:type="dxa"/>
            <w:vAlign w:val="center"/>
          </w:tcPr>
          <w:p w14:paraId="2F4725B0">
            <w:pPr>
              <w:snapToGrid w:val="0"/>
              <w:spacing w:afterLines="0" w:line="360" w:lineRule="auto"/>
              <w:ind w:firstLine="0" w:firstLineChars="0"/>
              <w:jc w:val="center"/>
              <w:rPr>
                <w:rFonts w:hint="eastAsia" w:ascii="宋体" w:hAnsi="宋体" w:eastAsia="宋体" w:cs="宋体"/>
                <w:color w:val="auto"/>
                <w:sz w:val="21"/>
                <w:szCs w:val="21"/>
                <w:highlight w:val="none"/>
              </w:rPr>
            </w:pPr>
          </w:p>
        </w:tc>
      </w:tr>
      <w:tr w14:paraId="0CBB38A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24" w:type="dxa"/>
            <w:vAlign w:val="center"/>
          </w:tcPr>
          <w:p w14:paraId="297562A7">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268" w:type="dxa"/>
            <w:vAlign w:val="center"/>
          </w:tcPr>
          <w:p w14:paraId="369AA3FF">
            <w:pPr>
              <w:snapToGrid w:val="0"/>
              <w:spacing w:afterLines="0"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质检员</w:t>
            </w:r>
          </w:p>
        </w:tc>
        <w:tc>
          <w:tcPr>
            <w:tcW w:w="1843" w:type="dxa"/>
            <w:vAlign w:val="center"/>
          </w:tcPr>
          <w:p w14:paraId="63691F83">
            <w:pPr>
              <w:snapToGrid w:val="0"/>
              <w:spacing w:afterLines="0" w:line="360" w:lineRule="auto"/>
              <w:ind w:firstLine="0" w:firstLineChars="0"/>
              <w:jc w:val="center"/>
              <w:rPr>
                <w:rFonts w:hint="eastAsia" w:ascii="宋体" w:hAnsi="宋体" w:eastAsia="宋体" w:cs="宋体"/>
                <w:color w:val="auto"/>
                <w:sz w:val="21"/>
                <w:szCs w:val="21"/>
                <w:highlight w:val="none"/>
              </w:rPr>
            </w:pPr>
          </w:p>
        </w:tc>
        <w:tc>
          <w:tcPr>
            <w:tcW w:w="2971" w:type="dxa"/>
            <w:vAlign w:val="center"/>
          </w:tcPr>
          <w:p w14:paraId="7B5C7DA8">
            <w:pPr>
              <w:snapToGrid w:val="0"/>
              <w:spacing w:afterLines="0" w:line="360" w:lineRule="auto"/>
              <w:ind w:firstLine="0" w:firstLineChars="0"/>
              <w:jc w:val="center"/>
              <w:rPr>
                <w:rFonts w:hint="eastAsia" w:ascii="宋体" w:hAnsi="宋体" w:eastAsia="宋体" w:cs="宋体"/>
                <w:color w:val="auto"/>
                <w:sz w:val="21"/>
                <w:szCs w:val="21"/>
                <w:highlight w:val="none"/>
              </w:rPr>
            </w:pPr>
          </w:p>
        </w:tc>
      </w:tr>
      <w:tr w14:paraId="18DFAB7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24" w:type="dxa"/>
            <w:vAlign w:val="center"/>
          </w:tcPr>
          <w:p w14:paraId="7B12BBE1">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268" w:type="dxa"/>
            <w:vAlign w:val="center"/>
          </w:tcPr>
          <w:p w14:paraId="069A0984">
            <w:pPr>
              <w:snapToGrid w:val="0"/>
              <w:spacing w:afterLines="0"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安全员</w:t>
            </w:r>
          </w:p>
        </w:tc>
        <w:tc>
          <w:tcPr>
            <w:tcW w:w="1843" w:type="dxa"/>
            <w:vAlign w:val="center"/>
          </w:tcPr>
          <w:p w14:paraId="686FF0C9">
            <w:pPr>
              <w:snapToGrid w:val="0"/>
              <w:spacing w:afterLines="0" w:line="360" w:lineRule="auto"/>
              <w:ind w:firstLine="0" w:firstLineChars="0"/>
              <w:jc w:val="center"/>
              <w:rPr>
                <w:rFonts w:hint="eastAsia" w:ascii="宋体" w:hAnsi="宋体" w:eastAsia="宋体" w:cs="宋体"/>
                <w:color w:val="auto"/>
                <w:sz w:val="21"/>
                <w:szCs w:val="21"/>
                <w:highlight w:val="none"/>
              </w:rPr>
            </w:pPr>
          </w:p>
        </w:tc>
        <w:tc>
          <w:tcPr>
            <w:tcW w:w="2971" w:type="dxa"/>
            <w:vAlign w:val="center"/>
          </w:tcPr>
          <w:p w14:paraId="53401CBD">
            <w:pPr>
              <w:snapToGrid w:val="0"/>
              <w:spacing w:afterLines="0" w:line="360" w:lineRule="auto"/>
              <w:ind w:firstLine="0" w:firstLineChars="0"/>
              <w:jc w:val="center"/>
              <w:rPr>
                <w:rFonts w:hint="eastAsia" w:ascii="宋体" w:hAnsi="宋体" w:eastAsia="宋体" w:cs="宋体"/>
                <w:color w:val="auto"/>
                <w:sz w:val="21"/>
                <w:szCs w:val="21"/>
                <w:highlight w:val="none"/>
              </w:rPr>
            </w:pPr>
          </w:p>
        </w:tc>
      </w:tr>
      <w:tr w14:paraId="3C273A2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24" w:type="dxa"/>
            <w:vAlign w:val="center"/>
          </w:tcPr>
          <w:p w14:paraId="6FE38332">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268" w:type="dxa"/>
            <w:vAlign w:val="center"/>
          </w:tcPr>
          <w:p w14:paraId="188E7049">
            <w:pPr>
              <w:snapToGrid w:val="0"/>
              <w:spacing w:afterLines="0"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电焊工</w:t>
            </w:r>
          </w:p>
        </w:tc>
        <w:tc>
          <w:tcPr>
            <w:tcW w:w="1843" w:type="dxa"/>
            <w:vAlign w:val="center"/>
          </w:tcPr>
          <w:p w14:paraId="7F07DC18">
            <w:pPr>
              <w:snapToGrid w:val="0"/>
              <w:spacing w:afterLines="0" w:line="360" w:lineRule="auto"/>
              <w:ind w:firstLine="0" w:firstLineChars="0"/>
              <w:jc w:val="center"/>
              <w:rPr>
                <w:rFonts w:hint="eastAsia" w:ascii="宋体" w:hAnsi="宋体" w:eastAsia="宋体" w:cs="宋体"/>
                <w:color w:val="auto"/>
                <w:sz w:val="21"/>
                <w:szCs w:val="21"/>
                <w:highlight w:val="none"/>
              </w:rPr>
            </w:pPr>
          </w:p>
        </w:tc>
        <w:tc>
          <w:tcPr>
            <w:tcW w:w="2971" w:type="dxa"/>
            <w:vAlign w:val="center"/>
          </w:tcPr>
          <w:p w14:paraId="1A183EBD">
            <w:pPr>
              <w:snapToGrid w:val="0"/>
              <w:spacing w:afterLines="0" w:line="360" w:lineRule="auto"/>
              <w:ind w:firstLine="0" w:firstLineChars="0"/>
              <w:jc w:val="center"/>
              <w:rPr>
                <w:rFonts w:hint="eastAsia" w:ascii="宋体" w:hAnsi="宋体" w:eastAsia="宋体" w:cs="宋体"/>
                <w:color w:val="auto"/>
                <w:sz w:val="21"/>
                <w:szCs w:val="21"/>
                <w:highlight w:val="none"/>
              </w:rPr>
            </w:pPr>
          </w:p>
        </w:tc>
      </w:tr>
    </w:tbl>
    <w:p w14:paraId="00AA1A62">
      <w:pPr>
        <w:snapToGrid w:val="0"/>
        <w:spacing w:afterLines="0"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表四：工、器具资源</w:t>
      </w:r>
    </w:p>
    <w:tbl>
      <w:tblPr>
        <w:tblStyle w:val="36"/>
        <w:tblW w:w="8332" w:type="dxa"/>
        <w:jc w:val="center"/>
        <w:tblLayout w:type="fixed"/>
        <w:tblCellMar>
          <w:top w:w="0" w:type="dxa"/>
          <w:left w:w="108" w:type="dxa"/>
          <w:bottom w:w="0" w:type="dxa"/>
          <w:right w:w="108" w:type="dxa"/>
        </w:tblCellMar>
      </w:tblPr>
      <w:tblGrid>
        <w:gridCol w:w="761"/>
        <w:gridCol w:w="1756"/>
        <w:gridCol w:w="1303"/>
        <w:gridCol w:w="708"/>
        <w:gridCol w:w="993"/>
        <w:gridCol w:w="2811"/>
      </w:tblGrid>
      <w:tr w14:paraId="2B0AC65F">
        <w:tblPrEx>
          <w:tblCellMar>
            <w:top w:w="0" w:type="dxa"/>
            <w:left w:w="108" w:type="dxa"/>
            <w:bottom w:w="0" w:type="dxa"/>
            <w:right w:w="108" w:type="dxa"/>
          </w:tblCellMar>
        </w:tblPrEx>
        <w:trPr>
          <w:trHeight w:val="170" w:hRule="atLeast"/>
          <w:tblHeader/>
          <w:jc w:val="center"/>
        </w:trPr>
        <w:tc>
          <w:tcPr>
            <w:tcW w:w="761" w:type="dxa"/>
            <w:tcBorders>
              <w:top w:val="single" w:color="auto" w:sz="6" w:space="0"/>
              <w:left w:val="single" w:color="auto" w:sz="6" w:space="0"/>
              <w:bottom w:val="single" w:color="auto" w:sz="6" w:space="0"/>
              <w:right w:val="single" w:color="auto" w:sz="6" w:space="0"/>
            </w:tcBorders>
            <w:vAlign w:val="center"/>
          </w:tcPr>
          <w:p w14:paraId="5A006D3B">
            <w:pPr>
              <w:snapToGrid w:val="0"/>
              <w:spacing w:afterLines="0"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zh-CN"/>
              </w:rPr>
              <w:t>序号</w:t>
            </w:r>
          </w:p>
        </w:tc>
        <w:tc>
          <w:tcPr>
            <w:tcW w:w="1756" w:type="dxa"/>
            <w:tcBorders>
              <w:top w:val="single" w:color="auto" w:sz="6" w:space="0"/>
              <w:left w:val="single" w:color="auto" w:sz="6" w:space="0"/>
              <w:bottom w:val="single" w:color="auto" w:sz="6" w:space="0"/>
              <w:right w:val="single" w:color="auto" w:sz="6" w:space="0"/>
            </w:tcBorders>
            <w:vAlign w:val="center"/>
          </w:tcPr>
          <w:p w14:paraId="27E69972">
            <w:pPr>
              <w:snapToGrid w:val="0"/>
              <w:spacing w:afterLines="0"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zh-CN"/>
              </w:rPr>
              <w:t>名称</w:t>
            </w:r>
          </w:p>
        </w:tc>
        <w:tc>
          <w:tcPr>
            <w:tcW w:w="1303" w:type="dxa"/>
            <w:tcBorders>
              <w:top w:val="single" w:color="auto" w:sz="6" w:space="0"/>
              <w:left w:val="single" w:color="auto" w:sz="6" w:space="0"/>
              <w:bottom w:val="single" w:color="auto" w:sz="6" w:space="0"/>
              <w:right w:val="single" w:color="auto" w:sz="6" w:space="0"/>
            </w:tcBorders>
            <w:vAlign w:val="center"/>
          </w:tcPr>
          <w:p w14:paraId="47F97261">
            <w:pPr>
              <w:snapToGrid w:val="0"/>
              <w:spacing w:afterLines="0"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zh-CN"/>
              </w:rPr>
              <w:t>规格型号</w:t>
            </w:r>
          </w:p>
        </w:tc>
        <w:tc>
          <w:tcPr>
            <w:tcW w:w="708" w:type="dxa"/>
            <w:tcBorders>
              <w:top w:val="single" w:color="auto" w:sz="6" w:space="0"/>
              <w:left w:val="single" w:color="auto" w:sz="6" w:space="0"/>
              <w:bottom w:val="single" w:color="auto" w:sz="6" w:space="0"/>
              <w:right w:val="single" w:color="auto" w:sz="6" w:space="0"/>
            </w:tcBorders>
            <w:vAlign w:val="center"/>
          </w:tcPr>
          <w:p w14:paraId="02EE9EDC">
            <w:pPr>
              <w:snapToGrid w:val="0"/>
              <w:spacing w:afterLines="0"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zh-CN"/>
              </w:rPr>
              <w:t>单位</w:t>
            </w:r>
          </w:p>
        </w:tc>
        <w:tc>
          <w:tcPr>
            <w:tcW w:w="993" w:type="dxa"/>
            <w:tcBorders>
              <w:top w:val="single" w:color="auto" w:sz="6" w:space="0"/>
              <w:left w:val="single" w:color="auto" w:sz="6" w:space="0"/>
              <w:bottom w:val="single" w:color="auto" w:sz="6" w:space="0"/>
              <w:right w:val="single" w:color="auto" w:sz="6" w:space="0"/>
            </w:tcBorders>
            <w:vAlign w:val="center"/>
          </w:tcPr>
          <w:p w14:paraId="3980D090">
            <w:pPr>
              <w:snapToGrid w:val="0"/>
              <w:spacing w:afterLines="0"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zh-CN"/>
              </w:rPr>
              <w:t>数量</w:t>
            </w:r>
          </w:p>
        </w:tc>
        <w:tc>
          <w:tcPr>
            <w:tcW w:w="2811" w:type="dxa"/>
            <w:tcBorders>
              <w:top w:val="single" w:color="auto" w:sz="6" w:space="0"/>
              <w:left w:val="single" w:color="auto" w:sz="6" w:space="0"/>
              <w:bottom w:val="single" w:color="auto" w:sz="6" w:space="0"/>
              <w:right w:val="single" w:color="auto" w:sz="6" w:space="0"/>
            </w:tcBorders>
            <w:vAlign w:val="center"/>
          </w:tcPr>
          <w:p w14:paraId="5A877AAB">
            <w:pPr>
              <w:snapToGrid w:val="0"/>
              <w:spacing w:afterLines="0"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zh-CN"/>
              </w:rPr>
              <w:t>要求</w:t>
            </w:r>
          </w:p>
        </w:tc>
      </w:tr>
      <w:tr w14:paraId="4D81D7D6">
        <w:tblPrEx>
          <w:tblCellMar>
            <w:top w:w="0" w:type="dxa"/>
            <w:left w:w="108" w:type="dxa"/>
            <w:bottom w:w="0" w:type="dxa"/>
            <w:right w:w="108" w:type="dxa"/>
          </w:tblCellMar>
        </w:tblPrEx>
        <w:trPr>
          <w:trHeight w:val="170" w:hRule="atLeast"/>
          <w:jc w:val="center"/>
        </w:trPr>
        <w:tc>
          <w:tcPr>
            <w:tcW w:w="761" w:type="dxa"/>
            <w:tcBorders>
              <w:top w:val="single" w:color="auto" w:sz="6" w:space="0"/>
              <w:left w:val="single" w:color="auto" w:sz="6" w:space="0"/>
              <w:bottom w:val="single" w:color="auto" w:sz="6" w:space="0"/>
              <w:right w:val="single" w:color="auto" w:sz="6" w:space="0"/>
            </w:tcBorders>
            <w:vAlign w:val="center"/>
          </w:tcPr>
          <w:p w14:paraId="389F76D3">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56" w:type="dxa"/>
            <w:tcBorders>
              <w:top w:val="single" w:color="auto" w:sz="6" w:space="0"/>
              <w:left w:val="single" w:color="auto" w:sz="6" w:space="0"/>
              <w:bottom w:val="single" w:color="auto" w:sz="6" w:space="0"/>
              <w:right w:val="single" w:color="auto" w:sz="6" w:space="0"/>
            </w:tcBorders>
            <w:vAlign w:val="center"/>
          </w:tcPr>
          <w:p w14:paraId="2BC93C3C">
            <w:pPr>
              <w:snapToGrid w:val="0"/>
              <w:spacing w:afterLines="0"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气割</w:t>
            </w:r>
          </w:p>
        </w:tc>
        <w:tc>
          <w:tcPr>
            <w:tcW w:w="1303" w:type="dxa"/>
            <w:tcBorders>
              <w:top w:val="single" w:color="auto" w:sz="6" w:space="0"/>
              <w:left w:val="single" w:color="auto" w:sz="6" w:space="0"/>
              <w:bottom w:val="single" w:color="auto" w:sz="6" w:space="0"/>
              <w:right w:val="single" w:color="auto" w:sz="6" w:space="0"/>
            </w:tcBorders>
            <w:vAlign w:val="center"/>
          </w:tcPr>
          <w:p w14:paraId="4FDEBF31">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08" w:type="dxa"/>
            <w:tcBorders>
              <w:top w:val="single" w:color="auto" w:sz="6" w:space="0"/>
              <w:left w:val="single" w:color="auto" w:sz="6" w:space="0"/>
              <w:bottom w:val="single" w:color="auto" w:sz="6" w:space="0"/>
              <w:right w:val="single" w:color="auto" w:sz="6" w:space="0"/>
            </w:tcBorders>
            <w:vAlign w:val="center"/>
          </w:tcPr>
          <w:p w14:paraId="3A2E798F">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套</w:t>
            </w:r>
          </w:p>
        </w:tc>
        <w:tc>
          <w:tcPr>
            <w:tcW w:w="993" w:type="dxa"/>
            <w:tcBorders>
              <w:top w:val="single" w:color="auto" w:sz="6" w:space="0"/>
              <w:left w:val="single" w:color="auto" w:sz="6" w:space="0"/>
              <w:bottom w:val="single" w:color="auto" w:sz="6" w:space="0"/>
              <w:right w:val="single" w:color="auto" w:sz="6" w:space="0"/>
            </w:tcBorders>
            <w:vAlign w:val="center"/>
          </w:tcPr>
          <w:p w14:paraId="27B1C1EA">
            <w:pPr>
              <w:snapToGrid w:val="0"/>
              <w:spacing w:afterLines="0" w:line="360" w:lineRule="auto"/>
              <w:ind w:firstLine="0" w:firstLineChars="0"/>
              <w:jc w:val="center"/>
              <w:rPr>
                <w:rFonts w:hint="eastAsia" w:ascii="宋体" w:hAnsi="宋体" w:eastAsia="宋体" w:cs="宋体"/>
                <w:color w:val="auto"/>
                <w:sz w:val="21"/>
                <w:szCs w:val="21"/>
                <w:highlight w:val="none"/>
              </w:rPr>
            </w:pPr>
          </w:p>
        </w:tc>
        <w:tc>
          <w:tcPr>
            <w:tcW w:w="2811" w:type="dxa"/>
            <w:tcBorders>
              <w:top w:val="single" w:color="auto" w:sz="6" w:space="0"/>
              <w:left w:val="single" w:color="auto" w:sz="6" w:space="0"/>
              <w:bottom w:val="single" w:color="auto" w:sz="6" w:space="0"/>
              <w:right w:val="single" w:color="auto" w:sz="6" w:space="0"/>
            </w:tcBorders>
            <w:vAlign w:val="center"/>
          </w:tcPr>
          <w:p w14:paraId="328CB3EF">
            <w:pPr>
              <w:snapToGrid w:val="0"/>
              <w:spacing w:afterLines="0"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检查合格</w:t>
            </w:r>
          </w:p>
        </w:tc>
      </w:tr>
      <w:tr w14:paraId="1EAF3663">
        <w:tblPrEx>
          <w:tblCellMar>
            <w:top w:w="0" w:type="dxa"/>
            <w:left w:w="108" w:type="dxa"/>
            <w:bottom w:w="0" w:type="dxa"/>
            <w:right w:w="108" w:type="dxa"/>
          </w:tblCellMar>
        </w:tblPrEx>
        <w:trPr>
          <w:trHeight w:val="170" w:hRule="atLeast"/>
          <w:jc w:val="center"/>
        </w:trPr>
        <w:tc>
          <w:tcPr>
            <w:tcW w:w="761" w:type="dxa"/>
            <w:tcBorders>
              <w:top w:val="single" w:color="auto" w:sz="6" w:space="0"/>
              <w:left w:val="single" w:color="auto" w:sz="6" w:space="0"/>
              <w:bottom w:val="single" w:color="auto" w:sz="6" w:space="0"/>
              <w:right w:val="single" w:color="auto" w:sz="6" w:space="0"/>
            </w:tcBorders>
            <w:vAlign w:val="center"/>
          </w:tcPr>
          <w:p w14:paraId="2BC5A237">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756" w:type="dxa"/>
            <w:tcBorders>
              <w:top w:val="single" w:color="auto" w:sz="6" w:space="0"/>
              <w:left w:val="single" w:color="auto" w:sz="6" w:space="0"/>
              <w:bottom w:val="single" w:color="auto" w:sz="6" w:space="0"/>
              <w:right w:val="single" w:color="auto" w:sz="6" w:space="0"/>
            </w:tcBorders>
            <w:vAlign w:val="center"/>
          </w:tcPr>
          <w:p w14:paraId="434A307A">
            <w:pPr>
              <w:snapToGrid w:val="0"/>
              <w:spacing w:afterLines="0"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磨光机</w:t>
            </w:r>
          </w:p>
        </w:tc>
        <w:tc>
          <w:tcPr>
            <w:tcW w:w="1303" w:type="dxa"/>
            <w:tcBorders>
              <w:top w:val="single" w:color="auto" w:sz="6" w:space="0"/>
              <w:left w:val="single" w:color="auto" w:sz="6" w:space="0"/>
              <w:bottom w:val="single" w:color="auto" w:sz="6" w:space="0"/>
              <w:right w:val="single" w:color="auto" w:sz="6" w:space="0"/>
            </w:tcBorders>
            <w:vAlign w:val="center"/>
          </w:tcPr>
          <w:p w14:paraId="2D647BCD">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φ100</w:t>
            </w:r>
          </w:p>
        </w:tc>
        <w:tc>
          <w:tcPr>
            <w:tcW w:w="708" w:type="dxa"/>
            <w:tcBorders>
              <w:top w:val="single" w:color="auto" w:sz="6" w:space="0"/>
              <w:left w:val="single" w:color="auto" w:sz="6" w:space="0"/>
              <w:bottom w:val="single" w:color="auto" w:sz="6" w:space="0"/>
              <w:right w:val="single" w:color="auto" w:sz="6" w:space="0"/>
            </w:tcBorders>
            <w:vAlign w:val="center"/>
          </w:tcPr>
          <w:p w14:paraId="547B16B3">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台</w:t>
            </w:r>
          </w:p>
        </w:tc>
        <w:tc>
          <w:tcPr>
            <w:tcW w:w="993" w:type="dxa"/>
            <w:tcBorders>
              <w:top w:val="single" w:color="auto" w:sz="6" w:space="0"/>
              <w:left w:val="single" w:color="auto" w:sz="6" w:space="0"/>
              <w:bottom w:val="single" w:color="auto" w:sz="6" w:space="0"/>
              <w:right w:val="single" w:color="auto" w:sz="6" w:space="0"/>
            </w:tcBorders>
            <w:vAlign w:val="center"/>
          </w:tcPr>
          <w:p w14:paraId="0D96438A">
            <w:pPr>
              <w:snapToGrid w:val="0"/>
              <w:spacing w:afterLines="0" w:line="360" w:lineRule="auto"/>
              <w:ind w:firstLine="0" w:firstLineChars="0"/>
              <w:jc w:val="center"/>
              <w:rPr>
                <w:rFonts w:hint="eastAsia" w:ascii="宋体" w:hAnsi="宋体" w:eastAsia="宋体" w:cs="宋体"/>
                <w:color w:val="auto"/>
                <w:sz w:val="21"/>
                <w:szCs w:val="21"/>
                <w:highlight w:val="none"/>
              </w:rPr>
            </w:pPr>
          </w:p>
        </w:tc>
        <w:tc>
          <w:tcPr>
            <w:tcW w:w="2811" w:type="dxa"/>
            <w:tcBorders>
              <w:top w:val="single" w:color="auto" w:sz="6" w:space="0"/>
              <w:left w:val="single" w:color="auto" w:sz="6" w:space="0"/>
              <w:bottom w:val="single" w:color="auto" w:sz="6" w:space="0"/>
              <w:right w:val="single" w:color="auto" w:sz="6" w:space="0"/>
            </w:tcBorders>
            <w:vAlign w:val="center"/>
          </w:tcPr>
          <w:p w14:paraId="617C1313">
            <w:pPr>
              <w:snapToGrid w:val="0"/>
              <w:spacing w:afterLines="0"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检验合格并在有效期内</w:t>
            </w:r>
          </w:p>
        </w:tc>
      </w:tr>
      <w:tr w14:paraId="2A640A93">
        <w:tblPrEx>
          <w:tblCellMar>
            <w:top w:w="0" w:type="dxa"/>
            <w:left w:w="108" w:type="dxa"/>
            <w:bottom w:w="0" w:type="dxa"/>
            <w:right w:w="108" w:type="dxa"/>
          </w:tblCellMar>
        </w:tblPrEx>
        <w:trPr>
          <w:trHeight w:val="170" w:hRule="atLeast"/>
          <w:jc w:val="center"/>
        </w:trPr>
        <w:tc>
          <w:tcPr>
            <w:tcW w:w="761" w:type="dxa"/>
            <w:tcBorders>
              <w:top w:val="single" w:color="auto" w:sz="6" w:space="0"/>
              <w:left w:val="single" w:color="auto" w:sz="6" w:space="0"/>
              <w:bottom w:val="single" w:color="auto" w:sz="6" w:space="0"/>
              <w:right w:val="single" w:color="auto" w:sz="6" w:space="0"/>
            </w:tcBorders>
            <w:vAlign w:val="center"/>
          </w:tcPr>
          <w:p w14:paraId="165C6BB2">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756" w:type="dxa"/>
            <w:tcBorders>
              <w:top w:val="single" w:color="auto" w:sz="6" w:space="0"/>
              <w:left w:val="single" w:color="auto" w:sz="6" w:space="0"/>
              <w:bottom w:val="single" w:color="auto" w:sz="6" w:space="0"/>
              <w:right w:val="single" w:color="auto" w:sz="6" w:space="0"/>
            </w:tcBorders>
            <w:vAlign w:val="center"/>
          </w:tcPr>
          <w:p w14:paraId="174C54E0">
            <w:pPr>
              <w:snapToGrid w:val="0"/>
              <w:spacing w:afterLines="0" w:line="360" w:lineRule="auto"/>
              <w:ind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内磨机</w:t>
            </w:r>
          </w:p>
        </w:tc>
        <w:tc>
          <w:tcPr>
            <w:tcW w:w="1303" w:type="dxa"/>
            <w:tcBorders>
              <w:top w:val="single" w:color="auto" w:sz="6" w:space="0"/>
              <w:left w:val="single" w:color="auto" w:sz="6" w:space="0"/>
              <w:bottom w:val="single" w:color="auto" w:sz="6" w:space="0"/>
              <w:right w:val="single" w:color="auto" w:sz="6" w:space="0"/>
            </w:tcBorders>
            <w:vAlign w:val="center"/>
          </w:tcPr>
          <w:p w14:paraId="481C235E">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08" w:type="dxa"/>
            <w:tcBorders>
              <w:top w:val="single" w:color="auto" w:sz="6" w:space="0"/>
              <w:left w:val="single" w:color="auto" w:sz="6" w:space="0"/>
              <w:bottom w:val="single" w:color="auto" w:sz="6" w:space="0"/>
              <w:right w:val="single" w:color="auto" w:sz="6" w:space="0"/>
            </w:tcBorders>
            <w:vAlign w:val="center"/>
          </w:tcPr>
          <w:p w14:paraId="39C8CD1A">
            <w:pPr>
              <w:snapToGrid w:val="0"/>
              <w:spacing w:afterLines="0" w:line="360" w:lineRule="auto"/>
              <w:ind w:firstLine="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台</w:t>
            </w:r>
          </w:p>
        </w:tc>
        <w:tc>
          <w:tcPr>
            <w:tcW w:w="993" w:type="dxa"/>
            <w:tcBorders>
              <w:top w:val="single" w:color="auto" w:sz="6" w:space="0"/>
              <w:left w:val="single" w:color="auto" w:sz="6" w:space="0"/>
              <w:bottom w:val="single" w:color="auto" w:sz="6" w:space="0"/>
              <w:right w:val="single" w:color="auto" w:sz="6" w:space="0"/>
            </w:tcBorders>
            <w:vAlign w:val="center"/>
          </w:tcPr>
          <w:p w14:paraId="6640AF95">
            <w:pPr>
              <w:snapToGrid w:val="0"/>
              <w:spacing w:afterLines="0" w:line="360" w:lineRule="auto"/>
              <w:ind w:firstLine="0" w:firstLineChars="0"/>
              <w:jc w:val="center"/>
              <w:rPr>
                <w:rFonts w:hint="eastAsia" w:ascii="宋体" w:hAnsi="宋体" w:eastAsia="宋体" w:cs="宋体"/>
                <w:color w:val="auto"/>
                <w:sz w:val="21"/>
                <w:szCs w:val="21"/>
                <w:highlight w:val="none"/>
              </w:rPr>
            </w:pPr>
          </w:p>
        </w:tc>
        <w:tc>
          <w:tcPr>
            <w:tcW w:w="2811" w:type="dxa"/>
            <w:tcBorders>
              <w:top w:val="single" w:color="auto" w:sz="6" w:space="0"/>
              <w:left w:val="single" w:color="auto" w:sz="6" w:space="0"/>
              <w:bottom w:val="single" w:color="auto" w:sz="6" w:space="0"/>
              <w:right w:val="single" w:color="auto" w:sz="6" w:space="0"/>
            </w:tcBorders>
            <w:vAlign w:val="center"/>
          </w:tcPr>
          <w:p w14:paraId="40EECF3F">
            <w:pPr>
              <w:snapToGrid w:val="0"/>
              <w:spacing w:afterLines="0" w:line="360" w:lineRule="auto"/>
              <w:ind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检验合格并在有效期内</w:t>
            </w:r>
          </w:p>
        </w:tc>
      </w:tr>
      <w:tr w14:paraId="212144A5">
        <w:tblPrEx>
          <w:tblCellMar>
            <w:top w:w="0" w:type="dxa"/>
            <w:left w:w="108" w:type="dxa"/>
            <w:bottom w:w="0" w:type="dxa"/>
            <w:right w:w="108" w:type="dxa"/>
          </w:tblCellMar>
        </w:tblPrEx>
        <w:trPr>
          <w:trHeight w:val="170" w:hRule="atLeast"/>
          <w:jc w:val="center"/>
        </w:trPr>
        <w:tc>
          <w:tcPr>
            <w:tcW w:w="761" w:type="dxa"/>
            <w:tcBorders>
              <w:top w:val="single" w:color="auto" w:sz="6" w:space="0"/>
              <w:left w:val="single" w:color="auto" w:sz="6" w:space="0"/>
              <w:bottom w:val="single" w:color="auto" w:sz="6" w:space="0"/>
              <w:right w:val="single" w:color="auto" w:sz="6" w:space="0"/>
            </w:tcBorders>
            <w:vAlign w:val="center"/>
          </w:tcPr>
          <w:p w14:paraId="6B996EC4">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756" w:type="dxa"/>
            <w:tcBorders>
              <w:top w:val="single" w:color="auto" w:sz="6" w:space="0"/>
              <w:left w:val="single" w:color="auto" w:sz="6" w:space="0"/>
              <w:bottom w:val="single" w:color="auto" w:sz="6" w:space="0"/>
              <w:right w:val="single" w:color="auto" w:sz="6" w:space="0"/>
            </w:tcBorders>
            <w:vAlign w:val="center"/>
          </w:tcPr>
          <w:p w14:paraId="6B3670FA">
            <w:pPr>
              <w:snapToGrid w:val="0"/>
              <w:spacing w:afterLines="0" w:line="360" w:lineRule="auto"/>
              <w:ind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对口钳</w:t>
            </w:r>
          </w:p>
        </w:tc>
        <w:tc>
          <w:tcPr>
            <w:tcW w:w="1303" w:type="dxa"/>
            <w:tcBorders>
              <w:top w:val="single" w:color="auto" w:sz="6" w:space="0"/>
              <w:left w:val="single" w:color="auto" w:sz="6" w:space="0"/>
              <w:bottom w:val="single" w:color="auto" w:sz="6" w:space="0"/>
              <w:right w:val="single" w:color="auto" w:sz="6" w:space="0"/>
            </w:tcBorders>
            <w:vAlign w:val="center"/>
          </w:tcPr>
          <w:p w14:paraId="0F1446E7">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08" w:type="dxa"/>
            <w:tcBorders>
              <w:top w:val="single" w:color="auto" w:sz="6" w:space="0"/>
              <w:left w:val="single" w:color="auto" w:sz="6" w:space="0"/>
              <w:bottom w:val="single" w:color="auto" w:sz="6" w:space="0"/>
              <w:right w:val="single" w:color="auto" w:sz="6" w:space="0"/>
            </w:tcBorders>
            <w:vAlign w:val="center"/>
          </w:tcPr>
          <w:p w14:paraId="2E429215">
            <w:pPr>
              <w:snapToGrid w:val="0"/>
              <w:spacing w:afterLines="0" w:line="360" w:lineRule="auto"/>
              <w:ind w:firstLine="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把</w:t>
            </w:r>
          </w:p>
        </w:tc>
        <w:tc>
          <w:tcPr>
            <w:tcW w:w="993" w:type="dxa"/>
            <w:tcBorders>
              <w:top w:val="single" w:color="auto" w:sz="6" w:space="0"/>
              <w:left w:val="single" w:color="auto" w:sz="6" w:space="0"/>
              <w:bottom w:val="single" w:color="auto" w:sz="6" w:space="0"/>
              <w:right w:val="single" w:color="auto" w:sz="6" w:space="0"/>
            </w:tcBorders>
            <w:vAlign w:val="center"/>
          </w:tcPr>
          <w:p w14:paraId="1B43D932">
            <w:pPr>
              <w:snapToGrid w:val="0"/>
              <w:spacing w:afterLines="0" w:line="360" w:lineRule="auto"/>
              <w:ind w:firstLine="0" w:firstLineChars="0"/>
              <w:jc w:val="center"/>
              <w:rPr>
                <w:rFonts w:hint="eastAsia" w:ascii="宋体" w:hAnsi="宋体" w:eastAsia="宋体" w:cs="宋体"/>
                <w:color w:val="auto"/>
                <w:sz w:val="21"/>
                <w:szCs w:val="21"/>
                <w:highlight w:val="none"/>
              </w:rPr>
            </w:pPr>
          </w:p>
        </w:tc>
        <w:tc>
          <w:tcPr>
            <w:tcW w:w="2811" w:type="dxa"/>
            <w:tcBorders>
              <w:top w:val="single" w:color="auto" w:sz="6" w:space="0"/>
              <w:left w:val="single" w:color="auto" w:sz="6" w:space="0"/>
              <w:bottom w:val="single" w:color="auto" w:sz="6" w:space="0"/>
              <w:right w:val="single" w:color="auto" w:sz="6" w:space="0"/>
            </w:tcBorders>
            <w:vAlign w:val="center"/>
          </w:tcPr>
          <w:p w14:paraId="6A2F7BD1">
            <w:pPr>
              <w:snapToGrid w:val="0"/>
              <w:spacing w:afterLines="0" w:line="360" w:lineRule="auto"/>
              <w:ind w:firstLine="0" w:firstLineChars="0"/>
              <w:rPr>
                <w:rFonts w:hint="eastAsia" w:ascii="宋体" w:hAnsi="宋体" w:eastAsia="宋体" w:cs="宋体"/>
                <w:color w:val="auto"/>
                <w:sz w:val="21"/>
                <w:szCs w:val="21"/>
                <w:highlight w:val="none"/>
                <w:lang w:val="zh-CN"/>
              </w:rPr>
            </w:pPr>
          </w:p>
        </w:tc>
      </w:tr>
      <w:tr w14:paraId="6D9E74DF">
        <w:tblPrEx>
          <w:tblCellMar>
            <w:top w:w="0" w:type="dxa"/>
            <w:left w:w="108" w:type="dxa"/>
            <w:bottom w:w="0" w:type="dxa"/>
            <w:right w:w="108" w:type="dxa"/>
          </w:tblCellMar>
        </w:tblPrEx>
        <w:trPr>
          <w:trHeight w:val="170" w:hRule="atLeast"/>
          <w:jc w:val="center"/>
        </w:trPr>
        <w:tc>
          <w:tcPr>
            <w:tcW w:w="761" w:type="dxa"/>
            <w:tcBorders>
              <w:top w:val="single" w:color="auto" w:sz="6" w:space="0"/>
              <w:left w:val="single" w:color="auto" w:sz="6" w:space="0"/>
              <w:bottom w:val="single" w:color="auto" w:sz="6" w:space="0"/>
              <w:right w:val="single" w:color="auto" w:sz="6" w:space="0"/>
            </w:tcBorders>
            <w:vAlign w:val="center"/>
          </w:tcPr>
          <w:p w14:paraId="0C10D5BC">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756" w:type="dxa"/>
            <w:tcBorders>
              <w:top w:val="single" w:color="auto" w:sz="6" w:space="0"/>
              <w:left w:val="single" w:color="auto" w:sz="6" w:space="0"/>
              <w:bottom w:val="single" w:color="auto" w:sz="6" w:space="0"/>
              <w:right w:val="single" w:color="auto" w:sz="6" w:space="0"/>
            </w:tcBorders>
            <w:vAlign w:val="center"/>
          </w:tcPr>
          <w:p w14:paraId="3BC130F5">
            <w:pPr>
              <w:snapToGrid w:val="0"/>
              <w:spacing w:afterLines="0" w:line="360" w:lineRule="auto"/>
              <w:ind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直流焊机</w:t>
            </w:r>
          </w:p>
        </w:tc>
        <w:tc>
          <w:tcPr>
            <w:tcW w:w="1303" w:type="dxa"/>
            <w:tcBorders>
              <w:top w:val="single" w:color="auto" w:sz="6" w:space="0"/>
              <w:left w:val="single" w:color="auto" w:sz="6" w:space="0"/>
              <w:bottom w:val="single" w:color="auto" w:sz="6" w:space="0"/>
              <w:right w:val="single" w:color="auto" w:sz="6" w:space="0"/>
            </w:tcBorders>
            <w:vAlign w:val="center"/>
          </w:tcPr>
          <w:p w14:paraId="798B2DE6">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400</w:t>
            </w:r>
          </w:p>
        </w:tc>
        <w:tc>
          <w:tcPr>
            <w:tcW w:w="708" w:type="dxa"/>
            <w:tcBorders>
              <w:top w:val="single" w:color="auto" w:sz="6" w:space="0"/>
              <w:left w:val="single" w:color="auto" w:sz="6" w:space="0"/>
              <w:bottom w:val="single" w:color="auto" w:sz="6" w:space="0"/>
              <w:right w:val="single" w:color="auto" w:sz="6" w:space="0"/>
            </w:tcBorders>
            <w:vAlign w:val="center"/>
          </w:tcPr>
          <w:p w14:paraId="0A561AF6">
            <w:pPr>
              <w:snapToGrid w:val="0"/>
              <w:spacing w:afterLines="0" w:line="360" w:lineRule="auto"/>
              <w:ind w:firstLine="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台</w:t>
            </w:r>
          </w:p>
        </w:tc>
        <w:tc>
          <w:tcPr>
            <w:tcW w:w="993" w:type="dxa"/>
            <w:tcBorders>
              <w:top w:val="single" w:color="auto" w:sz="6" w:space="0"/>
              <w:left w:val="single" w:color="auto" w:sz="6" w:space="0"/>
              <w:bottom w:val="single" w:color="auto" w:sz="6" w:space="0"/>
              <w:right w:val="single" w:color="auto" w:sz="6" w:space="0"/>
            </w:tcBorders>
            <w:vAlign w:val="center"/>
          </w:tcPr>
          <w:p w14:paraId="5C4126CD">
            <w:pPr>
              <w:snapToGrid w:val="0"/>
              <w:spacing w:afterLines="0" w:line="360" w:lineRule="auto"/>
              <w:ind w:firstLine="0" w:firstLineChars="0"/>
              <w:jc w:val="center"/>
              <w:rPr>
                <w:rFonts w:hint="eastAsia" w:ascii="宋体" w:hAnsi="宋体" w:eastAsia="宋体" w:cs="宋体"/>
                <w:color w:val="auto"/>
                <w:sz w:val="21"/>
                <w:szCs w:val="21"/>
                <w:highlight w:val="none"/>
              </w:rPr>
            </w:pPr>
          </w:p>
        </w:tc>
        <w:tc>
          <w:tcPr>
            <w:tcW w:w="2811" w:type="dxa"/>
            <w:tcBorders>
              <w:top w:val="single" w:color="auto" w:sz="6" w:space="0"/>
              <w:left w:val="single" w:color="auto" w:sz="6" w:space="0"/>
              <w:bottom w:val="single" w:color="auto" w:sz="6" w:space="0"/>
              <w:right w:val="single" w:color="auto" w:sz="6" w:space="0"/>
            </w:tcBorders>
            <w:vAlign w:val="center"/>
          </w:tcPr>
          <w:p w14:paraId="17D2647C">
            <w:pPr>
              <w:snapToGrid w:val="0"/>
              <w:spacing w:afterLines="0" w:line="360" w:lineRule="auto"/>
              <w:ind w:firstLine="0" w:firstLineChars="0"/>
              <w:rPr>
                <w:rFonts w:hint="eastAsia" w:ascii="宋体" w:hAnsi="宋体" w:eastAsia="宋体" w:cs="宋体"/>
                <w:color w:val="auto"/>
                <w:sz w:val="21"/>
                <w:szCs w:val="21"/>
                <w:highlight w:val="none"/>
              </w:rPr>
            </w:pPr>
          </w:p>
        </w:tc>
      </w:tr>
      <w:tr w14:paraId="52791E9E">
        <w:tblPrEx>
          <w:tblCellMar>
            <w:top w:w="0" w:type="dxa"/>
            <w:left w:w="108" w:type="dxa"/>
            <w:bottom w:w="0" w:type="dxa"/>
            <w:right w:w="108" w:type="dxa"/>
          </w:tblCellMar>
        </w:tblPrEx>
        <w:trPr>
          <w:trHeight w:val="170" w:hRule="atLeast"/>
          <w:jc w:val="center"/>
        </w:trPr>
        <w:tc>
          <w:tcPr>
            <w:tcW w:w="761" w:type="dxa"/>
            <w:tcBorders>
              <w:top w:val="single" w:color="auto" w:sz="6" w:space="0"/>
              <w:left w:val="single" w:color="auto" w:sz="6" w:space="0"/>
              <w:bottom w:val="single" w:color="auto" w:sz="6" w:space="0"/>
              <w:right w:val="single" w:color="auto" w:sz="6" w:space="0"/>
            </w:tcBorders>
            <w:vAlign w:val="center"/>
          </w:tcPr>
          <w:p w14:paraId="1A611FFD">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756" w:type="dxa"/>
            <w:tcBorders>
              <w:top w:val="single" w:color="auto" w:sz="6" w:space="0"/>
              <w:left w:val="single" w:color="auto" w:sz="6" w:space="0"/>
              <w:bottom w:val="single" w:color="auto" w:sz="6" w:space="0"/>
              <w:right w:val="single" w:color="auto" w:sz="6" w:space="0"/>
            </w:tcBorders>
            <w:vAlign w:val="center"/>
          </w:tcPr>
          <w:p w14:paraId="5EA8BCB0">
            <w:pPr>
              <w:snapToGrid w:val="0"/>
              <w:spacing w:afterLines="0" w:line="360" w:lineRule="auto"/>
              <w:ind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氩弧焊把</w:t>
            </w:r>
          </w:p>
        </w:tc>
        <w:tc>
          <w:tcPr>
            <w:tcW w:w="1303" w:type="dxa"/>
            <w:tcBorders>
              <w:top w:val="single" w:color="auto" w:sz="6" w:space="0"/>
              <w:left w:val="single" w:color="auto" w:sz="6" w:space="0"/>
              <w:bottom w:val="single" w:color="auto" w:sz="6" w:space="0"/>
              <w:right w:val="single" w:color="auto" w:sz="6" w:space="0"/>
            </w:tcBorders>
            <w:vAlign w:val="center"/>
          </w:tcPr>
          <w:p w14:paraId="760FCC88">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150A</w:t>
            </w:r>
          </w:p>
        </w:tc>
        <w:tc>
          <w:tcPr>
            <w:tcW w:w="708" w:type="dxa"/>
            <w:tcBorders>
              <w:top w:val="single" w:color="auto" w:sz="6" w:space="0"/>
              <w:left w:val="single" w:color="auto" w:sz="6" w:space="0"/>
              <w:bottom w:val="single" w:color="auto" w:sz="6" w:space="0"/>
              <w:right w:val="single" w:color="auto" w:sz="6" w:space="0"/>
            </w:tcBorders>
            <w:vAlign w:val="center"/>
          </w:tcPr>
          <w:p w14:paraId="5423B45C">
            <w:pPr>
              <w:snapToGrid w:val="0"/>
              <w:spacing w:afterLines="0" w:line="360" w:lineRule="auto"/>
              <w:ind w:firstLine="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套</w:t>
            </w:r>
          </w:p>
        </w:tc>
        <w:tc>
          <w:tcPr>
            <w:tcW w:w="993" w:type="dxa"/>
            <w:tcBorders>
              <w:top w:val="single" w:color="auto" w:sz="6" w:space="0"/>
              <w:left w:val="single" w:color="auto" w:sz="6" w:space="0"/>
              <w:bottom w:val="single" w:color="auto" w:sz="6" w:space="0"/>
              <w:right w:val="single" w:color="auto" w:sz="6" w:space="0"/>
            </w:tcBorders>
            <w:vAlign w:val="center"/>
          </w:tcPr>
          <w:p w14:paraId="2A2068F8">
            <w:pPr>
              <w:snapToGrid w:val="0"/>
              <w:spacing w:afterLines="0" w:line="360" w:lineRule="auto"/>
              <w:ind w:firstLine="0" w:firstLineChars="0"/>
              <w:jc w:val="center"/>
              <w:rPr>
                <w:rFonts w:hint="eastAsia" w:ascii="宋体" w:hAnsi="宋体" w:eastAsia="宋体" w:cs="宋体"/>
                <w:color w:val="auto"/>
                <w:sz w:val="21"/>
                <w:szCs w:val="21"/>
                <w:highlight w:val="none"/>
              </w:rPr>
            </w:pPr>
          </w:p>
        </w:tc>
        <w:tc>
          <w:tcPr>
            <w:tcW w:w="2811" w:type="dxa"/>
            <w:tcBorders>
              <w:top w:val="single" w:color="auto" w:sz="6" w:space="0"/>
              <w:left w:val="single" w:color="auto" w:sz="6" w:space="0"/>
              <w:bottom w:val="single" w:color="auto" w:sz="6" w:space="0"/>
              <w:right w:val="single" w:color="auto" w:sz="6" w:space="0"/>
            </w:tcBorders>
            <w:vAlign w:val="center"/>
          </w:tcPr>
          <w:p w14:paraId="09B3FE9B">
            <w:pPr>
              <w:snapToGrid w:val="0"/>
              <w:spacing w:afterLines="0" w:line="360" w:lineRule="auto"/>
              <w:ind w:firstLine="0" w:firstLineChars="0"/>
              <w:rPr>
                <w:rFonts w:hint="eastAsia" w:ascii="宋体" w:hAnsi="宋体" w:eastAsia="宋体" w:cs="宋体"/>
                <w:color w:val="auto"/>
                <w:sz w:val="21"/>
                <w:szCs w:val="21"/>
                <w:highlight w:val="none"/>
              </w:rPr>
            </w:pPr>
          </w:p>
        </w:tc>
      </w:tr>
      <w:tr w14:paraId="1F58EADB">
        <w:tblPrEx>
          <w:tblCellMar>
            <w:top w:w="0" w:type="dxa"/>
            <w:left w:w="108" w:type="dxa"/>
            <w:bottom w:w="0" w:type="dxa"/>
            <w:right w:w="108" w:type="dxa"/>
          </w:tblCellMar>
        </w:tblPrEx>
        <w:trPr>
          <w:trHeight w:val="170" w:hRule="atLeast"/>
          <w:jc w:val="center"/>
        </w:trPr>
        <w:tc>
          <w:tcPr>
            <w:tcW w:w="761" w:type="dxa"/>
            <w:tcBorders>
              <w:top w:val="single" w:color="auto" w:sz="6" w:space="0"/>
              <w:left w:val="single" w:color="auto" w:sz="6" w:space="0"/>
              <w:bottom w:val="single" w:color="auto" w:sz="6" w:space="0"/>
              <w:right w:val="single" w:color="auto" w:sz="6" w:space="0"/>
            </w:tcBorders>
            <w:vAlign w:val="center"/>
          </w:tcPr>
          <w:p w14:paraId="67F75E67">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756" w:type="dxa"/>
            <w:tcBorders>
              <w:top w:val="single" w:color="auto" w:sz="6" w:space="0"/>
              <w:left w:val="single" w:color="auto" w:sz="6" w:space="0"/>
              <w:bottom w:val="single" w:color="auto" w:sz="6" w:space="0"/>
              <w:right w:val="single" w:color="auto" w:sz="6" w:space="0"/>
            </w:tcBorders>
            <w:vAlign w:val="center"/>
          </w:tcPr>
          <w:p w14:paraId="7ADB9729">
            <w:pPr>
              <w:snapToGrid w:val="0"/>
              <w:spacing w:afterLines="0" w:line="360" w:lineRule="auto"/>
              <w:ind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氩气</w:t>
            </w:r>
          </w:p>
        </w:tc>
        <w:tc>
          <w:tcPr>
            <w:tcW w:w="1303" w:type="dxa"/>
            <w:tcBorders>
              <w:top w:val="single" w:color="auto" w:sz="6" w:space="0"/>
              <w:left w:val="single" w:color="auto" w:sz="6" w:space="0"/>
              <w:bottom w:val="single" w:color="auto" w:sz="6" w:space="0"/>
              <w:right w:val="single" w:color="auto" w:sz="6" w:space="0"/>
            </w:tcBorders>
            <w:vAlign w:val="center"/>
          </w:tcPr>
          <w:p w14:paraId="53A73705">
            <w:pPr>
              <w:snapToGrid w:val="0"/>
              <w:spacing w:afterLines="0" w:line="360" w:lineRule="auto"/>
              <w:ind w:firstLine="0" w:firstLineChars="0"/>
              <w:jc w:val="center"/>
              <w:rPr>
                <w:rFonts w:hint="eastAsia" w:ascii="宋体" w:hAnsi="宋体" w:eastAsia="宋体" w:cs="宋体"/>
                <w:color w:val="auto"/>
                <w:sz w:val="21"/>
                <w:szCs w:val="21"/>
                <w:highlight w:val="none"/>
              </w:rPr>
            </w:pPr>
          </w:p>
        </w:tc>
        <w:tc>
          <w:tcPr>
            <w:tcW w:w="708" w:type="dxa"/>
            <w:tcBorders>
              <w:top w:val="single" w:color="auto" w:sz="6" w:space="0"/>
              <w:left w:val="single" w:color="auto" w:sz="6" w:space="0"/>
              <w:bottom w:val="single" w:color="auto" w:sz="6" w:space="0"/>
              <w:right w:val="single" w:color="auto" w:sz="6" w:space="0"/>
            </w:tcBorders>
            <w:vAlign w:val="center"/>
          </w:tcPr>
          <w:p w14:paraId="734C579F">
            <w:pPr>
              <w:snapToGrid w:val="0"/>
              <w:spacing w:afterLines="0" w:line="360" w:lineRule="auto"/>
              <w:ind w:firstLine="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瓶</w:t>
            </w:r>
          </w:p>
        </w:tc>
        <w:tc>
          <w:tcPr>
            <w:tcW w:w="993" w:type="dxa"/>
            <w:tcBorders>
              <w:top w:val="single" w:color="auto" w:sz="6" w:space="0"/>
              <w:left w:val="single" w:color="auto" w:sz="6" w:space="0"/>
              <w:bottom w:val="single" w:color="auto" w:sz="6" w:space="0"/>
              <w:right w:val="single" w:color="auto" w:sz="6" w:space="0"/>
            </w:tcBorders>
            <w:vAlign w:val="center"/>
          </w:tcPr>
          <w:p w14:paraId="3BBD1249">
            <w:pPr>
              <w:snapToGrid w:val="0"/>
              <w:spacing w:afterLines="0" w:line="360" w:lineRule="auto"/>
              <w:ind w:firstLine="0" w:firstLineChars="0"/>
              <w:jc w:val="center"/>
              <w:rPr>
                <w:rFonts w:hint="eastAsia" w:ascii="宋体" w:hAnsi="宋体" w:eastAsia="宋体" w:cs="宋体"/>
                <w:color w:val="auto"/>
                <w:sz w:val="21"/>
                <w:szCs w:val="21"/>
                <w:highlight w:val="none"/>
              </w:rPr>
            </w:pPr>
          </w:p>
        </w:tc>
        <w:tc>
          <w:tcPr>
            <w:tcW w:w="2811" w:type="dxa"/>
            <w:tcBorders>
              <w:top w:val="single" w:color="auto" w:sz="6" w:space="0"/>
              <w:left w:val="single" w:color="auto" w:sz="6" w:space="0"/>
              <w:bottom w:val="single" w:color="auto" w:sz="6" w:space="0"/>
              <w:right w:val="single" w:color="auto" w:sz="6" w:space="0"/>
            </w:tcBorders>
            <w:vAlign w:val="center"/>
          </w:tcPr>
          <w:p w14:paraId="2B36796C">
            <w:pPr>
              <w:snapToGrid w:val="0"/>
              <w:spacing w:afterLines="0" w:line="360" w:lineRule="auto"/>
              <w:ind w:firstLine="0" w:firstLineChars="0"/>
              <w:rPr>
                <w:rFonts w:hint="eastAsia" w:ascii="宋体" w:hAnsi="宋体" w:eastAsia="宋体" w:cs="宋体"/>
                <w:color w:val="auto"/>
                <w:sz w:val="21"/>
                <w:szCs w:val="21"/>
                <w:highlight w:val="none"/>
              </w:rPr>
            </w:pPr>
          </w:p>
        </w:tc>
      </w:tr>
      <w:tr w14:paraId="2AC5969A">
        <w:tblPrEx>
          <w:tblCellMar>
            <w:top w:w="0" w:type="dxa"/>
            <w:left w:w="108" w:type="dxa"/>
            <w:bottom w:w="0" w:type="dxa"/>
            <w:right w:w="108" w:type="dxa"/>
          </w:tblCellMar>
        </w:tblPrEx>
        <w:trPr>
          <w:trHeight w:val="170" w:hRule="atLeast"/>
          <w:jc w:val="center"/>
        </w:trPr>
        <w:tc>
          <w:tcPr>
            <w:tcW w:w="761" w:type="dxa"/>
            <w:tcBorders>
              <w:top w:val="single" w:color="auto" w:sz="6" w:space="0"/>
              <w:left w:val="single" w:color="auto" w:sz="6" w:space="0"/>
              <w:bottom w:val="single" w:color="auto" w:sz="6" w:space="0"/>
              <w:right w:val="single" w:color="auto" w:sz="6" w:space="0"/>
            </w:tcBorders>
            <w:vAlign w:val="center"/>
          </w:tcPr>
          <w:p w14:paraId="1B2D566C">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756" w:type="dxa"/>
            <w:tcBorders>
              <w:top w:val="single" w:color="auto" w:sz="6" w:space="0"/>
              <w:left w:val="single" w:color="auto" w:sz="6" w:space="0"/>
              <w:bottom w:val="single" w:color="auto" w:sz="6" w:space="0"/>
              <w:right w:val="single" w:color="auto" w:sz="6" w:space="0"/>
            </w:tcBorders>
            <w:vAlign w:val="center"/>
          </w:tcPr>
          <w:p w14:paraId="4E740B11">
            <w:pPr>
              <w:snapToGrid w:val="0"/>
              <w:spacing w:afterLines="0"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X射线机</w:t>
            </w:r>
          </w:p>
        </w:tc>
        <w:tc>
          <w:tcPr>
            <w:tcW w:w="1303" w:type="dxa"/>
            <w:tcBorders>
              <w:top w:val="single" w:color="auto" w:sz="6" w:space="0"/>
              <w:left w:val="single" w:color="auto" w:sz="6" w:space="0"/>
              <w:bottom w:val="single" w:color="auto" w:sz="6" w:space="0"/>
              <w:right w:val="single" w:color="auto" w:sz="6" w:space="0"/>
            </w:tcBorders>
            <w:vAlign w:val="center"/>
          </w:tcPr>
          <w:p w14:paraId="0A626F70">
            <w:pPr>
              <w:snapToGrid w:val="0"/>
              <w:spacing w:afterLines="0" w:line="360" w:lineRule="auto"/>
              <w:ind w:firstLine="0" w:firstLineChars="0"/>
              <w:jc w:val="center"/>
              <w:rPr>
                <w:rFonts w:hint="eastAsia" w:ascii="宋体" w:hAnsi="宋体" w:eastAsia="宋体" w:cs="宋体"/>
                <w:color w:val="auto"/>
                <w:sz w:val="21"/>
                <w:szCs w:val="21"/>
                <w:highlight w:val="none"/>
              </w:rPr>
            </w:pPr>
          </w:p>
        </w:tc>
        <w:tc>
          <w:tcPr>
            <w:tcW w:w="708" w:type="dxa"/>
            <w:tcBorders>
              <w:top w:val="single" w:color="auto" w:sz="6" w:space="0"/>
              <w:left w:val="single" w:color="auto" w:sz="6" w:space="0"/>
              <w:bottom w:val="single" w:color="auto" w:sz="6" w:space="0"/>
              <w:right w:val="single" w:color="auto" w:sz="6" w:space="0"/>
            </w:tcBorders>
            <w:vAlign w:val="center"/>
          </w:tcPr>
          <w:p w14:paraId="0B80F37B">
            <w:pPr>
              <w:snapToGrid w:val="0"/>
              <w:spacing w:afterLines="0" w:line="360" w:lineRule="auto"/>
              <w:ind w:firstLine="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台</w:t>
            </w:r>
          </w:p>
        </w:tc>
        <w:tc>
          <w:tcPr>
            <w:tcW w:w="993" w:type="dxa"/>
            <w:tcBorders>
              <w:top w:val="single" w:color="auto" w:sz="6" w:space="0"/>
              <w:left w:val="single" w:color="auto" w:sz="6" w:space="0"/>
              <w:bottom w:val="single" w:color="auto" w:sz="6" w:space="0"/>
              <w:right w:val="single" w:color="auto" w:sz="6" w:space="0"/>
            </w:tcBorders>
            <w:vAlign w:val="center"/>
          </w:tcPr>
          <w:p w14:paraId="7587FAE4">
            <w:pPr>
              <w:snapToGrid w:val="0"/>
              <w:spacing w:afterLines="0" w:line="360" w:lineRule="auto"/>
              <w:ind w:firstLine="0" w:firstLineChars="0"/>
              <w:jc w:val="center"/>
              <w:rPr>
                <w:rFonts w:hint="eastAsia" w:ascii="宋体" w:hAnsi="宋体" w:eastAsia="宋体" w:cs="宋体"/>
                <w:color w:val="auto"/>
                <w:sz w:val="21"/>
                <w:szCs w:val="21"/>
                <w:highlight w:val="none"/>
              </w:rPr>
            </w:pPr>
          </w:p>
        </w:tc>
        <w:tc>
          <w:tcPr>
            <w:tcW w:w="2811" w:type="dxa"/>
            <w:tcBorders>
              <w:top w:val="single" w:color="auto" w:sz="6" w:space="0"/>
              <w:left w:val="single" w:color="auto" w:sz="6" w:space="0"/>
              <w:bottom w:val="single" w:color="auto" w:sz="6" w:space="0"/>
              <w:right w:val="single" w:color="auto" w:sz="6" w:space="0"/>
            </w:tcBorders>
            <w:vAlign w:val="center"/>
          </w:tcPr>
          <w:p w14:paraId="6DF10A5A">
            <w:pPr>
              <w:snapToGrid w:val="0"/>
              <w:spacing w:afterLines="0" w:line="360" w:lineRule="auto"/>
              <w:ind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焊口无损检测用</w:t>
            </w:r>
          </w:p>
        </w:tc>
      </w:tr>
      <w:tr w14:paraId="1E2FD688">
        <w:tblPrEx>
          <w:tblCellMar>
            <w:top w:w="0" w:type="dxa"/>
            <w:left w:w="108" w:type="dxa"/>
            <w:bottom w:w="0" w:type="dxa"/>
            <w:right w:w="108" w:type="dxa"/>
          </w:tblCellMar>
        </w:tblPrEx>
        <w:trPr>
          <w:trHeight w:val="170" w:hRule="atLeast"/>
          <w:jc w:val="center"/>
        </w:trPr>
        <w:tc>
          <w:tcPr>
            <w:tcW w:w="761" w:type="dxa"/>
            <w:tcBorders>
              <w:top w:val="single" w:color="auto" w:sz="6" w:space="0"/>
              <w:left w:val="single" w:color="auto" w:sz="6" w:space="0"/>
              <w:bottom w:val="single" w:color="auto" w:sz="6" w:space="0"/>
              <w:right w:val="single" w:color="auto" w:sz="6" w:space="0"/>
            </w:tcBorders>
            <w:vAlign w:val="center"/>
          </w:tcPr>
          <w:p w14:paraId="7217FE29">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756" w:type="dxa"/>
            <w:tcBorders>
              <w:top w:val="single" w:color="auto" w:sz="6" w:space="0"/>
              <w:left w:val="single" w:color="auto" w:sz="6" w:space="0"/>
              <w:bottom w:val="single" w:color="auto" w:sz="6" w:space="0"/>
              <w:right w:val="single" w:color="auto" w:sz="6" w:space="0"/>
            </w:tcBorders>
            <w:vAlign w:val="center"/>
          </w:tcPr>
          <w:p w14:paraId="5034EA6D">
            <w:pPr>
              <w:snapToGrid w:val="0"/>
              <w:spacing w:afterLines="0" w:line="360" w:lineRule="auto"/>
              <w:ind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红外线测温枪</w:t>
            </w:r>
          </w:p>
        </w:tc>
        <w:tc>
          <w:tcPr>
            <w:tcW w:w="1303" w:type="dxa"/>
            <w:tcBorders>
              <w:top w:val="single" w:color="auto" w:sz="6" w:space="0"/>
              <w:left w:val="single" w:color="auto" w:sz="6" w:space="0"/>
              <w:bottom w:val="single" w:color="auto" w:sz="6" w:space="0"/>
              <w:right w:val="single" w:color="auto" w:sz="6" w:space="0"/>
            </w:tcBorders>
            <w:vAlign w:val="center"/>
          </w:tcPr>
          <w:p w14:paraId="7F0B36CC">
            <w:pPr>
              <w:snapToGrid w:val="0"/>
              <w:spacing w:afterLines="0" w:line="360" w:lineRule="auto"/>
              <w:ind w:firstLine="0" w:firstLineChars="0"/>
              <w:jc w:val="center"/>
              <w:rPr>
                <w:rFonts w:hint="eastAsia" w:ascii="宋体" w:hAnsi="宋体" w:eastAsia="宋体" w:cs="宋体"/>
                <w:color w:val="auto"/>
                <w:sz w:val="21"/>
                <w:szCs w:val="21"/>
                <w:highlight w:val="none"/>
              </w:rPr>
            </w:pPr>
          </w:p>
        </w:tc>
        <w:tc>
          <w:tcPr>
            <w:tcW w:w="708" w:type="dxa"/>
            <w:tcBorders>
              <w:top w:val="single" w:color="auto" w:sz="6" w:space="0"/>
              <w:left w:val="single" w:color="auto" w:sz="6" w:space="0"/>
              <w:bottom w:val="single" w:color="auto" w:sz="6" w:space="0"/>
              <w:right w:val="single" w:color="auto" w:sz="6" w:space="0"/>
            </w:tcBorders>
            <w:vAlign w:val="center"/>
          </w:tcPr>
          <w:p w14:paraId="540EB6B5">
            <w:pPr>
              <w:snapToGrid w:val="0"/>
              <w:spacing w:afterLines="0" w:line="360" w:lineRule="auto"/>
              <w:ind w:firstLine="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台</w:t>
            </w:r>
          </w:p>
        </w:tc>
        <w:tc>
          <w:tcPr>
            <w:tcW w:w="993" w:type="dxa"/>
            <w:tcBorders>
              <w:top w:val="single" w:color="auto" w:sz="6" w:space="0"/>
              <w:left w:val="single" w:color="auto" w:sz="6" w:space="0"/>
              <w:bottom w:val="single" w:color="auto" w:sz="6" w:space="0"/>
              <w:right w:val="single" w:color="auto" w:sz="6" w:space="0"/>
            </w:tcBorders>
            <w:vAlign w:val="center"/>
          </w:tcPr>
          <w:p w14:paraId="21468C5B">
            <w:pPr>
              <w:snapToGrid w:val="0"/>
              <w:spacing w:afterLines="0" w:line="360" w:lineRule="auto"/>
              <w:ind w:firstLine="0" w:firstLineChars="0"/>
              <w:jc w:val="center"/>
              <w:rPr>
                <w:rFonts w:hint="eastAsia" w:ascii="宋体" w:hAnsi="宋体" w:eastAsia="宋体" w:cs="宋体"/>
                <w:color w:val="auto"/>
                <w:sz w:val="21"/>
                <w:szCs w:val="21"/>
                <w:highlight w:val="none"/>
              </w:rPr>
            </w:pPr>
          </w:p>
        </w:tc>
        <w:tc>
          <w:tcPr>
            <w:tcW w:w="2811" w:type="dxa"/>
            <w:tcBorders>
              <w:top w:val="single" w:color="auto" w:sz="6" w:space="0"/>
              <w:left w:val="single" w:color="auto" w:sz="6" w:space="0"/>
              <w:bottom w:val="single" w:color="auto" w:sz="6" w:space="0"/>
              <w:right w:val="single" w:color="auto" w:sz="6" w:space="0"/>
            </w:tcBorders>
            <w:vAlign w:val="center"/>
          </w:tcPr>
          <w:p w14:paraId="4069A638">
            <w:pPr>
              <w:snapToGrid w:val="0"/>
              <w:spacing w:afterLines="0" w:line="360" w:lineRule="auto"/>
              <w:ind w:firstLine="0" w:firstLineChars="0"/>
              <w:rPr>
                <w:rFonts w:hint="eastAsia" w:ascii="宋体" w:hAnsi="宋体" w:eastAsia="宋体" w:cs="宋体"/>
                <w:color w:val="auto"/>
                <w:sz w:val="21"/>
                <w:szCs w:val="21"/>
                <w:highlight w:val="none"/>
                <w:lang w:val="zh-CN"/>
              </w:rPr>
            </w:pPr>
          </w:p>
        </w:tc>
      </w:tr>
      <w:tr w14:paraId="74C9B1E5">
        <w:tblPrEx>
          <w:tblCellMar>
            <w:top w:w="0" w:type="dxa"/>
            <w:left w:w="108" w:type="dxa"/>
            <w:bottom w:w="0" w:type="dxa"/>
            <w:right w:w="108" w:type="dxa"/>
          </w:tblCellMar>
        </w:tblPrEx>
        <w:trPr>
          <w:trHeight w:val="170" w:hRule="atLeast"/>
          <w:jc w:val="center"/>
        </w:trPr>
        <w:tc>
          <w:tcPr>
            <w:tcW w:w="761" w:type="dxa"/>
            <w:tcBorders>
              <w:top w:val="single" w:color="auto" w:sz="6" w:space="0"/>
              <w:left w:val="single" w:color="auto" w:sz="6" w:space="0"/>
              <w:bottom w:val="single" w:color="auto" w:sz="6" w:space="0"/>
              <w:right w:val="single" w:color="auto" w:sz="6" w:space="0"/>
            </w:tcBorders>
            <w:vAlign w:val="center"/>
          </w:tcPr>
          <w:p w14:paraId="44FB5BD6">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756" w:type="dxa"/>
            <w:tcBorders>
              <w:top w:val="single" w:color="auto" w:sz="6" w:space="0"/>
              <w:left w:val="single" w:color="auto" w:sz="6" w:space="0"/>
              <w:bottom w:val="single" w:color="auto" w:sz="6" w:space="0"/>
              <w:right w:val="single" w:color="auto" w:sz="6" w:space="0"/>
            </w:tcBorders>
            <w:vAlign w:val="center"/>
          </w:tcPr>
          <w:p w14:paraId="23ED27E4">
            <w:pPr>
              <w:snapToGrid w:val="0"/>
              <w:spacing w:afterLines="0" w:line="360" w:lineRule="auto"/>
              <w:ind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焊材烘干箱</w:t>
            </w:r>
          </w:p>
        </w:tc>
        <w:tc>
          <w:tcPr>
            <w:tcW w:w="1303" w:type="dxa"/>
            <w:tcBorders>
              <w:top w:val="single" w:color="auto" w:sz="6" w:space="0"/>
              <w:left w:val="single" w:color="auto" w:sz="6" w:space="0"/>
              <w:bottom w:val="single" w:color="auto" w:sz="6" w:space="0"/>
              <w:right w:val="single" w:color="auto" w:sz="6" w:space="0"/>
            </w:tcBorders>
            <w:vAlign w:val="center"/>
          </w:tcPr>
          <w:p w14:paraId="27180014">
            <w:pPr>
              <w:snapToGrid w:val="0"/>
              <w:spacing w:afterLines="0" w:line="360" w:lineRule="auto"/>
              <w:ind w:firstLine="0" w:firstLineChars="0"/>
              <w:jc w:val="center"/>
              <w:rPr>
                <w:rFonts w:hint="eastAsia" w:ascii="宋体" w:hAnsi="宋体" w:eastAsia="宋体" w:cs="宋体"/>
                <w:color w:val="auto"/>
                <w:sz w:val="21"/>
                <w:szCs w:val="21"/>
                <w:highlight w:val="none"/>
              </w:rPr>
            </w:pPr>
          </w:p>
        </w:tc>
        <w:tc>
          <w:tcPr>
            <w:tcW w:w="708" w:type="dxa"/>
            <w:tcBorders>
              <w:top w:val="single" w:color="auto" w:sz="6" w:space="0"/>
              <w:left w:val="single" w:color="auto" w:sz="6" w:space="0"/>
              <w:bottom w:val="single" w:color="auto" w:sz="6" w:space="0"/>
              <w:right w:val="single" w:color="auto" w:sz="6" w:space="0"/>
            </w:tcBorders>
            <w:vAlign w:val="center"/>
          </w:tcPr>
          <w:p w14:paraId="6ABBDD67">
            <w:pPr>
              <w:snapToGrid w:val="0"/>
              <w:spacing w:afterLines="0" w:line="360" w:lineRule="auto"/>
              <w:ind w:firstLine="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台</w:t>
            </w:r>
          </w:p>
        </w:tc>
        <w:tc>
          <w:tcPr>
            <w:tcW w:w="993" w:type="dxa"/>
            <w:tcBorders>
              <w:top w:val="single" w:color="auto" w:sz="6" w:space="0"/>
              <w:left w:val="single" w:color="auto" w:sz="6" w:space="0"/>
              <w:bottom w:val="single" w:color="auto" w:sz="6" w:space="0"/>
              <w:right w:val="single" w:color="auto" w:sz="6" w:space="0"/>
            </w:tcBorders>
            <w:vAlign w:val="center"/>
          </w:tcPr>
          <w:p w14:paraId="0F1E3D1F">
            <w:pPr>
              <w:snapToGrid w:val="0"/>
              <w:spacing w:afterLines="0" w:line="360" w:lineRule="auto"/>
              <w:ind w:firstLine="0" w:firstLineChars="0"/>
              <w:jc w:val="center"/>
              <w:rPr>
                <w:rFonts w:hint="eastAsia" w:ascii="宋体" w:hAnsi="宋体" w:eastAsia="宋体" w:cs="宋体"/>
                <w:color w:val="auto"/>
                <w:sz w:val="21"/>
                <w:szCs w:val="21"/>
                <w:highlight w:val="none"/>
              </w:rPr>
            </w:pPr>
          </w:p>
        </w:tc>
        <w:tc>
          <w:tcPr>
            <w:tcW w:w="2811" w:type="dxa"/>
            <w:tcBorders>
              <w:top w:val="single" w:color="auto" w:sz="6" w:space="0"/>
              <w:left w:val="single" w:color="auto" w:sz="6" w:space="0"/>
              <w:bottom w:val="single" w:color="auto" w:sz="6" w:space="0"/>
              <w:right w:val="single" w:color="auto" w:sz="6" w:space="0"/>
            </w:tcBorders>
            <w:vAlign w:val="center"/>
          </w:tcPr>
          <w:p w14:paraId="4618F123">
            <w:pPr>
              <w:snapToGrid w:val="0"/>
              <w:spacing w:afterLines="0" w:line="360" w:lineRule="auto"/>
              <w:ind w:firstLine="0" w:firstLineChars="0"/>
              <w:rPr>
                <w:rFonts w:hint="eastAsia" w:ascii="宋体" w:hAnsi="宋体" w:eastAsia="宋体" w:cs="宋体"/>
                <w:color w:val="auto"/>
                <w:sz w:val="21"/>
                <w:szCs w:val="21"/>
                <w:highlight w:val="none"/>
                <w:lang w:val="zh-CN"/>
              </w:rPr>
            </w:pPr>
          </w:p>
        </w:tc>
      </w:tr>
      <w:tr w14:paraId="31A88C56">
        <w:tblPrEx>
          <w:tblCellMar>
            <w:top w:w="0" w:type="dxa"/>
            <w:left w:w="108" w:type="dxa"/>
            <w:bottom w:w="0" w:type="dxa"/>
            <w:right w:w="108" w:type="dxa"/>
          </w:tblCellMar>
        </w:tblPrEx>
        <w:trPr>
          <w:trHeight w:val="170" w:hRule="atLeast"/>
          <w:jc w:val="center"/>
        </w:trPr>
        <w:tc>
          <w:tcPr>
            <w:tcW w:w="761" w:type="dxa"/>
            <w:tcBorders>
              <w:top w:val="single" w:color="auto" w:sz="6" w:space="0"/>
              <w:left w:val="single" w:color="auto" w:sz="6" w:space="0"/>
              <w:bottom w:val="single" w:color="auto" w:sz="6" w:space="0"/>
              <w:right w:val="single" w:color="auto" w:sz="6" w:space="0"/>
            </w:tcBorders>
            <w:vAlign w:val="center"/>
          </w:tcPr>
          <w:p w14:paraId="1A92E55B">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756" w:type="dxa"/>
            <w:tcBorders>
              <w:top w:val="single" w:color="auto" w:sz="6" w:space="0"/>
              <w:left w:val="single" w:color="auto" w:sz="6" w:space="0"/>
              <w:bottom w:val="single" w:color="auto" w:sz="6" w:space="0"/>
              <w:right w:val="single" w:color="auto" w:sz="6" w:space="0"/>
            </w:tcBorders>
            <w:vAlign w:val="center"/>
          </w:tcPr>
          <w:p w14:paraId="4A466707">
            <w:pPr>
              <w:snapToGrid w:val="0"/>
              <w:spacing w:afterLines="0" w:line="360" w:lineRule="auto"/>
              <w:ind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焊条筒</w:t>
            </w:r>
          </w:p>
        </w:tc>
        <w:tc>
          <w:tcPr>
            <w:tcW w:w="1303" w:type="dxa"/>
            <w:tcBorders>
              <w:top w:val="single" w:color="auto" w:sz="6" w:space="0"/>
              <w:left w:val="single" w:color="auto" w:sz="6" w:space="0"/>
              <w:bottom w:val="single" w:color="auto" w:sz="6" w:space="0"/>
              <w:right w:val="single" w:color="auto" w:sz="6" w:space="0"/>
            </w:tcBorders>
            <w:vAlign w:val="center"/>
          </w:tcPr>
          <w:p w14:paraId="7FCC5D2E">
            <w:pPr>
              <w:snapToGrid w:val="0"/>
              <w:spacing w:afterLines="0" w:line="360" w:lineRule="auto"/>
              <w:ind w:firstLine="0" w:firstLineChars="0"/>
              <w:jc w:val="center"/>
              <w:rPr>
                <w:rFonts w:hint="eastAsia" w:ascii="宋体" w:hAnsi="宋体" w:eastAsia="宋体" w:cs="宋体"/>
                <w:color w:val="auto"/>
                <w:sz w:val="21"/>
                <w:szCs w:val="21"/>
                <w:highlight w:val="none"/>
              </w:rPr>
            </w:pPr>
          </w:p>
        </w:tc>
        <w:tc>
          <w:tcPr>
            <w:tcW w:w="708" w:type="dxa"/>
            <w:tcBorders>
              <w:top w:val="single" w:color="auto" w:sz="6" w:space="0"/>
              <w:left w:val="single" w:color="auto" w:sz="6" w:space="0"/>
              <w:bottom w:val="single" w:color="auto" w:sz="6" w:space="0"/>
              <w:right w:val="single" w:color="auto" w:sz="6" w:space="0"/>
            </w:tcBorders>
            <w:vAlign w:val="center"/>
          </w:tcPr>
          <w:p w14:paraId="160FA259">
            <w:pPr>
              <w:snapToGrid w:val="0"/>
              <w:spacing w:afterLines="0" w:line="360" w:lineRule="auto"/>
              <w:ind w:firstLine="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台</w:t>
            </w:r>
          </w:p>
        </w:tc>
        <w:tc>
          <w:tcPr>
            <w:tcW w:w="993" w:type="dxa"/>
            <w:tcBorders>
              <w:top w:val="single" w:color="auto" w:sz="6" w:space="0"/>
              <w:left w:val="single" w:color="auto" w:sz="6" w:space="0"/>
              <w:bottom w:val="single" w:color="auto" w:sz="6" w:space="0"/>
              <w:right w:val="single" w:color="auto" w:sz="6" w:space="0"/>
            </w:tcBorders>
            <w:vAlign w:val="center"/>
          </w:tcPr>
          <w:p w14:paraId="1433AF38">
            <w:pPr>
              <w:snapToGrid w:val="0"/>
              <w:spacing w:afterLines="0" w:line="360" w:lineRule="auto"/>
              <w:ind w:firstLine="0" w:firstLineChars="0"/>
              <w:jc w:val="center"/>
              <w:rPr>
                <w:rFonts w:hint="eastAsia" w:ascii="宋体" w:hAnsi="宋体" w:eastAsia="宋体" w:cs="宋体"/>
                <w:color w:val="auto"/>
                <w:sz w:val="21"/>
                <w:szCs w:val="21"/>
                <w:highlight w:val="none"/>
              </w:rPr>
            </w:pPr>
          </w:p>
        </w:tc>
        <w:tc>
          <w:tcPr>
            <w:tcW w:w="2811" w:type="dxa"/>
            <w:tcBorders>
              <w:top w:val="single" w:color="auto" w:sz="6" w:space="0"/>
              <w:left w:val="single" w:color="auto" w:sz="6" w:space="0"/>
              <w:bottom w:val="single" w:color="auto" w:sz="6" w:space="0"/>
              <w:right w:val="single" w:color="auto" w:sz="6" w:space="0"/>
            </w:tcBorders>
            <w:vAlign w:val="center"/>
          </w:tcPr>
          <w:p w14:paraId="15C8E298">
            <w:pPr>
              <w:snapToGrid w:val="0"/>
              <w:spacing w:afterLines="0" w:line="360" w:lineRule="auto"/>
              <w:ind w:firstLine="0" w:firstLineChars="0"/>
              <w:rPr>
                <w:rFonts w:hint="eastAsia" w:ascii="宋体" w:hAnsi="宋体" w:eastAsia="宋体" w:cs="宋体"/>
                <w:color w:val="auto"/>
                <w:sz w:val="21"/>
                <w:szCs w:val="21"/>
                <w:highlight w:val="none"/>
                <w:lang w:val="zh-CN"/>
              </w:rPr>
            </w:pPr>
          </w:p>
        </w:tc>
      </w:tr>
      <w:tr w14:paraId="6EB36E59">
        <w:tblPrEx>
          <w:tblCellMar>
            <w:top w:w="0" w:type="dxa"/>
            <w:left w:w="108" w:type="dxa"/>
            <w:bottom w:w="0" w:type="dxa"/>
            <w:right w:w="108" w:type="dxa"/>
          </w:tblCellMar>
        </w:tblPrEx>
        <w:trPr>
          <w:trHeight w:val="170" w:hRule="atLeast"/>
          <w:jc w:val="center"/>
        </w:trPr>
        <w:tc>
          <w:tcPr>
            <w:tcW w:w="761" w:type="dxa"/>
            <w:tcBorders>
              <w:top w:val="single" w:color="auto" w:sz="6" w:space="0"/>
              <w:left w:val="single" w:color="auto" w:sz="6" w:space="0"/>
              <w:bottom w:val="single" w:color="auto" w:sz="6" w:space="0"/>
              <w:right w:val="single" w:color="auto" w:sz="6" w:space="0"/>
            </w:tcBorders>
            <w:vAlign w:val="center"/>
          </w:tcPr>
          <w:p w14:paraId="129E9BF1">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756" w:type="dxa"/>
            <w:tcBorders>
              <w:top w:val="single" w:color="auto" w:sz="6" w:space="0"/>
              <w:left w:val="single" w:color="auto" w:sz="6" w:space="0"/>
              <w:bottom w:val="single" w:color="auto" w:sz="6" w:space="0"/>
              <w:right w:val="single" w:color="auto" w:sz="6" w:space="0"/>
            </w:tcBorders>
            <w:vAlign w:val="center"/>
          </w:tcPr>
          <w:p w14:paraId="3868C493">
            <w:pPr>
              <w:snapToGrid w:val="0"/>
              <w:spacing w:afterLines="0" w:line="360" w:lineRule="auto"/>
              <w:ind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超吊设备</w:t>
            </w:r>
          </w:p>
        </w:tc>
        <w:tc>
          <w:tcPr>
            <w:tcW w:w="1303" w:type="dxa"/>
            <w:tcBorders>
              <w:top w:val="single" w:color="auto" w:sz="6" w:space="0"/>
              <w:left w:val="single" w:color="auto" w:sz="6" w:space="0"/>
              <w:bottom w:val="single" w:color="auto" w:sz="6" w:space="0"/>
              <w:right w:val="single" w:color="auto" w:sz="6" w:space="0"/>
            </w:tcBorders>
            <w:vAlign w:val="center"/>
          </w:tcPr>
          <w:p w14:paraId="45469749">
            <w:pPr>
              <w:snapToGrid w:val="0"/>
              <w:spacing w:afterLines="0" w:line="360" w:lineRule="auto"/>
              <w:ind w:firstLine="0" w:firstLineChars="0"/>
              <w:jc w:val="center"/>
              <w:rPr>
                <w:rFonts w:hint="eastAsia" w:ascii="宋体" w:hAnsi="宋体" w:eastAsia="宋体" w:cs="宋体"/>
                <w:color w:val="auto"/>
                <w:sz w:val="21"/>
                <w:szCs w:val="21"/>
                <w:highlight w:val="none"/>
              </w:rPr>
            </w:pPr>
          </w:p>
        </w:tc>
        <w:tc>
          <w:tcPr>
            <w:tcW w:w="708" w:type="dxa"/>
            <w:tcBorders>
              <w:top w:val="single" w:color="auto" w:sz="6" w:space="0"/>
              <w:left w:val="single" w:color="auto" w:sz="6" w:space="0"/>
              <w:bottom w:val="single" w:color="auto" w:sz="6" w:space="0"/>
              <w:right w:val="single" w:color="auto" w:sz="6" w:space="0"/>
            </w:tcBorders>
            <w:vAlign w:val="center"/>
          </w:tcPr>
          <w:p w14:paraId="419878C0">
            <w:pPr>
              <w:snapToGrid w:val="0"/>
              <w:spacing w:afterLines="0" w:line="360" w:lineRule="auto"/>
              <w:ind w:firstLine="0" w:firstLineChars="0"/>
              <w:jc w:val="center"/>
              <w:rPr>
                <w:rFonts w:hint="eastAsia" w:ascii="宋体" w:hAnsi="宋体" w:eastAsia="宋体" w:cs="宋体"/>
                <w:color w:val="auto"/>
                <w:sz w:val="21"/>
                <w:szCs w:val="21"/>
                <w:highlight w:val="none"/>
                <w:lang w:val="zh-CN"/>
              </w:rPr>
            </w:pPr>
          </w:p>
        </w:tc>
        <w:tc>
          <w:tcPr>
            <w:tcW w:w="993" w:type="dxa"/>
            <w:tcBorders>
              <w:top w:val="single" w:color="auto" w:sz="6" w:space="0"/>
              <w:left w:val="single" w:color="auto" w:sz="6" w:space="0"/>
              <w:bottom w:val="single" w:color="auto" w:sz="6" w:space="0"/>
              <w:right w:val="single" w:color="auto" w:sz="6" w:space="0"/>
            </w:tcBorders>
            <w:vAlign w:val="center"/>
          </w:tcPr>
          <w:p w14:paraId="1CCD8286">
            <w:pPr>
              <w:snapToGrid w:val="0"/>
              <w:spacing w:afterLines="0" w:line="360" w:lineRule="auto"/>
              <w:ind w:firstLine="0" w:firstLineChars="0"/>
              <w:jc w:val="center"/>
              <w:rPr>
                <w:rFonts w:hint="eastAsia" w:ascii="宋体" w:hAnsi="宋体" w:eastAsia="宋体" w:cs="宋体"/>
                <w:color w:val="auto"/>
                <w:sz w:val="21"/>
                <w:szCs w:val="21"/>
                <w:highlight w:val="none"/>
              </w:rPr>
            </w:pPr>
          </w:p>
        </w:tc>
        <w:tc>
          <w:tcPr>
            <w:tcW w:w="2811" w:type="dxa"/>
            <w:tcBorders>
              <w:top w:val="single" w:color="auto" w:sz="6" w:space="0"/>
              <w:left w:val="single" w:color="auto" w:sz="6" w:space="0"/>
              <w:bottom w:val="single" w:color="auto" w:sz="6" w:space="0"/>
              <w:right w:val="single" w:color="auto" w:sz="6" w:space="0"/>
            </w:tcBorders>
            <w:vAlign w:val="center"/>
          </w:tcPr>
          <w:p w14:paraId="2D136F64">
            <w:pPr>
              <w:snapToGrid w:val="0"/>
              <w:spacing w:afterLines="0" w:line="360" w:lineRule="auto"/>
              <w:ind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满足现场施工要求</w:t>
            </w:r>
          </w:p>
        </w:tc>
      </w:tr>
      <w:tr w14:paraId="6611E0BA">
        <w:tblPrEx>
          <w:tblCellMar>
            <w:top w:w="0" w:type="dxa"/>
            <w:left w:w="108" w:type="dxa"/>
            <w:bottom w:w="0" w:type="dxa"/>
            <w:right w:w="108" w:type="dxa"/>
          </w:tblCellMar>
        </w:tblPrEx>
        <w:trPr>
          <w:trHeight w:val="170" w:hRule="atLeast"/>
          <w:jc w:val="center"/>
        </w:trPr>
        <w:tc>
          <w:tcPr>
            <w:tcW w:w="761" w:type="dxa"/>
            <w:tcBorders>
              <w:top w:val="single" w:color="auto" w:sz="6" w:space="0"/>
              <w:left w:val="single" w:color="auto" w:sz="6" w:space="0"/>
              <w:bottom w:val="single" w:color="auto" w:sz="6" w:space="0"/>
              <w:right w:val="single" w:color="auto" w:sz="6" w:space="0"/>
            </w:tcBorders>
            <w:vAlign w:val="center"/>
          </w:tcPr>
          <w:p w14:paraId="73595632">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756" w:type="dxa"/>
            <w:tcBorders>
              <w:top w:val="single" w:color="auto" w:sz="6" w:space="0"/>
              <w:left w:val="single" w:color="auto" w:sz="6" w:space="0"/>
              <w:bottom w:val="single" w:color="auto" w:sz="6" w:space="0"/>
              <w:right w:val="single" w:color="auto" w:sz="6" w:space="0"/>
            </w:tcBorders>
            <w:vAlign w:val="center"/>
          </w:tcPr>
          <w:p w14:paraId="40CE0409">
            <w:pPr>
              <w:snapToGrid w:val="0"/>
              <w:spacing w:afterLines="0" w:line="360" w:lineRule="auto"/>
              <w:ind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其它</w:t>
            </w:r>
          </w:p>
        </w:tc>
        <w:tc>
          <w:tcPr>
            <w:tcW w:w="1303" w:type="dxa"/>
            <w:tcBorders>
              <w:top w:val="single" w:color="auto" w:sz="6" w:space="0"/>
              <w:left w:val="single" w:color="auto" w:sz="6" w:space="0"/>
              <w:bottom w:val="single" w:color="auto" w:sz="6" w:space="0"/>
              <w:right w:val="single" w:color="auto" w:sz="6" w:space="0"/>
            </w:tcBorders>
            <w:vAlign w:val="center"/>
          </w:tcPr>
          <w:p w14:paraId="27D72E60">
            <w:pPr>
              <w:snapToGrid w:val="0"/>
              <w:spacing w:afterLines="0" w:line="360" w:lineRule="auto"/>
              <w:ind w:firstLine="0" w:firstLineChars="0"/>
              <w:jc w:val="center"/>
              <w:rPr>
                <w:rFonts w:hint="eastAsia" w:ascii="宋体" w:hAnsi="宋体" w:eastAsia="宋体" w:cs="宋体"/>
                <w:color w:val="auto"/>
                <w:sz w:val="21"/>
                <w:szCs w:val="21"/>
                <w:highlight w:val="none"/>
              </w:rPr>
            </w:pPr>
          </w:p>
        </w:tc>
        <w:tc>
          <w:tcPr>
            <w:tcW w:w="708" w:type="dxa"/>
            <w:tcBorders>
              <w:top w:val="single" w:color="auto" w:sz="6" w:space="0"/>
              <w:left w:val="single" w:color="auto" w:sz="6" w:space="0"/>
              <w:bottom w:val="single" w:color="auto" w:sz="6" w:space="0"/>
              <w:right w:val="single" w:color="auto" w:sz="6" w:space="0"/>
            </w:tcBorders>
            <w:vAlign w:val="center"/>
          </w:tcPr>
          <w:p w14:paraId="45878EFC">
            <w:pPr>
              <w:snapToGrid w:val="0"/>
              <w:spacing w:afterLines="0" w:line="360" w:lineRule="auto"/>
              <w:ind w:firstLine="0" w:firstLineChars="0"/>
              <w:jc w:val="center"/>
              <w:rPr>
                <w:rFonts w:hint="eastAsia" w:ascii="宋体" w:hAnsi="宋体" w:eastAsia="宋体" w:cs="宋体"/>
                <w:color w:val="auto"/>
                <w:sz w:val="21"/>
                <w:szCs w:val="21"/>
                <w:highlight w:val="none"/>
                <w:lang w:val="zh-CN"/>
              </w:rPr>
            </w:pPr>
          </w:p>
        </w:tc>
        <w:tc>
          <w:tcPr>
            <w:tcW w:w="993" w:type="dxa"/>
            <w:tcBorders>
              <w:top w:val="single" w:color="auto" w:sz="6" w:space="0"/>
              <w:left w:val="single" w:color="auto" w:sz="6" w:space="0"/>
              <w:bottom w:val="single" w:color="auto" w:sz="6" w:space="0"/>
              <w:right w:val="single" w:color="auto" w:sz="6" w:space="0"/>
            </w:tcBorders>
            <w:vAlign w:val="center"/>
          </w:tcPr>
          <w:p w14:paraId="24FD4BAA">
            <w:pPr>
              <w:snapToGrid w:val="0"/>
              <w:spacing w:afterLines="0" w:line="360" w:lineRule="auto"/>
              <w:ind w:firstLine="0" w:firstLineChars="0"/>
              <w:jc w:val="center"/>
              <w:rPr>
                <w:rFonts w:hint="eastAsia" w:ascii="宋体" w:hAnsi="宋体" w:eastAsia="宋体" w:cs="宋体"/>
                <w:color w:val="auto"/>
                <w:sz w:val="21"/>
                <w:szCs w:val="21"/>
                <w:highlight w:val="none"/>
              </w:rPr>
            </w:pPr>
          </w:p>
        </w:tc>
        <w:tc>
          <w:tcPr>
            <w:tcW w:w="2811" w:type="dxa"/>
            <w:tcBorders>
              <w:top w:val="single" w:color="auto" w:sz="6" w:space="0"/>
              <w:left w:val="single" w:color="auto" w:sz="6" w:space="0"/>
              <w:bottom w:val="single" w:color="auto" w:sz="6" w:space="0"/>
              <w:right w:val="single" w:color="auto" w:sz="6" w:space="0"/>
            </w:tcBorders>
            <w:vAlign w:val="center"/>
          </w:tcPr>
          <w:p w14:paraId="0CB958C7">
            <w:pPr>
              <w:snapToGrid w:val="0"/>
              <w:spacing w:afterLines="0" w:line="360" w:lineRule="auto"/>
              <w:ind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未列明而施工需要的</w:t>
            </w:r>
          </w:p>
        </w:tc>
      </w:tr>
    </w:tbl>
    <w:p w14:paraId="7F790C8B">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3、人员要求：</w:t>
      </w:r>
    </w:p>
    <w:p w14:paraId="6A647F85">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3.1所有施工人员施工前必须接收</w:t>
      </w:r>
      <w:r>
        <w:rPr>
          <w:rFonts w:hint="eastAsia" w:ascii="宋体" w:hAnsi="宋体" w:eastAsia="宋体" w:cs="宋体"/>
          <w:color w:val="auto"/>
          <w:sz w:val="21"/>
          <w:szCs w:val="21"/>
          <w:highlight w:val="none"/>
          <w:lang w:eastAsia="zh-CN"/>
        </w:rPr>
        <w:t>采购人（甲方）</w:t>
      </w:r>
      <w:r>
        <w:rPr>
          <w:rFonts w:hint="eastAsia" w:ascii="宋体" w:hAnsi="宋体" w:eastAsia="宋体" w:cs="宋体"/>
          <w:color w:val="auto"/>
          <w:sz w:val="21"/>
          <w:szCs w:val="21"/>
          <w:highlight w:val="none"/>
        </w:rPr>
        <w:t>和安全培训合格后方可进入施工现场进行施工；</w:t>
      </w:r>
    </w:p>
    <w:p w14:paraId="48324157">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3.2所有参加施工人员均应了解施工范围和施工工序,熟悉施工环境和现场安全状况； </w:t>
      </w:r>
    </w:p>
    <w:p w14:paraId="3F69596E">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3.3所有参加高空作业的人员须持有高空作业证，在施工前均应进行体检，对于有高血压、恐高症等不宜从事高空作业的人员不得参加高空作业。</w:t>
      </w:r>
    </w:p>
    <w:p w14:paraId="024AA7C8">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3.4作业人员应熟练掌握本工种基本知识和操作技能，特种作业人员</w:t>
      </w:r>
      <w:r>
        <w:rPr>
          <w:rFonts w:hint="eastAsia" w:ascii="宋体" w:hAnsi="宋体" w:eastAsia="宋体" w:cs="宋体"/>
          <w:color w:val="auto"/>
          <w:sz w:val="21"/>
          <w:szCs w:val="21"/>
          <w:highlight w:val="none"/>
          <w:lang w:val="zh-CN"/>
        </w:rPr>
        <w:t>必须持有</w:t>
      </w:r>
      <w:r>
        <w:rPr>
          <w:rFonts w:hint="eastAsia" w:ascii="宋体" w:hAnsi="宋体" w:eastAsia="宋体" w:cs="宋体"/>
          <w:color w:val="auto"/>
          <w:kern w:val="0"/>
          <w:sz w:val="21"/>
          <w:szCs w:val="21"/>
          <w:highlight w:val="none"/>
          <w:lang w:val="zh-CN"/>
        </w:rPr>
        <w:t>特种作业人员上岗证</w:t>
      </w:r>
      <w:r>
        <w:rPr>
          <w:rFonts w:hint="eastAsia" w:ascii="宋体" w:hAnsi="宋体" w:eastAsia="宋体" w:cs="宋体"/>
          <w:color w:val="auto"/>
          <w:sz w:val="21"/>
          <w:szCs w:val="21"/>
          <w:highlight w:val="none"/>
        </w:rPr>
        <w:t>，否则严禁上岗作业。</w:t>
      </w:r>
    </w:p>
    <w:p w14:paraId="1D84834D">
      <w:pPr>
        <w:snapToGrid w:val="0"/>
        <w:spacing w:afterLines="0" w:line="360" w:lineRule="auto"/>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lang w:val="zh-CN"/>
        </w:rPr>
        <w:t>所有施工人员进入施工现场务必保证严谨的工作态度，严禁嬉戏打闹、从事与工作无关的其他事宜。</w:t>
      </w:r>
    </w:p>
    <w:p w14:paraId="30487A9F">
      <w:pPr>
        <w:snapToGrid w:val="0"/>
        <w:spacing w:afterLines="0" w:line="360" w:lineRule="auto"/>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4、工、器具要求：</w:t>
      </w:r>
    </w:p>
    <w:p w14:paraId="319C4ACA">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4.1焊接用气体</w:t>
      </w:r>
    </w:p>
    <w:p w14:paraId="3F100B82">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a.所用氩气纯度不得低于99.95%，且必须有出厂质量合格证。</w:t>
      </w:r>
    </w:p>
    <w:p w14:paraId="5F98292E">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b.施工现场供应氩气采用瓶装分散式供应。</w:t>
      </w:r>
    </w:p>
    <w:p w14:paraId="7251CBF2">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4.2焊接器材     </w:t>
      </w:r>
    </w:p>
    <w:p w14:paraId="047BD74B">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a.电焊机：电焊机合格，机应绝缘良好，并有良好的接地措施，电源为专用电源，布置就合理，尽量靠近焊接施工区域，避免电焊线拉得过长，要求排放整齐，接地良好。</w:t>
      </w:r>
    </w:p>
    <w:p w14:paraId="7D78B8FC">
      <w:pPr>
        <w:pStyle w:val="103"/>
        <w:adjustRightInd w:val="0"/>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焊接材料的质量要求:焊接材料严格执行相应的国家标准。焊接工程中使用的进口焊接材料必须符合设计要求和工艺方提交的技术文件的要求。焊接材料均要有制造厂的质量合格证、焊接材料质量证明书。对焊接材料质量有怀疑时，按批号抽查检验，合格后方可使用。</w:t>
      </w:r>
    </w:p>
    <w:p w14:paraId="1883A73B">
      <w:pPr>
        <w:pStyle w:val="103"/>
        <w:adjustRightInd w:val="0"/>
        <w:snapToGrid w:val="0"/>
        <w:spacing w:afterLines="0"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c.焊接材料的选用要求:焊接材料严格按照设计要求及焊接工艺评定结果使用。</w:t>
      </w:r>
      <w:r>
        <w:rPr>
          <w:rFonts w:hint="eastAsia" w:ascii="宋体" w:hAnsi="宋体" w:eastAsia="宋体" w:cs="宋体"/>
          <w:color w:val="auto"/>
          <w:sz w:val="21"/>
          <w:szCs w:val="21"/>
          <w:highlight w:val="none"/>
        </w:rPr>
        <w:drawing>
          <wp:anchor distT="0" distB="0" distL="114300" distR="114300" simplePos="0" relativeHeight="251669504" behindDoc="1" locked="1" layoutInCell="1" allowOverlap="1">
            <wp:simplePos x="0" y="0"/>
            <wp:positionH relativeFrom="column">
              <wp:posOffset>3937000</wp:posOffset>
            </wp:positionH>
            <wp:positionV relativeFrom="paragraph">
              <wp:posOffset>7848600</wp:posOffset>
            </wp:positionV>
            <wp:extent cx="571500" cy="546100"/>
            <wp:effectExtent l="0" t="0" r="0" b="6350"/>
            <wp:wrapNone/>
            <wp:docPr id="17" name="图片 17" descr="5699859131583913545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569985913158391354520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71500" cy="546100"/>
                    </a:xfrm>
                    <a:prstGeom prst="rect">
                      <a:avLst/>
                    </a:prstGeom>
                    <a:noFill/>
                    <a:ln>
                      <a:noFill/>
                    </a:ln>
                    <a:effectLst/>
                  </pic:spPr>
                </pic:pic>
              </a:graphicData>
            </a:graphic>
          </wp:anchor>
        </w:drawing>
      </w:r>
      <w:r>
        <w:rPr>
          <w:rFonts w:hint="eastAsia" w:ascii="宋体" w:hAnsi="宋体" w:eastAsia="宋体" w:cs="宋体"/>
          <w:color w:val="auto"/>
          <w:sz w:val="21"/>
          <w:szCs w:val="21"/>
          <w:highlight w:val="none"/>
        </w:rPr>
        <w:drawing>
          <wp:anchor distT="0" distB="0" distL="114300" distR="114300" simplePos="0" relativeHeight="251668480" behindDoc="1" locked="1" layoutInCell="1" allowOverlap="1">
            <wp:simplePos x="0" y="0"/>
            <wp:positionH relativeFrom="column">
              <wp:posOffset>2641600</wp:posOffset>
            </wp:positionH>
            <wp:positionV relativeFrom="paragraph">
              <wp:posOffset>6629400</wp:posOffset>
            </wp:positionV>
            <wp:extent cx="1409700" cy="203200"/>
            <wp:effectExtent l="0" t="0" r="0" b="6350"/>
            <wp:wrapNone/>
            <wp:docPr id="18" name="图片 18" descr="39814524215839135451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3981452421583913545198.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409700" cy="203200"/>
                    </a:xfrm>
                    <a:prstGeom prst="rect">
                      <a:avLst/>
                    </a:prstGeom>
                    <a:noFill/>
                    <a:ln>
                      <a:noFill/>
                    </a:ln>
                    <a:effectLst/>
                  </pic:spPr>
                </pic:pic>
              </a:graphicData>
            </a:graphic>
          </wp:anchor>
        </w:drawing>
      </w:r>
      <w:r>
        <w:rPr>
          <w:rFonts w:hint="eastAsia" w:ascii="宋体" w:hAnsi="宋体" w:eastAsia="宋体" w:cs="宋体"/>
          <w:color w:val="auto"/>
          <w:sz w:val="21"/>
          <w:szCs w:val="21"/>
          <w:highlight w:val="none"/>
        </w:rPr>
        <w:t>钨极氩弧焊应使用符合有关规定的电极。</w:t>
      </w:r>
    </w:p>
    <w:p w14:paraId="7DE74665">
      <w:pPr>
        <w:pStyle w:val="103"/>
        <w:adjustRightInd w:val="0"/>
        <w:snapToGrid w:val="0"/>
        <w:spacing w:afterLines="0"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d.焊接材料的使用:焊条使用前严格按照产品说明书对其进行烘焙，烘焙后的焊条应放置在专用的焊条保温桶内，随用随取。焊丝使用前清除其表面的油、污、锈、垢，直至露出金属光泽。</w:t>
      </w:r>
    </w:p>
    <w:p w14:paraId="6B974682">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e.有故障的设备不得使用。</w:t>
      </w:r>
    </w:p>
    <w:p w14:paraId="6FE1B18A">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4.3其它工、器具要求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需有合格证且在有效期内。</w:t>
      </w:r>
    </w:p>
    <w:p w14:paraId="0440BA6C">
      <w:pPr>
        <w:pStyle w:val="4"/>
        <w:snapToGrid w:val="0"/>
        <w:spacing w:afterLines="0" w:line="360" w:lineRule="auto"/>
        <w:ind w:firstLine="56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（三）施工技术要求</w:t>
      </w:r>
    </w:p>
    <w:p w14:paraId="75661C02">
      <w:pPr>
        <w:pStyle w:val="5"/>
        <w:snapToGrid w:val="0"/>
        <w:spacing w:before="0" w:after="0" w:afterLines="0"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1、一段烟道拆除技术要求</w:t>
      </w:r>
    </w:p>
    <w:p w14:paraId="6E7AA99A">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1.1拆除前需对原有烟道的安装进行全面研究，了解烟道的技术参数和安装位置等。并整理出烟道的相关图纸，制定拆除方案。</w:t>
      </w:r>
    </w:p>
    <w:p w14:paraId="3EE196E4">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1.2准备好必要的施工工具和材料，包括起重设备、切割设备、安全防护设备等，特别对周边燃气管道和压缩空气管道做好安全防护措施，确保拆除过程安全。</w:t>
      </w:r>
    </w:p>
    <w:p w14:paraId="498FC83D">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1.3按照图纸和方案，做好安全隔离措施，逐一割断烟道的汽、水等管路（包括上升管、下降管、排污、疏水、取样等）系统和与钢厂连接的氧气系统、下料给料系统及影响拆除的平台等其它装置系统。</w:t>
      </w:r>
    </w:p>
    <w:p w14:paraId="57F39B00">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1.4对隔断后烟道的留存系统各开口做好安全保护措施，确保系统内不进杂物。</w:t>
      </w:r>
    </w:p>
    <w:p w14:paraId="00124354">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1.5在确认一段烟道与整个系统完全隔断后，利用起重设备将烟道卸下，注意安全操作，确保不损坏周围设施。</w:t>
      </w:r>
    </w:p>
    <w:p w14:paraId="576A3628">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1.6按照预定计划进行切割和拆卸，逐一拆烟道各部件，确保工作安全和高效。</w:t>
      </w:r>
    </w:p>
    <w:p w14:paraId="2FE5DD41">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1.7在施工过程中，严格控制粉尘、废气及施工垃圾等污染物，保护周边环境安全和健康，并将施工垃圾清运至环保定点排放单位。</w:t>
      </w:r>
    </w:p>
    <w:p w14:paraId="0190CBDE">
      <w:pPr>
        <w:pStyle w:val="5"/>
        <w:snapToGrid w:val="0"/>
        <w:spacing w:before="0" w:after="0" w:afterLines="0"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2、一段烟道安装技术要求</w:t>
      </w:r>
    </w:p>
    <w:p w14:paraId="68BF796F">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2.1安装前需对新烟道的安装进行全面研究，了解烟道的技术参数和安装位置等，并整理出烟道的相关图纸，精心编制施工组织设计，制定起吊安装和焊接专项施工方案。</w:t>
      </w:r>
    </w:p>
    <w:p w14:paraId="3C20180D">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2.2准备好必要的施工工具和材料，包括起重设备、安全防护设备等。</w:t>
      </w:r>
    </w:p>
    <w:p w14:paraId="727120C3">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2.3按照批复后的起吊安装方案进行起吊安装。烟道安装顺序：就位I 段烟道→非金属补偿器就位→装配氧枪口汽化冷却装置、下料口汽化冷却装置→装配本体支吊架装置→恢复安装下降管、上升管→恢复安装疏水、排污、取样系统→水压试验后调整本体支吊架位置。烟道吊装时，应采取相应加固措施以防烟道变形，烟道支架装置严禁作为烟道起吊之用。</w:t>
      </w:r>
    </w:p>
    <w:p w14:paraId="41C6A688">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2.4管道对口焊接应符合以下规定：</w:t>
      </w:r>
    </w:p>
    <w:p w14:paraId="0DA215F9">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1）管道的对口焊接</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应按照经</w:t>
      </w:r>
      <w:r>
        <w:rPr>
          <w:rFonts w:hint="eastAsia" w:ascii="宋体" w:hAnsi="宋体" w:eastAsia="宋体" w:cs="宋体"/>
          <w:color w:val="auto"/>
          <w:sz w:val="21"/>
          <w:szCs w:val="21"/>
          <w:highlight w:val="none"/>
          <w:lang w:eastAsia="zh-CN"/>
        </w:rPr>
        <w:t>采购人（甲方）</w:t>
      </w:r>
      <w:r>
        <w:rPr>
          <w:rFonts w:hint="eastAsia" w:ascii="宋体" w:hAnsi="宋体" w:eastAsia="宋体" w:cs="宋体"/>
          <w:color w:val="auto"/>
          <w:sz w:val="21"/>
          <w:szCs w:val="21"/>
          <w:highlight w:val="none"/>
        </w:rPr>
        <w:t>批准后的焊接专项施工方案进行实施，焊接施工方案应符合设计要求和相关标准及规范，施工完成后经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组织验收合格。</w:t>
      </w:r>
    </w:p>
    <w:p w14:paraId="76E92E14">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在项目现场凡属国家目录规定的特种作业人员均需持本人有效的特种人员操作证，并将复印件上交</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安全主管人员，焊接人员必须携带技术监督局颁发的锅炉、压力容器、压力管道焊工证明（胸卡），以便检查。</w:t>
      </w:r>
    </w:p>
    <w:p w14:paraId="0721089C">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3）焊接材料：</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安装使用的焊材（焊条、焊丝品牌推荐：大西洋、猴王牌、金桥牌）应有生产厂的质量保证书。氩气纯度不低于99.95%，钨棒采用铈钨棒。焊接材料接收</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检查检验。</w:t>
      </w:r>
    </w:p>
    <w:p w14:paraId="00B5C8A3">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在压力管道焊接施工前须对焊点（对接口、角接口等）焊接位置进行编号。</w:t>
      </w:r>
    </w:p>
    <w:p w14:paraId="5274CCCF">
      <w:pPr>
        <w:snapToGrid w:val="0"/>
        <w:spacing w:afterLines="0"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5）较大口径管道施工，对口应采用对口器，以防止对口错边超差，端口的坡口角度、对口间隙尺寸等满足《压力管道规范-工业管道》(GB/T-20801)和《</w:t>
      </w:r>
      <w:r>
        <w:rPr>
          <w:rFonts w:hint="eastAsia" w:ascii="宋体" w:hAnsi="宋体" w:eastAsia="宋体" w:cs="宋体"/>
          <w:color w:val="auto"/>
          <w:kern w:val="0"/>
          <w:sz w:val="21"/>
          <w:szCs w:val="21"/>
          <w:highlight w:val="none"/>
        </w:rPr>
        <w:t>电力建设施工质量验收及评定规程第7部分：焊接》DL／T 5210.7的要求。</w:t>
      </w:r>
      <w:r>
        <w:rPr>
          <w:rFonts w:hint="eastAsia" w:ascii="宋体" w:hAnsi="宋体" w:eastAsia="宋体" w:cs="宋体"/>
          <w:color w:val="auto"/>
          <w:sz w:val="21"/>
          <w:szCs w:val="21"/>
          <w:highlight w:val="none"/>
        </w:rPr>
        <w:t>管子焊接对口时错口不应超过壁厚的10％，对口焊接的管子内外壁10-15mm清除锈至显出金属的光泽度,管子不得强行对口焊接。</w:t>
      </w:r>
    </w:p>
    <w:p w14:paraId="2D979DB9">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焊接时应采用氩弧焊打底或全氩焊接,氩弧焊打底时应一气呵成,不允许中途停止,如出现中途返修，发现有气孔.裂纹应彻底铲除后修复,不允许用重复熔化的方法来消除缺陷，返工不能超过二次（含二次）。安装焊口的焊接工作结束后, 需进行“三级检验”并留有检验记录或检验报告。</w:t>
      </w:r>
    </w:p>
    <w:p w14:paraId="40866019">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4）5.9管道各焊口无损检测比例按《工业金属管道工程施工质量验收规范》（GB50184-2011）相关条款要求执行。对DN50以上所有焊口进行100%无损检测，DN50（含DN50）以下的焊口进行20%的无损检测。片底交一份由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保管，费用由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w:t>
      </w:r>
    </w:p>
    <w:p w14:paraId="15244648">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系统压力试验前须送审检验记录：水压试验方案、隐蔽工程验收报告、、管线敷设检查验收报告、管道组成件质量证明及施焊及焊接检验记录、焊接工艺试件机械性能报告、无损检测报告及RT底片、管道支架（墩）检查验收报告等。</w:t>
      </w:r>
    </w:p>
    <w:p w14:paraId="78BD5B29">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6）管道压力试验或气密性试验前焊接接头应保持干净，不得防腐涂油漆，待压力试验合格后方可进行下步工序。</w:t>
      </w:r>
    </w:p>
    <w:p w14:paraId="1FED1CB4">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2.5支座和悬挂装置安装应符合厂家设计要求和《室内汽水管道支吊架》规范要求。</w:t>
      </w:r>
    </w:p>
    <w:p w14:paraId="0CBCC012">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2.6非金属补偿器安装应符合厂家设计要求。</w:t>
      </w:r>
    </w:p>
    <w:p w14:paraId="028ACD26">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2.7恢复安装完成与钢厂连接的系统装置，质量满足钢厂相关标准要求。</w:t>
      </w:r>
    </w:p>
    <w:p w14:paraId="105DF875">
      <w:pPr>
        <w:pStyle w:val="5"/>
        <w:snapToGrid w:val="0"/>
        <w:spacing w:before="0" w:after="0" w:afterLines="0"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3、二、三段管子更换技术要求</w:t>
      </w:r>
    </w:p>
    <w:p w14:paraId="0EF95CD7">
      <w:pPr>
        <w:autoSpaceDE w:val="0"/>
        <w:autoSpaceDN w:val="0"/>
        <w:adjustRightInd w:val="0"/>
        <w:snapToGrid w:val="0"/>
        <w:spacing w:afterLines="0"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3.1</w:t>
      </w:r>
      <w:r>
        <w:rPr>
          <w:rFonts w:hint="eastAsia" w:ascii="宋体" w:hAnsi="宋体" w:eastAsia="宋体" w:cs="宋体"/>
          <w:color w:val="auto"/>
          <w:sz w:val="21"/>
          <w:szCs w:val="21"/>
          <w:highlight w:val="none"/>
        </w:rPr>
        <w:t>二、三段管子更换过程中，应符合以下检修工艺和质量要求:</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4116"/>
        <w:gridCol w:w="3051"/>
      </w:tblGrid>
      <w:tr w14:paraId="53559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1675A148">
            <w:pPr>
              <w:snapToGrid w:val="0"/>
              <w:spacing w:afterLines="0"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工序</w:t>
            </w:r>
          </w:p>
        </w:tc>
        <w:tc>
          <w:tcPr>
            <w:tcW w:w="4116" w:type="dxa"/>
          </w:tcPr>
          <w:p w14:paraId="0FDC8919">
            <w:pPr>
              <w:snapToGrid w:val="0"/>
              <w:spacing w:afterLines="0"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施工工艺</w:t>
            </w:r>
          </w:p>
        </w:tc>
        <w:tc>
          <w:tcPr>
            <w:tcW w:w="3051" w:type="dxa"/>
          </w:tcPr>
          <w:p w14:paraId="5DF5508C">
            <w:pPr>
              <w:snapToGrid w:val="0"/>
              <w:spacing w:afterLines="0"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质量要求</w:t>
            </w:r>
          </w:p>
        </w:tc>
      </w:tr>
      <w:tr w14:paraId="4A11B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50A492F7">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1、割管</w:t>
            </w:r>
          </w:p>
        </w:tc>
        <w:tc>
          <w:tcPr>
            <w:tcW w:w="4116" w:type="dxa"/>
          </w:tcPr>
          <w:p w14:paraId="72256665">
            <w:pPr>
              <w:autoSpaceDE w:val="0"/>
              <w:autoSpaceDN w:val="0"/>
              <w:adjustRightInd w:val="0"/>
              <w:snapToGrid w:val="0"/>
              <w:spacing w:afterLines="0"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a）管子割开后应将管子割口两侧鳍片多割除20mm。</w:t>
            </w:r>
          </w:p>
          <w:p w14:paraId="1E2282C2">
            <w:pPr>
              <w:autoSpaceDE w:val="0"/>
              <w:autoSpaceDN w:val="0"/>
              <w:adjustRightInd w:val="0"/>
              <w:snapToGrid w:val="0"/>
              <w:spacing w:afterLines="0"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b）管子割开后应立即将下管口加封堵并贴上封条。</w:t>
            </w:r>
          </w:p>
          <w:p w14:paraId="4489BE85">
            <w:pPr>
              <w:autoSpaceDE w:val="0"/>
              <w:autoSpaceDN w:val="0"/>
              <w:adjustRightInd w:val="0"/>
              <w:snapToGrid w:val="0"/>
              <w:spacing w:afterLines="0"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c）相邻两根或两根以上的非鳍片管子更换，切割部位应上下交错。</w:t>
            </w:r>
          </w:p>
          <w:p w14:paraId="2EEEEF05">
            <w:pPr>
              <w:autoSpaceDE w:val="0"/>
              <w:autoSpaceDN w:val="0"/>
              <w:adjustRightInd w:val="0"/>
              <w:snapToGrid w:val="0"/>
              <w:spacing w:afterLines="0"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d）管子切割应采用机械切割。</w:t>
            </w:r>
          </w:p>
          <w:p w14:paraId="7B0B2D40">
            <w:pPr>
              <w:autoSpaceDE w:val="0"/>
              <w:autoSpaceDN w:val="0"/>
              <w:adjustRightInd w:val="0"/>
              <w:snapToGrid w:val="0"/>
              <w:spacing w:afterLines="0"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e）更换大面积水冷壁管后，应在更换后对下联箱进行清理。</w:t>
            </w:r>
          </w:p>
        </w:tc>
        <w:tc>
          <w:tcPr>
            <w:tcW w:w="3051" w:type="dxa"/>
          </w:tcPr>
          <w:p w14:paraId="1797A187">
            <w:pPr>
              <w:autoSpaceDE w:val="0"/>
              <w:autoSpaceDN w:val="0"/>
              <w:adjustRightInd w:val="0"/>
              <w:snapToGrid w:val="0"/>
              <w:spacing w:afterLines="0"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1.管子切割点位置应符合DL612－1996 的5.29 的要</w:t>
            </w:r>
          </w:p>
          <w:p w14:paraId="5FAE9A79">
            <w:pPr>
              <w:autoSpaceDE w:val="0"/>
              <w:autoSpaceDN w:val="0"/>
              <w:adjustRightInd w:val="0"/>
              <w:snapToGrid w:val="0"/>
              <w:spacing w:afterLines="0"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求。</w:t>
            </w:r>
          </w:p>
          <w:p w14:paraId="29C7A60B">
            <w:pPr>
              <w:autoSpaceDE w:val="0"/>
              <w:autoSpaceDN w:val="0"/>
              <w:adjustRightInd w:val="0"/>
              <w:snapToGrid w:val="0"/>
              <w:spacing w:afterLines="0"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2.切割点开口应平整，且与管子轴线保持垂直。</w:t>
            </w:r>
          </w:p>
          <w:p w14:paraId="79A47377">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3.确保下联箱内无杂物。</w:t>
            </w:r>
          </w:p>
        </w:tc>
      </w:tr>
      <w:tr w14:paraId="481A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5B8A1B3D">
            <w:pPr>
              <w:autoSpaceDE w:val="0"/>
              <w:autoSpaceDN w:val="0"/>
              <w:adjustRightInd w:val="0"/>
              <w:snapToGrid w:val="0"/>
              <w:spacing w:afterLines="0"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2、检查新管</w:t>
            </w:r>
          </w:p>
          <w:p w14:paraId="70AD8BAC">
            <w:pPr>
              <w:snapToGrid w:val="0"/>
              <w:spacing w:afterLines="0" w:line="360" w:lineRule="auto"/>
              <w:ind w:firstLine="0" w:firstLineChars="0"/>
              <w:jc w:val="both"/>
              <w:rPr>
                <w:rFonts w:hint="eastAsia" w:ascii="宋体" w:hAnsi="宋体" w:eastAsia="宋体" w:cs="宋体"/>
                <w:color w:val="auto"/>
                <w:sz w:val="21"/>
                <w:szCs w:val="21"/>
                <w:highlight w:val="none"/>
              </w:rPr>
            </w:pPr>
          </w:p>
        </w:tc>
        <w:tc>
          <w:tcPr>
            <w:tcW w:w="4116" w:type="dxa"/>
          </w:tcPr>
          <w:p w14:paraId="6460BBD8">
            <w:pPr>
              <w:autoSpaceDE w:val="0"/>
              <w:autoSpaceDN w:val="0"/>
              <w:adjustRightInd w:val="0"/>
              <w:snapToGrid w:val="0"/>
              <w:spacing w:afterLines="0"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a）检查外观</w:t>
            </w:r>
          </w:p>
          <w:p w14:paraId="27577A35">
            <w:pPr>
              <w:autoSpaceDE w:val="0"/>
              <w:autoSpaceDN w:val="0"/>
              <w:adjustRightInd w:val="0"/>
              <w:snapToGrid w:val="0"/>
              <w:spacing w:afterLines="0"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1）检查管子表面裂纹。</w:t>
            </w:r>
          </w:p>
          <w:p w14:paraId="78411F0C">
            <w:pPr>
              <w:autoSpaceDE w:val="0"/>
              <w:autoSpaceDN w:val="0"/>
              <w:adjustRightInd w:val="0"/>
              <w:snapToGrid w:val="0"/>
              <w:spacing w:afterLines="0"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2）检查管子表面压扁、凹坑、撞伤和分层。</w:t>
            </w:r>
          </w:p>
          <w:p w14:paraId="117CDF31">
            <w:pPr>
              <w:autoSpaceDE w:val="0"/>
              <w:autoSpaceDN w:val="0"/>
              <w:adjustRightInd w:val="0"/>
              <w:snapToGrid w:val="0"/>
              <w:spacing w:afterLines="0"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3）检查管子表面腐蚀。</w:t>
            </w:r>
          </w:p>
          <w:p w14:paraId="3F77B395">
            <w:pPr>
              <w:autoSpaceDE w:val="0"/>
              <w:autoSpaceDN w:val="0"/>
              <w:adjustRightInd w:val="0"/>
              <w:snapToGrid w:val="0"/>
              <w:spacing w:afterLines="0"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4）外表缺陷的深度超过管子壁厚的10％时，不于采用。</w:t>
            </w:r>
          </w:p>
          <w:p w14:paraId="25D62712">
            <w:pPr>
              <w:autoSpaceDE w:val="0"/>
              <w:autoSpaceDN w:val="0"/>
              <w:adjustRightInd w:val="0"/>
              <w:snapToGrid w:val="0"/>
              <w:spacing w:afterLines="0"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5）检查弯管表面拉伤和波浪度。</w:t>
            </w:r>
          </w:p>
          <w:p w14:paraId="280BA16B">
            <w:pPr>
              <w:autoSpaceDE w:val="0"/>
              <w:autoSpaceDN w:val="0"/>
              <w:adjustRightInd w:val="0"/>
              <w:snapToGrid w:val="0"/>
              <w:spacing w:afterLines="0"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6）检查弯管弯曲部分不圆度，并通球试验，试验球的直径应为管子内径的85％。</w:t>
            </w:r>
          </w:p>
          <w:p w14:paraId="3F0AAA58">
            <w:pPr>
              <w:autoSpaceDE w:val="0"/>
              <w:autoSpaceDN w:val="0"/>
              <w:adjustRightInd w:val="0"/>
              <w:snapToGrid w:val="0"/>
              <w:spacing w:afterLines="0"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7）检查管径及壁厚。</w:t>
            </w:r>
          </w:p>
          <w:p w14:paraId="333EF902">
            <w:pPr>
              <w:autoSpaceDE w:val="0"/>
              <w:autoSpaceDN w:val="0"/>
              <w:adjustRightInd w:val="0"/>
              <w:snapToGrid w:val="0"/>
              <w:spacing w:afterLines="0"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b）测量管子管径及壁厚。</w:t>
            </w:r>
          </w:p>
          <w:p w14:paraId="65E6F07E">
            <w:pPr>
              <w:autoSpaceDE w:val="0"/>
              <w:autoSpaceDN w:val="0"/>
              <w:adjustRightInd w:val="0"/>
              <w:snapToGrid w:val="0"/>
              <w:spacing w:afterLines="0"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d）检查鳍片与管壁间的焊缝。</w:t>
            </w:r>
          </w:p>
          <w:p w14:paraId="6D7E6B5A">
            <w:pPr>
              <w:autoSpaceDE w:val="0"/>
              <w:autoSpaceDN w:val="0"/>
              <w:adjustRightInd w:val="0"/>
              <w:snapToGrid w:val="0"/>
              <w:spacing w:afterLines="0"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e）新管使用前应进行压缩空气进行吹扫。对管焊缝磨平。鳍片对接焊缝拼缝平直，打磨平整。</w:t>
            </w:r>
          </w:p>
        </w:tc>
        <w:tc>
          <w:tcPr>
            <w:tcW w:w="3051" w:type="dxa"/>
          </w:tcPr>
          <w:p w14:paraId="1AF05D25">
            <w:pPr>
              <w:autoSpaceDE w:val="0"/>
              <w:autoSpaceDN w:val="0"/>
              <w:adjustRightInd w:val="0"/>
              <w:snapToGrid w:val="0"/>
              <w:spacing w:afterLines="0"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1.管子表面无裂纹、撞伤、压扁、沙眼和分层等缺陷。</w:t>
            </w:r>
          </w:p>
          <w:p w14:paraId="7774CC7F">
            <w:pPr>
              <w:autoSpaceDE w:val="0"/>
              <w:autoSpaceDN w:val="0"/>
              <w:adjustRightInd w:val="0"/>
              <w:snapToGrid w:val="0"/>
              <w:spacing w:afterLines="0"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2.管子表面光洁，无腐蚀。</w:t>
            </w:r>
          </w:p>
          <w:p w14:paraId="702DFC46">
            <w:pPr>
              <w:autoSpaceDE w:val="0"/>
              <w:autoSpaceDN w:val="0"/>
              <w:adjustRightInd w:val="0"/>
              <w:snapToGrid w:val="0"/>
              <w:spacing w:afterLines="0"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3.管子壁厚负公差应小于壁厚的10％。</w:t>
            </w:r>
          </w:p>
          <w:p w14:paraId="5EA36275">
            <w:pPr>
              <w:autoSpaceDE w:val="0"/>
              <w:autoSpaceDN w:val="0"/>
              <w:adjustRightInd w:val="0"/>
              <w:snapToGrid w:val="0"/>
              <w:spacing w:afterLines="0"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4.弯管表面无拉伤，其波浪度应符合DL5031－1994 的表4.2.6 的要求。</w:t>
            </w:r>
          </w:p>
          <w:p w14:paraId="0A9C1BB4">
            <w:pPr>
              <w:autoSpaceDE w:val="0"/>
              <w:autoSpaceDN w:val="0"/>
              <w:adjustRightInd w:val="0"/>
              <w:snapToGrid w:val="0"/>
              <w:spacing w:afterLines="0"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5.弯管弯曲部分实测壁厚应大于直管的理论计算壁厚。</w:t>
            </w:r>
          </w:p>
          <w:p w14:paraId="46158700">
            <w:pPr>
              <w:autoSpaceDE w:val="0"/>
              <w:autoSpaceDN w:val="0"/>
              <w:adjustRightInd w:val="0"/>
              <w:snapToGrid w:val="0"/>
              <w:spacing w:afterLines="0"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6.弯管的不圆度应小于6％，通球试验合格。</w:t>
            </w:r>
          </w:p>
          <w:p w14:paraId="7285E757">
            <w:pPr>
              <w:autoSpaceDE w:val="0"/>
              <w:autoSpaceDN w:val="0"/>
              <w:adjustRightInd w:val="0"/>
              <w:snapToGrid w:val="0"/>
              <w:spacing w:afterLines="0"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7.鳍片焊缝无咬边。</w:t>
            </w:r>
          </w:p>
          <w:p w14:paraId="1C587672">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10.新管内无铁锈等杂质。</w:t>
            </w:r>
          </w:p>
        </w:tc>
      </w:tr>
      <w:tr w14:paraId="28B73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2F0AB816">
            <w:pPr>
              <w:autoSpaceDE w:val="0"/>
              <w:autoSpaceDN w:val="0"/>
              <w:adjustRightInd w:val="0"/>
              <w:snapToGrid w:val="0"/>
              <w:spacing w:afterLines="0"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3、坡口</w:t>
            </w:r>
          </w:p>
        </w:tc>
        <w:tc>
          <w:tcPr>
            <w:tcW w:w="7167" w:type="dxa"/>
            <w:gridSpan w:val="2"/>
          </w:tcPr>
          <w:p w14:paraId="1ABD7555">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（1）受热面各垂直管的下部焊口坡口打磨前，要用易溶纸将管口堵严，以防打磨坡口时杂物及破损工具落入管内。</w:t>
            </w:r>
          </w:p>
          <w:p w14:paraId="7DBE6670">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管子的坡口形式应按设计图纸规定加工，如无规定时，坡口的形式和尺寸应按能保证焊接质量、填充金属量少，改善劳动条件、便于操作、减少焊接应力和变形，适应探伤要求等原则选用。（坡口尺寸要求见各受热面）。</w:t>
            </w:r>
          </w:p>
          <w:p w14:paraId="0B6C086E">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（3）坡口端面要平整并与管子中心线垂直，其偏斜度</w:t>
            </w:r>
            <w:r>
              <w:rPr>
                <w:rFonts w:hint="eastAsia" w:ascii="宋体" w:hAnsi="宋体" w:eastAsia="宋体" w:cs="宋体"/>
                <w:i/>
                <w:iCs/>
                <w:color w:val="auto"/>
                <w:sz w:val="21"/>
                <w:szCs w:val="21"/>
                <w:highlight w:val="none"/>
              </w:rPr>
              <w:t>Δf</w:t>
            </w:r>
            <w:r>
              <w:rPr>
                <w:rFonts w:hint="eastAsia" w:ascii="宋体" w:hAnsi="宋体" w:eastAsia="宋体" w:cs="宋体"/>
                <w:color w:val="auto"/>
                <w:sz w:val="21"/>
                <w:szCs w:val="21"/>
                <w:highlight w:val="none"/>
              </w:rPr>
              <w:t>不得超过0.5mm。</w:t>
            </w:r>
          </w:p>
          <w:p w14:paraId="619BF214">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（4）坡口加工后应检查坡口母材处无裂纹、重皮、坡口损伤及毛刺等缺陷。</w:t>
            </w:r>
          </w:p>
          <w:p w14:paraId="42D888DE">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（5）对口前应将坡口表面及其附近10~15mm 区域内的内外壁的油、漆、垢、锈等清理干净直至发出金属光泽，清理后如过24小时再焊，需要重新清理。</w:t>
            </w:r>
          </w:p>
          <w:p w14:paraId="4DC71972">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（6）对口时，应做到内壁齐平，严格控制对口间隙最大差值（Δ</w:t>
            </w:r>
            <w:r>
              <w:rPr>
                <w:rFonts w:hint="eastAsia" w:ascii="宋体" w:hAnsi="宋体" w:eastAsia="宋体" w:cs="宋体"/>
                <w:i/>
                <w:iCs/>
                <w:color w:val="auto"/>
                <w:sz w:val="21"/>
                <w:szCs w:val="21"/>
                <w:highlight w:val="none"/>
              </w:rPr>
              <w:t>P</w:t>
            </w:r>
            <w:r>
              <w:rPr>
                <w:rFonts w:hint="eastAsia" w:ascii="宋体" w:hAnsi="宋体" w:eastAsia="宋体" w:cs="宋体"/>
                <w:color w:val="auto"/>
                <w:sz w:val="21"/>
                <w:szCs w:val="21"/>
                <w:highlight w:val="none"/>
              </w:rPr>
              <w:t>）和错口量（Δ</w:t>
            </w:r>
            <w:r>
              <w:rPr>
                <w:rFonts w:hint="eastAsia" w:ascii="宋体" w:hAnsi="宋体" w:eastAsia="宋体" w:cs="宋体"/>
                <w:i/>
                <w:iCs/>
                <w:color w:val="auto"/>
                <w:sz w:val="21"/>
                <w:szCs w:val="21"/>
                <w:highlight w:val="none"/>
              </w:rPr>
              <w:t>δ</w:t>
            </w:r>
            <w:r>
              <w:rPr>
                <w:rFonts w:hint="eastAsia" w:ascii="宋体" w:hAnsi="宋体" w:eastAsia="宋体" w:cs="宋体"/>
                <w:color w:val="auto"/>
                <w:sz w:val="21"/>
                <w:szCs w:val="21"/>
                <w:highlight w:val="none"/>
              </w:rPr>
              <w:t>），Δ</w:t>
            </w:r>
            <w:r>
              <w:rPr>
                <w:rFonts w:hint="eastAsia" w:ascii="宋体" w:hAnsi="宋体" w:eastAsia="宋体" w:cs="宋体"/>
                <w:i/>
                <w:iCs/>
                <w:color w:val="auto"/>
                <w:sz w:val="21"/>
                <w:szCs w:val="21"/>
                <w:highlight w:val="none"/>
              </w:rPr>
              <w:t>δ</w:t>
            </w:r>
            <w:r>
              <w:rPr>
                <w:rFonts w:hint="eastAsia" w:ascii="宋体" w:hAnsi="宋体" w:eastAsia="宋体" w:cs="宋体"/>
                <w:color w:val="auto"/>
                <w:sz w:val="21"/>
                <w:szCs w:val="21"/>
                <w:highlight w:val="none"/>
              </w:rPr>
              <w:t>应不超过管子壁厚的10%，且不大于1mm，Δ</w:t>
            </w:r>
            <w:r>
              <w:rPr>
                <w:rFonts w:hint="eastAsia" w:ascii="宋体" w:hAnsi="宋体" w:eastAsia="宋体" w:cs="宋体"/>
                <w:i/>
                <w:iCs/>
                <w:color w:val="auto"/>
                <w:sz w:val="21"/>
                <w:szCs w:val="21"/>
                <w:highlight w:val="none"/>
              </w:rPr>
              <w:t>P</w:t>
            </w:r>
            <w:r>
              <w:rPr>
                <w:rFonts w:hint="eastAsia" w:ascii="宋体" w:hAnsi="宋体" w:eastAsia="宋体" w:cs="宋体"/>
                <w:color w:val="auto"/>
                <w:sz w:val="21"/>
                <w:szCs w:val="21"/>
                <w:highlight w:val="none"/>
              </w:rPr>
              <w:t>也应不超过1 mm。</w:t>
            </w:r>
          </w:p>
          <w:p w14:paraId="419C14E5">
            <w:pPr>
              <w:snapToGrid w:val="0"/>
              <w:spacing w:afterLines="0" w:line="360" w:lineRule="auto"/>
              <w:ind w:firstLine="0" w:firstLineChars="0"/>
              <w:jc w:val="both"/>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（7）管子对口符合要求后，应固定牢固，避免焊接或热处理过程中管子的移动。</w:t>
            </w:r>
          </w:p>
        </w:tc>
      </w:tr>
      <w:tr w14:paraId="4E34E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366E6ECD">
            <w:pPr>
              <w:autoSpaceDE w:val="0"/>
              <w:autoSpaceDN w:val="0"/>
              <w:adjustRightInd w:val="0"/>
              <w:snapToGrid w:val="0"/>
              <w:spacing w:afterLines="0"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4、新管焊接</w:t>
            </w:r>
          </w:p>
          <w:p w14:paraId="17882A0E">
            <w:pPr>
              <w:snapToGrid w:val="0"/>
              <w:spacing w:afterLines="0" w:line="360" w:lineRule="auto"/>
              <w:ind w:firstLine="0" w:firstLineChars="0"/>
              <w:jc w:val="both"/>
              <w:rPr>
                <w:rFonts w:hint="eastAsia" w:ascii="宋体" w:hAnsi="宋体" w:eastAsia="宋体" w:cs="宋体"/>
                <w:color w:val="auto"/>
                <w:sz w:val="21"/>
                <w:szCs w:val="21"/>
                <w:highlight w:val="none"/>
              </w:rPr>
            </w:pPr>
          </w:p>
        </w:tc>
        <w:tc>
          <w:tcPr>
            <w:tcW w:w="4116" w:type="dxa"/>
          </w:tcPr>
          <w:p w14:paraId="3365DBD3">
            <w:pPr>
              <w:autoSpaceDE w:val="0"/>
              <w:autoSpaceDN w:val="0"/>
              <w:adjustRightInd w:val="0"/>
              <w:snapToGrid w:val="0"/>
              <w:spacing w:afterLines="0"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a）管子对口应按照DL 5190.5-2012 电力建设施工技术规范 第5部分：管道及系统要求进行。</w:t>
            </w:r>
          </w:p>
          <w:p w14:paraId="1F5D1C1A">
            <w:pPr>
              <w:autoSpaceDE w:val="0"/>
              <w:autoSpaceDN w:val="0"/>
              <w:adjustRightInd w:val="0"/>
              <w:snapToGrid w:val="0"/>
              <w:spacing w:afterLines="0"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b）管子焊接工艺按照DL/T869-2021相关要求进行。</w:t>
            </w:r>
          </w:p>
          <w:p w14:paraId="64CBBAA8">
            <w:pPr>
              <w:autoSpaceDE w:val="0"/>
              <w:autoSpaceDN w:val="0"/>
              <w:adjustRightInd w:val="0"/>
              <w:snapToGrid w:val="0"/>
              <w:spacing w:afterLines="0"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c）鳍片拼缝所使用材质应与鳍片管的膨胀系数一致。</w:t>
            </w:r>
          </w:p>
          <w:p w14:paraId="735808A1">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d）新管施工焊口须20％无损检测，</w:t>
            </w:r>
            <w:r>
              <w:rPr>
                <w:rFonts w:hint="eastAsia" w:ascii="宋体" w:hAnsi="宋体" w:eastAsia="宋体" w:cs="宋体"/>
                <w:color w:val="auto"/>
                <w:sz w:val="21"/>
                <w:szCs w:val="21"/>
                <w:highlight w:val="none"/>
              </w:rPr>
              <w:t>若有缺陷，增加一倍检测比例，并对缺陷进行补焊处理。</w:t>
            </w:r>
          </w:p>
        </w:tc>
        <w:tc>
          <w:tcPr>
            <w:tcW w:w="3051" w:type="dxa"/>
          </w:tcPr>
          <w:p w14:paraId="07B25F82">
            <w:pPr>
              <w:autoSpaceDE w:val="0"/>
              <w:autoSpaceDN w:val="0"/>
              <w:adjustRightInd w:val="0"/>
              <w:snapToGrid w:val="0"/>
              <w:spacing w:afterLines="0"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1.管子焊接的质量标准须符合DL869－2021 的质量标准。</w:t>
            </w:r>
          </w:p>
          <w:p w14:paraId="040D5D74">
            <w:pPr>
              <w:autoSpaceDE w:val="0"/>
              <w:autoSpaceDN w:val="0"/>
              <w:adjustRightInd w:val="0"/>
              <w:snapToGrid w:val="0"/>
              <w:spacing w:afterLines="0"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2.鳍片拼缝焊缝应保持平整和密封，无超标缺陷。</w:t>
            </w:r>
          </w:p>
          <w:p w14:paraId="1FE780DA">
            <w:pPr>
              <w:autoSpaceDE w:val="0"/>
              <w:autoSpaceDN w:val="0"/>
              <w:adjustRightInd w:val="0"/>
              <w:snapToGrid w:val="0"/>
              <w:spacing w:afterLines="0"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3.新管施工焊口合格率为100％。</w:t>
            </w:r>
          </w:p>
        </w:tc>
      </w:tr>
    </w:tbl>
    <w:p w14:paraId="50A30FF5">
      <w:pPr>
        <w:autoSpaceDE w:val="0"/>
        <w:autoSpaceDN w:val="0"/>
        <w:adjustRightInd w:val="0"/>
        <w:snapToGrid w:val="0"/>
        <w:spacing w:afterLines="0"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3.2检修安全注意事项</w:t>
      </w:r>
    </w:p>
    <w:p w14:paraId="452608E7">
      <w:pPr>
        <w:autoSpaceDE w:val="0"/>
        <w:autoSpaceDN w:val="0"/>
        <w:adjustRightInd w:val="0"/>
        <w:snapToGrid w:val="0"/>
        <w:spacing w:afterLines="0"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（1）进入烟道内从事检修应办理热力机械工作票、动火工作票和高空作业票，工作人员应戴安全帽，穿工作服和劳保皮鞋。</w:t>
      </w:r>
    </w:p>
    <w:p w14:paraId="504D68A3">
      <w:pPr>
        <w:autoSpaceDE w:val="0"/>
        <w:autoSpaceDN w:val="0"/>
        <w:adjustRightInd w:val="0"/>
        <w:snapToGrid w:val="0"/>
        <w:spacing w:afterLines="0"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（2）进入烟道内检修前，应先清除炉内的松动异物。</w:t>
      </w:r>
    </w:p>
    <w:p w14:paraId="4EA48C26">
      <w:pPr>
        <w:autoSpaceDE w:val="0"/>
        <w:autoSpaceDN w:val="0"/>
        <w:adjustRightInd w:val="0"/>
        <w:snapToGrid w:val="0"/>
        <w:spacing w:afterLines="0"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（3）有人工作时，禁止带电移动220 伏的临时电灯。</w:t>
      </w:r>
    </w:p>
    <w:p w14:paraId="347EB3D6">
      <w:pPr>
        <w:autoSpaceDE w:val="0"/>
        <w:autoSpaceDN w:val="0"/>
        <w:adjustRightInd w:val="0"/>
        <w:snapToGrid w:val="0"/>
        <w:spacing w:afterLines="0"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（5）交叉作业时，需确保安全措施牢固可靠。</w:t>
      </w:r>
    </w:p>
    <w:p w14:paraId="7B7A43C2">
      <w:pPr>
        <w:autoSpaceDE w:val="0"/>
        <w:autoSpaceDN w:val="0"/>
        <w:adjustRightInd w:val="0"/>
        <w:snapToGrid w:val="0"/>
        <w:spacing w:afterLines="0"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（6）水冷壁管切断后，检修人员需离开现场或歇班无人时，应将管口用锥形木堵头堵严且加封条，防止异物掉入炉管中。</w:t>
      </w:r>
    </w:p>
    <w:p w14:paraId="5A33C006">
      <w:pPr>
        <w:autoSpaceDE w:val="0"/>
        <w:autoSpaceDN w:val="0"/>
        <w:adjustRightInd w:val="0"/>
        <w:snapToGrid w:val="0"/>
        <w:spacing w:afterLines="0"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（8）焊接或切割水冷壁管时，必须由合格的焊工担任此项工作。</w:t>
      </w:r>
    </w:p>
    <w:p w14:paraId="3AF3B7D6">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（9）膛脚手架必须搭建牢固，脚手架跳板的两端必须用铁丝绑牢在脚手架上。</w:t>
      </w:r>
    </w:p>
    <w:p w14:paraId="78A6856D">
      <w:pPr>
        <w:pStyle w:val="5"/>
        <w:snapToGrid w:val="0"/>
        <w:spacing w:before="0" w:after="0" w:afterLines="0"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4、防磨喷涂施工技术要求</w:t>
      </w:r>
    </w:p>
    <w:p w14:paraId="5831C291">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4.1喷涂工艺过程：工件表面预处理 →工件预热 → 喷涂 → 涂层后处理。</w:t>
      </w:r>
    </w:p>
    <w:p w14:paraId="451B8CDE">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4.2施工工艺参数：</w:t>
      </w:r>
    </w:p>
    <w:tbl>
      <w:tblPr>
        <w:tblStyle w:val="37"/>
        <w:tblW w:w="8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1"/>
        <w:gridCol w:w="2256"/>
        <w:gridCol w:w="1911"/>
        <w:gridCol w:w="1565"/>
      </w:tblGrid>
      <w:tr w14:paraId="0B5D8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491" w:type="dxa"/>
          </w:tcPr>
          <w:p w14:paraId="30EE5395">
            <w:pPr>
              <w:snapToGrid w:val="0"/>
              <w:spacing w:afterLines="0"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2256" w:type="dxa"/>
          </w:tcPr>
          <w:p w14:paraId="1B0363B5">
            <w:pPr>
              <w:snapToGrid w:val="0"/>
              <w:spacing w:afterLines="0"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数值</w:t>
            </w:r>
          </w:p>
        </w:tc>
        <w:tc>
          <w:tcPr>
            <w:tcW w:w="1911" w:type="dxa"/>
          </w:tcPr>
          <w:p w14:paraId="07C22B55">
            <w:pPr>
              <w:snapToGrid w:val="0"/>
              <w:spacing w:afterLines="0"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1565" w:type="dxa"/>
          </w:tcPr>
          <w:p w14:paraId="3C9C4C28">
            <w:pPr>
              <w:snapToGrid w:val="0"/>
              <w:spacing w:afterLines="0"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数值</w:t>
            </w:r>
          </w:p>
        </w:tc>
      </w:tr>
      <w:tr w14:paraId="581B2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491" w:type="dxa"/>
            <w:vAlign w:val="center"/>
          </w:tcPr>
          <w:p w14:paraId="58DAE74D">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超音速电弧喷涂粒子速度</w:t>
            </w:r>
          </w:p>
        </w:tc>
        <w:tc>
          <w:tcPr>
            <w:tcW w:w="2256" w:type="dxa"/>
            <w:vAlign w:val="center"/>
          </w:tcPr>
          <w:p w14:paraId="6FDB8A27">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≥386m/s</w:t>
            </w:r>
          </w:p>
        </w:tc>
        <w:tc>
          <w:tcPr>
            <w:tcW w:w="1911" w:type="dxa"/>
            <w:vAlign w:val="center"/>
          </w:tcPr>
          <w:p w14:paraId="01A8DE65">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超音速电弧涂层结合强度</w:t>
            </w:r>
          </w:p>
        </w:tc>
        <w:tc>
          <w:tcPr>
            <w:tcW w:w="1565" w:type="dxa"/>
            <w:vAlign w:val="center"/>
          </w:tcPr>
          <w:p w14:paraId="57CC638C">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≥50Mpa</w:t>
            </w:r>
          </w:p>
        </w:tc>
      </w:tr>
      <w:tr w14:paraId="2B46D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491" w:type="dxa"/>
            <w:vAlign w:val="center"/>
          </w:tcPr>
          <w:p w14:paraId="2D190F4C">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超音速电弧涂层硬度</w:t>
            </w:r>
          </w:p>
        </w:tc>
        <w:tc>
          <w:tcPr>
            <w:tcW w:w="2256" w:type="dxa"/>
            <w:vAlign w:val="center"/>
          </w:tcPr>
          <w:p w14:paraId="0918C8FD">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HV0.3≥650</w:t>
            </w:r>
          </w:p>
        </w:tc>
        <w:tc>
          <w:tcPr>
            <w:tcW w:w="1911" w:type="dxa"/>
            <w:vAlign w:val="center"/>
          </w:tcPr>
          <w:p w14:paraId="35D1B874">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涂层孔隙率</w:t>
            </w:r>
          </w:p>
        </w:tc>
        <w:tc>
          <w:tcPr>
            <w:tcW w:w="1565" w:type="dxa"/>
            <w:vAlign w:val="center"/>
          </w:tcPr>
          <w:p w14:paraId="4940239E">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≤0.9%</w:t>
            </w:r>
          </w:p>
        </w:tc>
      </w:tr>
      <w:tr w14:paraId="7F743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491" w:type="dxa"/>
            <w:vAlign w:val="center"/>
          </w:tcPr>
          <w:p w14:paraId="78AD273A">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抗氧化性</w:t>
            </w:r>
          </w:p>
        </w:tc>
        <w:tc>
          <w:tcPr>
            <w:tcW w:w="2256" w:type="dxa"/>
            <w:vAlign w:val="center"/>
          </w:tcPr>
          <w:p w14:paraId="5C76E6DC">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+12.16mg/cm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(750</w:t>
            </w:r>
            <w:r>
              <w:rPr>
                <w:rFonts w:hint="eastAsia" w:ascii="宋体" w:hAnsi="宋体" w:eastAsia="宋体" w:cs="宋体"/>
                <w:color w:val="auto"/>
                <w:sz w:val="21"/>
                <w:szCs w:val="21"/>
                <w:highlight w:val="none"/>
                <w:vertAlign w:val="superscript"/>
              </w:rPr>
              <w:t>0</w:t>
            </w:r>
            <w:r>
              <w:rPr>
                <w:rFonts w:hint="eastAsia" w:ascii="宋体" w:hAnsi="宋体" w:eastAsia="宋体" w:cs="宋体"/>
                <w:color w:val="auto"/>
                <w:sz w:val="21"/>
                <w:szCs w:val="21"/>
                <w:highlight w:val="none"/>
              </w:rPr>
              <w:t>C氧化250h)</w:t>
            </w:r>
          </w:p>
        </w:tc>
        <w:tc>
          <w:tcPr>
            <w:tcW w:w="1911" w:type="dxa"/>
            <w:vAlign w:val="center"/>
          </w:tcPr>
          <w:p w14:paraId="7634C1FC">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喷涂管壁温度</w:t>
            </w:r>
          </w:p>
        </w:tc>
        <w:tc>
          <w:tcPr>
            <w:tcW w:w="1565" w:type="dxa"/>
            <w:vAlign w:val="center"/>
          </w:tcPr>
          <w:p w14:paraId="61F9F046">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vertAlign w:val="superscript"/>
              </w:rPr>
              <w:t>0</w:t>
            </w:r>
            <w:r>
              <w:rPr>
                <w:rFonts w:hint="eastAsia" w:ascii="宋体" w:hAnsi="宋体" w:eastAsia="宋体" w:cs="宋体"/>
                <w:color w:val="auto"/>
                <w:sz w:val="21"/>
                <w:szCs w:val="21"/>
                <w:highlight w:val="none"/>
              </w:rPr>
              <w:t>C</w:t>
            </w:r>
          </w:p>
        </w:tc>
      </w:tr>
      <w:tr w14:paraId="0EB35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491" w:type="dxa"/>
            <w:vAlign w:val="center"/>
          </w:tcPr>
          <w:p w14:paraId="05D38B5C">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雾化空气压力</w:t>
            </w:r>
          </w:p>
        </w:tc>
        <w:tc>
          <w:tcPr>
            <w:tcW w:w="2256" w:type="dxa"/>
            <w:vAlign w:val="center"/>
          </w:tcPr>
          <w:p w14:paraId="701508A3">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0.5-0.6Mpa</w:t>
            </w:r>
          </w:p>
        </w:tc>
        <w:tc>
          <w:tcPr>
            <w:tcW w:w="1911" w:type="dxa"/>
            <w:vAlign w:val="center"/>
          </w:tcPr>
          <w:p w14:paraId="5DC44A16">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喷涂距离</w:t>
            </w:r>
          </w:p>
        </w:tc>
        <w:tc>
          <w:tcPr>
            <w:tcW w:w="1565" w:type="dxa"/>
            <w:vAlign w:val="center"/>
          </w:tcPr>
          <w:p w14:paraId="6474F66F">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150-200mm</w:t>
            </w:r>
          </w:p>
        </w:tc>
      </w:tr>
      <w:tr w14:paraId="77966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491" w:type="dxa"/>
            <w:vAlign w:val="center"/>
          </w:tcPr>
          <w:p w14:paraId="64782299">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喷涂角度</w:t>
            </w:r>
          </w:p>
        </w:tc>
        <w:tc>
          <w:tcPr>
            <w:tcW w:w="2256" w:type="dxa"/>
            <w:vAlign w:val="center"/>
          </w:tcPr>
          <w:p w14:paraId="05DC0C12">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vertAlign w:val="superscript"/>
              </w:rPr>
              <w:t>0</w:t>
            </w:r>
            <w:r>
              <w:rPr>
                <w:rFonts w:hint="eastAsia" w:ascii="宋体" w:hAnsi="宋体" w:eastAsia="宋体" w:cs="宋体"/>
                <w:color w:val="auto"/>
                <w:sz w:val="21"/>
                <w:szCs w:val="21"/>
                <w:highlight w:val="none"/>
              </w:rPr>
              <w:t>～60</w:t>
            </w:r>
            <w:r>
              <w:rPr>
                <w:rFonts w:hint="eastAsia" w:ascii="宋体" w:hAnsi="宋体" w:eastAsia="宋体" w:cs="宋体"/>
                <w:color w:val="auto"/>
                <w:sz w:val="21"/>
                <w:szCs w:val="21"/>
                <w:highlight w:val="none"/>
                <w:vertAlign w:val="superscript"/>
              </w:rPr>
              <w:t>0</w:t>
            </w:r>
          </w:p>
        </w:tc>
        <w:tc>
          <w:tcPr>
            <w:tcW w:w="1911" w:type="dxa"/>
            <w:vAlign w:val="center"/>
          </w:tcPr>
          <w:p w14:paraId="38181A49">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使喷涂涂层厚度</w:t>
            </w:r>
          </w:p>
        </w:tc>
        <w:tc>
          <w:tcPr>
            <w:tcW w:w="1565" w:type="dxa"/>
            <w:vAlign w:val="center"/>
          </w:tcPr>
          <w:p w14:paraId="2D6BBBD7">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0.6-0.8mm</w:t>
            </w:r>
          </w:p>
        </w:tc>
      </w:tr>
    </w:tbl>
    <w:p w14:paraId="50116FD5">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4.3喷砂与喷涂每5-6m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间循环进行，喷涂采用#式操作法，喷涂过渡区域宽度为500mm，边缘平滑过渡，无凹凸台阶。</w:t>
      </w:r>
    </w:p>
    <w:p w14:paraId="16BD7673">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负责提供确保该工程质量的材料，堆焊凹陷处的丝材选用OCr13Ni4MoN焊丝或用1Cr13Ni4MoVNb焊丝，喷涂材料为HDS955及HDS930，并提供合格证书。乙方在现场喷涂设备应无故障，并进行过检定。</w:t>
      </w:r>
    </w:p>
    <w:p w14:paraId="3EFDD545">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采用超音速电弧喷涂工艺，复合涂层，涂层厚度0.6-0.8mm，喷涂材料选用硬度特别高、HDS955作为喷涂底丝（95%镍、5%铝）、耐磨性特别优异的HDS930丝材盖面。在涂层边缘设置过渡区域，过渡区域宽度为500mm，平滑过渡。喷涂前先采取二次喷砂工艺对防磨部位进行表面糙化，即先用石英砂对表面进行清洁，再用金刚砂对管子表面进行糙化处理。</w:t>
      </w:r>
    </w:p>
    <w:p w14:paraId="64931544">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乙方应提供符合要求的喷涂用砂，选用14-18目优选砂，其表面粗糙度应达到GB11373-89《热喷涂金属预处理通则》规定的Rz50-90um，表面清洁度达到GB8923-88《涂装前表面锈蚀等级和除锈等级》规定的Sa3.0级，采用2次喷砂工艺。</w:t>
      </w:r>
    </w:p>
    <w:p w14:paraId="7F046F8A">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4.7涂层表面采用高温耐磨防腐专用封孔剂封孔。</w:t>
      </w:r>
    </w:p>
    <w:p w14:paraId="3E3FA6ED">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4.8喷涂后外观表面光滑、平整、致密，不得有塌陷、麻面、起皮、开裂、脱落等现象。</w:t>
      </w:r>
    </w:p>
    <w:p w14:paraId="2805E6F0">
      <w:pPr>
        <w:pStyle w:val="5"/>
        <w:snapToGrid w:val="0"/>
        <w:spacing w:before="0" w:after="0" w:afterLines="0"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5、浇注料施工技术要求</w:t>
      </w:r>
    </w:p>
    <w:p w14:paraId="503149EB">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5.1各部位施工浇注料材质均为刚玉耐磨可塑料，质量符合GB/T24387《刚玉耐磨可塑料》规范要求，抓钉材质为310S，Y型，长度50mm。</w:t>
      </w:r>
    </w:p>
    <w:p w14:paraId="2629EE6E">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5.2抓钉焊接应在水压试验前完成，呈梅花型布置，布置数量为25个/㎡。</w:t>
      </w:r>
    </w:p>
    <w:p w14:paraId="54D987FD">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5.3浇注料敷设前应在膜式壁和抓钉上涂刷一层沥青漆，厚度不小于1mm。</w:t>
      </w:r>
    </w:p>
    <w:p w14:paraId="2696D8CC">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5.4浇注料制作时水质应符合自来水标准。适宜施工温度30℃，不能在低于5℃的施工环境下进行施工。</w:t>
      </w:r>
    </w:p>
    <w:p w14:paraId="03CD3916">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5.5在搅拌前，应计算所需要的物料量，不要盲目开启物料的包装袋。包装袋开启后，应立即使用。</w:t>
      </w:r>
    </w:p>
    <w:p w14:paraId="557A3BA9">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5.6将物料倒进搅拌器，干搅直至材料混合均匀。按规定要求进行加水搅拌，加水量严格控制，不能随意增减。</w:t>
      </w:r>
    </w:p>
    <w:p w14:paraId="1120952E">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5.7浇注料制作完成后，必须具有足够的流动度，并应及时用完，制作好的浇注料超过30min未用完严禁使用。</w:t>
      </w:r>
    </w:p>
    <w:p w14:paraId="6A650BBC">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5.8敷设浇注料后应逐片全部振捣密实，施工完毕后，表面用塑料加厚膜覆盖，隔绝空气养护。</w:t>
      </w:r>
    </w:p>
    <w:p w14:paraId="30CC0469">
      <w:pPr>
        <w:snapToGrid w:val="0"/>
        <w:spacing w:afterLines="0" w:line="360" w:lineRule="auto"/>
        <w:ind w:left="48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5.9当搅拌工作全部结束后，将搅拌器及现场清洗干净，及时断开电源</w:t>
      </w:r>
    </w:p>
    <w:p w14:paraId="15985EFA">
      <w:pPr>
        <w:pStyle w:val="5"/>
        <w:snapToGrid w:val="0"/>
        <w:spacing w:before="0" w:after="0" w:afterLines="0"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6、保温施工技术规范</w:t>
      </w:r>
    </w:p>
    <w:p w14:paraId="5EDE2318">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6.1工艺要求：</w:t>
      </w:r>
    </w:p>
    <w:p w14:paraId="63B33920">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（1）汽化烟道本体分两层保温。内层：100mm硅酸铝毡，外层：100mm岩绵毡。外包铁丝网和0.5mm铝皮。</w:t>
      </w:r>
    </w:p>
    <w:p w14:paraId="2AEE136D">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（2）汽化烟道本体外包铝皮需设置加固筋，加固筋采用4×40mm 的扁钢制作，每间隔1.5米设置一道加固筋，钩钉采用8号铁丝现场制作施焊。</w:t>
      </w:r>
    </w:p>
    <w:p w14:paraId="04440719">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（3）管道保温厚度为150mm，垂直管道保温，每间隔5米要求按设置保温棉承重托架。</w:t>
      </w:r>
    </w:p>
    <w:p w14:paraId="61979A36">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6.2材料要求：</w:t>
      </w:r>
    </w:p>
    <w:p w14:paraId="5AF05BA0">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岩棉制品的容重为：120kg/m³，硅酸铝制品的容重为：130 kg/m³。</w:t>
      </w:r>
    </w:p>
    <w:p w14:paraId="6956A722">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6.3施工技术要求：</w:t>
      </w:r>
    </w:p>
    <w:p w14:paraId="06376537">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（1）烟道本体膜式壁保温施工应在锅炉水压试验合格后进行。</w:t>
      </w:r>
    </w:p>
    <w:p w14:paraId="416AF73C">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锅炉本体膜式壁钩钉安装应符合厂家设计要求，其中密封盒周边、一二段补偿器端口等部位保温钩钉布置应适当加密。保温层应紧贴锅炉膜式壁，密封盒周边等部位保温层应密实，同层保温应挤缝、错缝，上下层压缝，错缝、压缝长度宜不小于100mm。</w:t>
      </w:r>
    </w:p>
    <w:p w14:paraId="47ECE308">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（3）钩钉呈梅花型布置，布置间距不大于350m，布置应均匀，排列整齐，侧面数量不少于6个/㎡，底面数量不少于8个/㎡。</w:t>
      </w:r>
    </w:p>
    <w:p w14:paraId="63E1F15C">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（4）保温层的钩钉不允许直接焊接在设备或管道上，在设备和管道上保温应增设包箍体。</w:t>
      </w:r>
    </w:p>
    <w:p w14:paraId="2428B188">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（5）铁丝网铺设应张紧并紧贴保温层，无凸起、翘边，搭接尺寸应不小于 20mm。</w:t>
      </w:r>
    </w:p>
    <w:p w14:paraId="1B941EE5">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（6）金属外保护层施工除应符合下列规定:</w:t>
      </w:r>
    </w:p>
    <w:p w14:paraId="1B127A00">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外保护层在障碍处应切口整齐、形状规则，预留足够空间，不得影响支吊架、执行机构等设备的正常动作。膨胀补偿器等部位的保温外保护层应采用滑动连接方式，管道吊架处外保护层宜采用可拆卸式金属罩盒。</w:t>
      </w:r>
    </w:p>
    <w:p w14:paraId="2092CD48">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2）外保护层应紧贴保温层，接缝严密、无翘边。保护层搭接尺寸应不小于50mm；纵向接缝错开间距一致，垂直管道纵向应顺水搭接，室外布置的水平管道外保护层纵向接缝宜在管道下半部左右 45°范围内。</w:t>
      </w:r>
    </w:p>
    <w:p w14:paraId="3E8CAAEE">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3）管道外保护层按膨胀方向设置的滑动连接，接口应符合下列规定:中低温管道滑动连接接口设置间距宜为4m~6m，搭接尺寸宜为 75mm~90mm。弯头与直管接口处滑动连接，搭接尺寸应为100mm~150mm。滑动搭接处不得安装固定件且不应出现张口。管道外保护层的环向、纵向搭接处应做凸筋结构。</w:t>
      </w:r>
    </w:p>
    <w:p w14:paraId="5E49D76F">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4）管道弯头外保护层施工应符合规定:分节数应能满足内外弧线圆滑过渡的要求，环向接缝应采用正、反凸筋嵌接，内外弧均应设置拉筋。保温后外径大于或等于 500mm的弯头外保护层分节片搭接尺寸应为 10mm~20mm，宜采用双自攻螺钉固定。</w:t>
      </w:r>
    </w:p>
    <w:p w14:paraId="066C39F0">
      <w:pPr>
        <w:pStyle w:val="3"/>
        <w:snapToGrid w:val="0"/>
        <w:spacing w:afterLines="0" w:line="360" w:lineRule="auto"/>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五、</w:t>
      </w:r>
      <w:r>
        <w:rPr>
          <w:rFonts w:hint="eastAsia" w:ascii="宋体" w:hAnsi="宋体" w:eastAsia="宋体" w:cs="宋体"/>
          <w:snapToGrid w:val="0"/>
          <w:color w:val="auto"/>
          <w:sz w:val="21"/>
          <w:szCs w:val="21"/>
          <w:highlight w:val="none"/>
        </w:rPr>
        <w:t>安全文明施工与环境保护</w:t>
      </w:r>
    </w:p>
    <w:p w14:paraId="12049BC8">
      <w:pPr>
        <w:widowControl w:val="0"/>
        <w:kinsoku/>
        <w:autoSpaceDE/>
        <w:autoSpaceDN/>
        <w:adjustRightInd w:val="0"/>
        <w:snapToGrid w:val="0"/>
        <w:spacing w:before="0" w:afterLines="0" w:line="360" w:lineRule="auto"/>
        <w:ind w:right="0" w:firstLine="480"/>
        <w:jc w:val="both"/>
        <w:textAlignment w:val="auto"/>
        <w:rPr>
          <w:rFonts w:hint="eastAsia" w:ascii="宋体" w:hAnsi="宋体" w:eastAsia="宋体" w:cs="宋体"/>
          <w:snapToGrid/>
          <w:color w:val="auto"/>
          <w:sz w:val="21"/>
          <w:szCs w:val="21"/>
          <w:highlight w:val="none"/>
        </w:rPr>
      </w:pPr>
      <w:r>
        <w:rPr>
          <w:rFonts w:hint="eastAsia" w:ascii="宋体" w:hAnsi="宋体" w:eastAsia="宋体" w:cs="宋体"/>
          <w:snapToGrid/>
          <w:color w:val="auto"/>
          <w:sz w:val="21"/>
          <w:szCs w:val="21"/>
          <w:highlight w:val="none"/>
        </w:rPr>
        <w:t>5.1</w:t>
      </w:r>
      <w:r>
        <w:rPr>
          <w:rFonts w:hint="eastAsia" w:ascii="宋体" w:hAnsi="宋体" w:eastAsia="宋体" w:cs="宋体"/>
          <w:snapToGrid/>
          <w:color w:val="auto"/>
          <w:sz w:val="21"/>
          <w:szCs w:val="21"/>
          <w:highlight w:val="none"/>
          <w:lang w:eastAsia="zh-CN"/>
        </w:rPr>
        <w:t>乙方</w:t>
      </w:r>
      <w:r>
        <w:rPr>
          <w:rFonts w:hint="eastAsia" w:ascii="宋体" w:hAnsi="宋体" w:eastAsia="宋体" w:cs="宋体"/>
          <w:snapToGrid/>
          <w:color w:val="auto"/>
          <w:sz w:val="21"/>
          <w:szCs w:val="21"/>
          <w:highlight w:val="none"/>
        </w:rPr>
        <w:t>必须严格贯彻国家有关安全生产的方针、政策、规定及</w:t>
      </w:r>
      <w:r>
        <w:rPr>
          <w:rFonts w:hint="eastAsia" w:ascii="宋体" w:hAnsi="宋体" w:eastAsia="宋体" w:cs="宋体"/>
          <w:snapToGrid/>
          <w:color w:val="auto"/>
          <w:sz w:val="21"/>
          <w:szCs w:val="21"/>
          <w:highlight w:val="none"/>
          <w:lang w:eastAsia="zh-CN"/>
        </w:rPr>
        <w:t>甲方</w:t>
      </w:r>
      <w:r>
        <w:rPr>
          <w:rFonts w:hint="eastAsia" w:ascii="宋体" w:hAnsi="宋体" w:eastAsia="宋体" w:cs="宋体"/>
          <w:snapToGrid/>
          <w:color w:val="auto"/>
          <w:sz w:val="21"/>
          <w:szCs w:val="21"/>
          <w:highlight w:val="none"/>
        </w:rPr>
        <w:t>有关安全、文明施工及环境保护</w:t>
      </w:r>
      <w:r>
        <w:rPr>
          <w:rFonts w:hint="eastAsia" w:ascii="宋体" w:hAnsi="宋体" w:eastAsia="宋体" w:cs="宋体"/>
          <w:snapToGrid/>
          <w:color w:val="auto"/>
          <w:spacing w:val="0"/>
          <w:sz w:val="21"/>
          <w:szCs w:val="21"/>
          <w:highlight w:val="none"/>
        </w:rPr>
        <w:t xml:space="preserve"> 的规定，把“安全第一，预防为主</w:t>
      </w:r>
      <w:r>
        <w:rPr>
          <w:rFonts w:hint="eastAsia" w:ascii="宋体" w:hAnsi="宋体" w:cs="宋体"/>
          <w:snapToGrid/>
          <w:color w:val="auto"/>
          <w:spacing w:val="0"/>
          <w:sz w:val="21"/>
          <w:szCs w:val="21"/>
          <w:highlight w:val="none"/>
          <w:lang w:eastAsia="zh-CN"/>
        </w:rPr>
        <w:t>，</w:t>
      </w:r>
      <w:r>
        <w:rPr>
          <w:rFonts w:hint="eastAsia" w:ascii="宋体" w:hAnsi="宋体" w:cs="宋体"/>
          <w:snapToGrid/>
          <w:color w:val="auto"/>
          <w:spacing w:val="0"/>
          <w:sz w:val="21"/>
          <w:szCs w:val="21"/>
          <w:highlight w:val="none"/>
          <w:lang w:val="en-US" w:eastAsia="zh-CN"/>
        </w:rPr>
        <w:t>综合治理</w:t>
      </w:r>
      <w:r>
        <w:rPr>
          <w:rFonts w:hint="eastAsia" w:ascii="宋体" w:hAnsi="宋体" w:eastAsia="宋体" w:cs="宋体"/>
          <w:snapToGrid/>
          <w:color w:val="auto"/>
          <w:spacing w:val="0"/>
          <w:sz w:val="21"/>
          <w:szCs w:val="21"/>
          <w:highlight w:val="none"/>
        </w:rPr>
        <w:t>”的安全生产方针落实到施工管理中，建立健全安全文明施工管理网络。</w:t>
      </w:r>
    </w:p>
    <w:p w14:paraId="49AD2845">
      <w:pPr>
        <w:widowControl w:val="0"/>
        <w:kinsoku/>
        <w:autoSpaceDE/>
        <w:autoSpaceDN/>
        <w:adjustRightInd w:val="0"/>
        <w:snapToGrid w:val="0"/>
        <w:spacing w:before="0" w:afterLines="0" w:line="360" w:lineRule="auto"/>
        <w:ind w:right="0" w:firstLine="480"/>
        <w:jc w:val="both"/>
        <w:textAlignment w:val="auto"/>
        <w:rPr>
          <w:rFonts w:hint="eastAsia" w:ascii="宋体" w:hAnsi="宋体" w:eastAsia="宋体" w:cs="宋体"/>
          <w:snapToGrid/>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snapToGrid/>
          <w:color w:val="auto"/>
          <w:spacing w:val="0"/>
          <w:sz w:val="21"/>
          <w:szCs w:val="21"/>
          <w:highlight w:val="none"/>
        </w:rPr>
        <w:t>.2</w:t>
      </w:r>
      <w:r>
        <w:rPr>
          <w:rFonts w:hint="eastAsia" w:ascii="宋体" w:hAnsi="宋体" w:eastAsia="宋体" w:cs="宋体"/>
          <w:snapToGrid/>
          <w:color w:val="auto"/>
          <w:spacing w:val="0"/>
          <w:sz w:val="21"/>
          <w:szCs w:val="21"/>
          <w:highlight w:val="none"/>
          <w:lang w:eastAsia="zh-CN"/>
        </w:rPr>
        <w:t>乙方</w:t>
      </w:r>
      <w:r>
        <w:rPr>
          <w:rFonts w:hint="eastAsia" w:ascii="宋体" w:hAnsi="宋体" w:eastAsia="宋体" w:cs="宋体"/>
          <w:snapToGrid/>
          <w:color w:val="auto"/>
          <w:spacing w:val="0"/>
          <w:sz w:val="21"/>
          <w:szCs w:val="21"/>
          <w:highlight w:val="none"/>
        </w:rPr>
        <w:t>负责施工现场的安全及第三方人身安全，工程开工前按国家有关规定要求提交安全施工措施； 工程开工前3日内购买工人不低于150万人身意外伤害保险，</w:t>
      </w:r>
      <w:r>
        <w:rPr>
          <w:rFonts w:hint="eastAsia" w:ascii="宋体" w:hAnsi="宋体" w:eastAsia="宋体" w:cs="宋体"/>
          <w:snapToGrid/>
          <w:color w:val="auto"/>
          <w:spacing w:val="0"/>
          <w:sz w:val="21"/>
          <w:szCs w:val="21"/>
          <w:highlight w:val="none"/>
          <w:lang w:eastAsia="zh-CN"/>
        </w:rPr>
        <w:t>乙方</w:t>
      </w:r>
      <w:r>
        <w:rPr>
          <w:rFonts w:hint="eastAsia" w:ascii="宋体" w:hAnsi="宋体" w:eastAsia="宋体" w:cs="宋体"/>
          <w:snapToGrid/>
          <w:color w:val="auto"/>
          <w:spacing w:val="0"/>
          <w:sz w:val="21"/>
          <w:szCs w:val="21"/>
          <w:highlight w:val="none"/>
        </w:rPr>
        <w:t>与现场施工人员必须签订劳动合同，并办理工伤保险。</w:t>
      </w:r>
    </w:p>
    <w:p w14:paraId="03016AA3">
      <w:pPr>
        <w:widowControl w:val="0"/>
        <w:kinsoku/>
        <w:autoSpaceDE/>
        <w:autoSpaceDN/>
        <w:adjustRightInd w:val="0"/>
        <w:snapToGrid w:val="0"/>
        <w:spacing w:before="0" w:afterLines="0" w:line="360" w:lineRule="auto"/>
        <w:ind w:firstLine="480"/>
        <w:jc w:val="both"/>
        <w:textAlignment w:val="auto"/>
        <w:rPr>
          <w:rFonts w:hint="eastAsia" w:ascii="宋体" w:hAnsi="宋体" w:eastAsia="宋体" w:cs="宋体"/>
          <w:snapToGrid/>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snapToGrid/>
          <w:color w:val="auto"/>
          <w:spacing w:val="0"/>
          <w:sz w:val="21"/>
          <w:szCs w:val="21"/>
          <w:highlight w:val="none"/>
        </w:rPr>
        <w:t>.3</w:t>
      </w:r>
      <w:r>
        <w:rPr>
          <w:rFonts w:hint="eastAsia" w:ascii="宋体" w:hAnsi="宋体" w:eastAsia="宋体" w:cs="宋体"/>
          <w:snapToGrid/>
          <w:color w:val="auto"/>
          <w:spacing w:val="0"/>
          <w:sz w:val="21"/>
          <w:szCs w:val="21"/>
          <w:highlight w:val="none"/>
          <w:lang w:eastAsia="zh-CN"/>
        </w:rPr>
        <w:t>乙方</w:t>
      </w:r>
      <w:r>
        <w:rPr>
          <w:rFonts w:hint="eastAsia" w:ascii="宋体" w:hAnsi="宋体" w:eastAsia="宋体" w:cs="宋体"/>
          <w:snapToGrid/>
          <w:color w:val="auto"/>
          <w:spacing w:val="0"/>
          <w:sz w:val="21"/>
          <w:szCs w:val="21"/>
          <w:highlight w:val="none"/>
        </w:rPr>
        <w:t>须严格按安全标准组织施工，并随时接受</w:t>
      </w:r>
      <w:r>
        <w:rPr>
          <w:rFonts w:hint="eastAsia" w:ascii="宋体" w:hAnsi="宋体" w:eastAsia="宋体" w:cs="宋体"/>
          <w:snapToGrid/>
          <w:color w:val="auto"/>
          <w:spacing w:val="0"/>
          <w:sz w:val="21"/>
          <w:szCs w:val="21"/>
          <w:highlight w:val="none"/>
          <w:lang w:eastAsia="zh-CN"/>
        </w:rPr>
        <w:t>甲方</w:t>
      </w:r>
      <w:r>
        <w:rPr>
          <w:rFonts w:hint="eastAsia" w:ascii="宋体" w:hAnsi="宋体" w:eastAsia="宋体" w:cs="宋体"/>
          <w:snapToGrid/>
          <w:color w:val="auto"/>
          <w:spacing w:val="0"/>
          <w:sz w:val="21"/>
          <w:szCs w:val="21"/>
          <w:highlight w:val="none"/>
        </w:rPr>
        <w:t>或行业安全检查人员依照法规实施的监督检查，</w:t>
      </w:r>
      <w:r>
        <w:rPr>
          <w:rFonts w:hint="eastAsia" w:ascii="宋体" w:hAnsi="宋体" w:eastAsia="宋体" w:cs="宋体"/>
          <w:snapToGrid/>
          <w:color w:val="auto"/>
          <w:sz w:val="21"/>
          <w:szCs w:val="21"/>
          <w:highlight w:val="none"/>
        </w:rPr>
        <w:t xml:space="preserve"> </w:t>
      </w:r>
      <w:r>
        <w:rPr>
          <w:rFonts w:hint="eastAsia" w:ascii="宋体" w:hAnsi="宋体" w:eastAsia="宋体" w:cs="宋体"/>
          <w:snapToGrid/>
          <w:color w:val="auto"/>
          <w:spacing w:val="0"/>
          <w:sz w:val="21"/>
          <w:szCs w:val="21"/>
          <w:highlight w:val="none"/>
        </w:rPr>
        <w:t>采取必要的安全防范措施，发现隐患，及时地进行整改。由于</w:t>
      </w:r>
      <w:r>
        <w:rPr>
          <w:rFonts w:hint="eastAsia" w:ascii="宋体" w:hAnsi="宋体" w:eastAsia="宋体" w:cs="宋体"/>
          <w:snapToGrid/>
          <w:color w:val="auto"/>
          <w:spacing w:val="0"/>
          <w:sz w:val="21"/>
          <w:szCs w:val="21"/>
          <w:highlight w:val="none"/>
          <w:lang w:eastAsia="zh-CN"/>
        </w:rPr>
        <w:t>乙方</w:t>
      </w:r>
      <w:r>
        <w:rPr>
          <w:rFonts w:hint="eastAsia" w:ascii="宋体" w:hAnsi="宋体" w:eastAsia="宋体" w:cs="宋体"/>
          <w:snapToGrid/>
          <w:color w:val="auto"/>
          <w:spacing w:val="0"/>
          <w:sz w:val="21"/>
          <w:szCs w:val="21"/>
          <w:highlight w:val="none"/>
        </w:rPr>
        <w:t>原因造成的安全事故及由此引起的经济损</w:t>
      </w:r>
      <w:r>
        <w:rPr>
          <w:rFonts w:hint="eastAsia" w:ascii="宋体" w:hAnsi="宋体" w:eastAsia="宋体" w:cs="宋体"/>
          <w:snapToGrid/>
          <w:color w:val="auto"/>
          <w:sz w:val="21"/>
          <w:szCs w:val="21"/>
          <w:highlight w:val="none"/>
        </w:rPr>
        <w:t xml:space="preserve">  </w:t>
      </w:r>
      <w:r>
        <w:rPr>
          <w:rFonts w:hint="eastAsia" w:ascii="宋体" w:hAnsi="宋体" w:eastAsia="宋体" w:cs="宋体"/>
          <w:snapToGrid/>
          <w:color w:val="auto"/>
          <w:spacing w:val="0"/>
          <w:sz w:val="21"/>
          <w:szCs w:val="21"/>
          <w:highlight w:val="none"/>
        </w:rPr>
        <w:t>失，所有责任均由</w:t>
      </w:r>
      <w:r>
        <w:rPr>
          <w:rFonts w:hint="eastAsia" w:ascii="宋体" w:hAnsi="宋体" w:eastAsia="宋体" w:cs="宋体"/>
          <w:snapToGrid/>
          <w:color w:val="auto"/>
          <w:spacing w:val="0"/>
          <w:sz w:val="21"/>
          <w:szCs w:val="21"/>
          <w:highlight w:val="none"/>
          <w:lang w:eastAsia="zh-CN"/>
        </w:rPr>
        <w:t>乙方</w:t>
      </w:r>
      <w:r>
        <w:rPr>
          <w:rFonts w:hint="eastAsia" w:ascii="宋体" w:hAnsi="宋体" w:eastAsia="宋体" w:cs="宋体"/>
          <w:snapToGrid/>
          <w:color w:val="auto"/>
          <w:spacing w:val="0"/>
          <w:sz w:val="21"/>
          <w:szCs w:val="21"/>
          <w:highlight w:val="none"/>
        </w:rPr>
        <w:t>承担；由于</w:t>
      </w:r>
      <w:r>
        <w:rPr>
          <w:rFonts w:hint="eastAsia" w:ascii="宋体" w:hAnsi="宋体" w:eastAsia="宋体" w:cs="宋体"/>
          <w:snapToGrid/>
          <w:color w:val="auto"/>
          <w:spacing w:val="0"/>
          <w:sz w:val="21"/>
          <w:szCs w:val="21"/>
          <w:highlight w:val="none"/>
          <w:lang w:eastAsia="zh-CN"/>
        </w:rPr>
        <w:t>乙方</w:t>
      </w:r>
      <w:r>
        <w:rPr>
          <w:rFonts w:hint="eastAsia" w:ascii="宋体" w:hAnsi="宋体" w:eastAsia="宋体" w:cs="宋体"/>
          <w:snapToGrid/>
          <w:color w:val="auto"/>
          <w:spacing w:val="0"/>
          <w:sz w:val="21"/>
          <w:szCs w:val="21"/>
          <w:highlight w:val="none"/>
        </w:rPr>
        <w:t>原因造成</w:t>
      </w:r>
      <w:r>
        <w:rPr>
          <w:rFonts w:hint="eastAsia" w:ascii="宋体" w:hAnsi="宋体" w:eastAsia="宋体" w:cs="宋体"/>
          <w:snapToGrid/>
          <w:color w:val="auto"/>
          <w:spacing w:val="0"/>
          <w:sz w:val="21"/>
          <w:szCs w:val="21"/>
          <w:highlight w:val="none"/>
          <w:lang w:eastAsia="zh-CN"/>
        </w:rPr>
        <w:t>甲方</w:t>
      </w:r>
      <w:r>
        <w:rPr>
          <w:rFonts w:hint="eastAsia" w:ascii="宋体" w:hAnsi="宋体" w:eastAsia="宋体" w:cs="宋体"/>
          <w:snapToGrid/>
          <w:color w:val="auto"/>
          <w:spacing w:val="0"/>
          <w:sz w:val="21"/>
          <w:szCs w:val="21"/>
          <w:highlight w:val="none"/>
        </w:rPr>
        <w:t>承担业主的经济损失则由全部由</w:t>
      </w:r>
      <w:r>
        <w:rPr>
          <w:rFonts w:hint="eastAsia" w:ascii="宋体" w:hAnsi="宋体" w:eastAsia="宋体" w:cs="宋体"/>
          <w:snapToGrid/>
          <w:color w:val="auto"/>
          <w:spacing w:val="0"/>
          <w:sz w:val="21"/>
          <w:szCs w:val="21"/>
          <w:highlight w:val="none"/>
          <w:lang w:eastAsia="zh-CN"/>
        </w:rPr>
        <w:t>乙方</w:t>
      </w:r>
      <w:r>
        <w:rPr>
          <w:rFonts w:hint="eastAsia" w:ascii="宋体" w:hAnsi="宋体" w:eastAsia="宋体" w:cs="宋体"/>
          <w:snapToGrid/>
          <w:color w:val="auto"/>
          <w:spacing w:val="0"/>
          <w:sz w:val="21"/>
          <w:szCs w:val="21"/>
          <w:highlight w:val="none"/>
        </w:rPr>
        <w:t>承担。</w:t>
      </w:r>
    </w:p>
    <w:p w14:paraId="568CAC5F">
      <w:pPr>
        <w:snapToGrid w:val="0"/>
        <w:spacing w:before="0" w:afterLines="0" w:line="360" w:lineRule="auto"/>
        <w:ind w:left="0" w:right="0" w:firstLine="480"/>
        <w:rPr>
          <w:rFonts w:hint="eastAsia" w:ascii="宋体" w:hAnsi="宋体" w:eastAsia="宋体" w:cs="宋体"/>
          <w:snapToGrid/>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snapToGrid/>
          <w:color w:val="auto"/>
          <w:sz w:val="21"/>
          <w:szCs w:val="21"/>
          <w:highlight w:val="none"/>
        </w:rPr>
        <w:t>.4工程施工过程中，</w:t>
      </w:r>
      <w:r>
        <w:rPr>
          <w:rFonts w:hint="eastAsia" w:ascii="宋体" w:hAnsi="宋体" w:eastAsia="宋体" w:cs="宋体"/>
          <w:snapToGrid/>
          <w:color w:val="auto"/>
          <w:sz w:val="21"/>
          <w:szCs w:val="21"/>
          <w:highlight w:val="none"/>
          <w:lang w:eastAsia="zh-CN"/>
        </w:rPr>
        <w:t>乙方</w:t>
      </w:r>
      <w:r>
        <w:rPr>
          <w:rFonts w:hint="eastAsia" w:ascii="宋体" w:hAnsi="宋体" w:eastAsia="宋体" w:cs="宋体"/>
          <w:snapToGrid/>
          <w:color w:val="auto"/>
          <w:sz w:val="21"/>
          <w:szCs w:val="21"/>
          <w:highlight w:val="none"/>
        </w:rPr>
        <w:t>应保持施工现场及周边环境的清洁，设备、材料堆放应整齐有序，做到“工 完、料尽、场地清”,搞好文明施工和环境保护，已完工的施工项目在试运移交前负责成品保管。若</w:t>
      </w:r>
      <w:r>
        <w:rPr>
          <w:rFonts w:hint="eastAsia" w:ascii="宋体" w:hAnsi="宋体" w:eastAsia="宋体" w:cs="宋体"/>
          <w:snapToGrid/>
          <w:color w:val="auto"/>
          <w:sz w:val="21"/>
          <w:szCs w:val="21"/>
          <w:highlight w:val="none"/>
          <w:lang w:eastAsia="zh-CN"/>
        </w:rPr>
        <w:t>乙方</w:t>
      </w:r>
      <w:r>
        <w:rPr>
          <w:rFonts w:hint="eastAsia" w:ascii="宋体" w:hAnsi="宋体" w:eastAsia="宋体" w:cs="宋体"/>
          <w:snapToGrid/>
          <w:color w:val="auto"/>
          <w:sz w:val="21"/>
          <w:szCs w:val="21"/>
          <w:highlight w:val="none"/>
        </w:rPr>
        <w:t>不及时清理垃圾、废料和临时设施，</w:t>
      </w:r>
      <w:r>
        <w:rPr>
          <w:rFonts w:hint="eastAsia" w:ascii="宋体" w:hAnsi="宋体" w:eastAsia="宋体" w:cs="宋体"/>
          <w:snapToGrid/>
          <w:color w:val="auto"/>
          <w:sz w:val="21"/>
          <w:szCs w:val="21"/>
          <w:highlight w:val="none"/>
          <w:lang w:eastAsia="zh-CN"/>
        </w:rPr>
        <w:t>甲方</w:t>
      </w:r>
      <w:r>
        <w:rPr>
          <w:rFonts w:hint="eastAsia" w:ascii="宋体" w:hAnsi="宋体" w:eastAsia="宋体" w:cs="宋体"/>
          <w:snapToGrid/>
          <w:color w:val="auto"/>
          <w:sz w:val="21"/>
          <w:szCs w:val="21"/>
          <w:highlight w:val="none"/>
        </w:rPr>
        <w:t>有权委托其他方清理，费用从工程结算款中扣除。</w:t>
      </w:r>
    </w:p>
    <w:p w14:paraId="14E98F90">
      <w:pPr>
        <w:snapToGrid w:val="0"/>
        <w:spacing w:before="0" w:afterLines="0" w:line="360" w:lineRule="auto"/>
        <w:ind w:left="0" w:right="0" w:firstLine="480"/>
        <w:rPr>
          <w:rFonts w:hint="eastAsia" w:ascii="宋体" w:hAnsi="宋体" w:eastAsia="宋体" w:cs="宋体"/>
          <w:snapToGrid/>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snapToGrid/>
          <w:color w:val="auto"/>
          <w:sz w:val="21"/>
          <w:szCs w:val="21"/>
          <w:highlight w:val="none"/>
        </w:rPr>
        <w:t>.5</w:t>
      </w:r>
      <w:r>
        <w:rPr>
          <w:rFonts w:hint="eastAsia" w:ascii="宋体" w:hAnsi="宋体" w:eastAsia="宋体" w:cs="宋体"/>
          <w:snapToGrid/>
          <w:color w:val="auto"/>
          <w:sz w:val="21"/>
          <w:szCs w:val="21"/>
          <w:highlight w:val="none"/>
          <w:lang w:eastAsia="zh-CN"/>
        </w:rPr>
        <w:t>乙方</w:t>
      </w:r>
      <w:r>
        <w:rPr>
          <w:rFonts w:hint="eastAsia" w:ascii="宋体" w:hAnsi="宋体" w:eastAsia="宋体" w:cs="宋体"/>
          <w:snapToGrid/>
          <w:color w:val="auto"/>
          <w:sz w:val="21"/>
          <w:szCs w:val="21"/>
          <w:highlight w:val="none"/>
        </w:rPr>
        <w:t>负责人是安全施工第一责任者，对</w:t>
      </w:r>
      <w:r>
        <w:rPr>
          <w:rFonts w:hint="eastAsia" w:ascii="宋体" w:hAnsi="宋体" w:eastAsia="宋体" w:cs="宋体"/>
          <w:snapToGrid/>
          <w:color w:val="auto"/>
          <w:sz w:val="21"/>
          <w:szCs w:val="21"/>
          <w:highlight w:val="none"/>
          <w:lang w:eastAsia="zh-CN"/>
        </w:rPr>
        <w:t>乙方</w:t>
      </w:r>
      <w:r>
        <w:rPr>
          <w:rFonts w:hint="eastAsia" w:ascii="宋体" w:hAnsi="宋体" w:eastAsia="宋体" w:cs="宋体"/>
          <w:snapToGrid/>
          <w:color w:val="auto"/>
          <w:sz w:val="21"/>
          <w:szCs w:val="21"/>
          <w:highlight w:val="none"/>
        </w:rPr>
        <w:t>人员的安全负责，</w:t>
      </w:r>
      <w:r>
        <w:rPr>
          <w:rFonts w:hint="eastAsia" w:ascii="宋体" w:hAnsi="宋体" w:eastAsia="宋体" w:cs="宋体"/>
          <w:snapToGrid/>
          <w:color w:val="auto"/>
          <w:sz w:val="21"/>
          <w:szCs w:val="21"/>
          <w:highlight w:val="none"/>
          <w:lang w:eastAsia="zh-CN"/>
        </w:rPr>
        <w:t>乙方</w:t>
      </w:r>
      <w:r>
        <w:rPr>
          <w:rFonts w:hint="eastAsia" w:ascii="宋体" w:hAnsi="宋体" w:eastAsia="宋体" w:cs="宋体"/>
          <w:snapToGrid/>
          <w:color w:val="auto"/>
          <w:sz w:val="21"/>
          <w:szCs w:val="21"/>
          <w:highlight w:val="none"/>
        </w:rPr>
        <w:t>必须按照规定为施工人员配备应有的劳动保护用品、用具，</w:t>
      </w:r>
      <w:r>
        <w:rPr>
          <w:rFonts w:hint="eastAsia" w:ascii="宋体" w:hAnsi="宋体" w:eastAsia="宋体" w:cs="宋体"/>
          <w:snapToGrid/>
          <w:color w:val="auto"/>
          <w:sz w:val="21"/>
          <w:szCs w:val="21"/>
          <w:highlight w:val="none"/>
          <w:lang w:eastAsia="zh-CN"/>
        </w:rPr>
        <w:t>乙方</w:t>
      </w:r>
      <w:r>
        <w:rPr>
          <w:rFonts w:hint="eastAsia" w:ascii="宋体" w:hAnsi="宋体" w:eastAsia="宋体" w:cs="宋体"/>
          <w:snapToGrid/>
          <w:color w:val="auto"/>
          <w:sz w:val="21"/>
          <w:szCs w:val="21"/>
          <w:highlight w:val="none"/>
        </w:rPr>
        <w:t>有30人及以上施工时，应设立专职安全员(具有资格证及一定的现场管 理经验),少于30人时应设兼职安全员。</w:t>
      </w:r>
    </w:p>
    <w:p w14:paraId="249A00E3">
      <w:pPr>
        <w:snapToGrid w:val="0"/>
        <w:spacing w:before="0" w:afterLines="0" w:line="360" w:lineRule="auto"/>
        <w:ind w:left="0" w:right="0" w:firstLine="480"/>
        <w:rPr>
          <w:rFonts w:hint="eastAsia" w:ascii="宋体" w:hAnsi="宋体" w:eastAsia="宋体" w:cs="宋体"/>
          <w:snapToGrid/>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snapToGrid/>
          <w:color w:val="auto"/>
          <w:sz w:val="21"/>
          <w:szCs w:val="21"/>
          <w:highlight w:val="none"/>
        </w:rPr>
        <w:t>.6</w:t>
      </w:r>
      <w:r>
        <w:rPr>
          <w:rFonts w:hint="eastAsia" w:ascii="宋体" w:hAnsi="宋体" w:eastAsia="宋体" w:cs="宋体"/>
          <w:snapToGrid/>
          <w:color w:val="auto"/>
          <w:sz w:val="21"/>
          <w:szCs w:val="21"/>
          <w:highlight w:val="none"/>
          <w:lang w:eastAsia="zh-CN"/>
        </w:rPr>
        <w:t>乙方</w:t>
      </w:r>
      <w:r>
        <w:rPr>
          <w:rFonts w:hint="eastAsia" w:ascii="宋体" w:hAnsi="宋体" w:eastAsia="宋体" w:cs="宋体"/>
          <w:snapToGrid/>
          <w:color w:val="auto"/>
          <w:sz w:val="21"/>
          <w:szCs w:val="21"/>
          <w:highlight w:val="none"/>
        </w:rPr>
        <w:t>必须为其现场管理人员和施工人员提供必须的、质量符合有关规定的安全防护用品和用具，确 保其施工人员的人身安全和健康。</w:t>
      </w:r>
    </w:p>
    <w:p w14:paraId="5157E5B8">
      <w:pPr>
        <w:snapToGrid w:val="0"/>
        <w:spacing w:before="0" w:afterLines="0" w:line="360" w:lineRule="auto"/>
        <w:ind w:left="0" w:right="0" w:firstLine="480"/>
        <w:rPr>
          <w:rFonts w:hint="eastAsia" w:ascii="宋体" w:hAnsi="宋体" w:eastAsia="宋体" w:cs="宋体"/>
          <w:snapToGrid/>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snapToGrid/>
          <w:color w:val="auto"/>
          <w:sz w:val="21"/>
          <w:szCs w:val="21"/>
          <w:highlight w:val="none"/>
        </w:rPr>
        <w:t>.7对由于不可抗力引起的事故或损失，根据双方各自的职责，各自承担相应的责任及损失，同时双方应 尽最大的努力减少损失，由于不可抗力而不能达到合同目的或合同无法履行，双方可书面解除合同。</w:t>
      </w:r>
    </w:p>
    <w:p w14:paraId="4BF0BAF7">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snapToGrid w:val="0"/>
          <w:color w:val="auto"/>
          <w:sz w:val="21"/>
          <w:szCs w:val="21"/>
          <w:highlight w:val="none"/>
        </w:rPr>
        <w:t>.8</w:t>
      </w:r>
      <w:r>
        <w:rPr>
          <w:rFonts w:hint="eastAsia" w:ascii="宋体" w:hAnsi="宋体" w:eastAsia="宋体" w:cs="宋体"/>
          <w:snapToGrid w:val="0"/>
          <w:color w:val="auto"/>
          <w:sz w:val="21"/>
          <w:szCs w:val="21"/>
          <w:highlight w:val="none"/>
          <w:lang w:eastAsia="zh-CN"/>
        </w:rPr>
        <w:t>乙方</w:t>
      </w:r>
      <w:r>
        <w:rPr>
          <w:rFonts w:hint="eastAsia" w:ascii="宋体" w:hAnsi="宋体" w:eastAsia="宋体" w:cs="宋体"/>
          <w:snapToGrid w:val="0"/>
          <w:color w:val="auto"/>
          <w:sz w:val="21"/>
          <w:szCs w:val="21"/>
          <w:highlight w:val="none"/>
        </w:rPr>
        <w:t>应</w:t>
      </w:r>
      <w:r>
        <w:rPr>
          <w:rFonts w:hint="eastAsia" w:ascii="宋体" w:hAnsi="宋体" w:eastAsia="宋体" w:cs="宋体"/>
          <w:color w:val="auto"/>
          <w:sz w:val="21"/>
          <w:szCs w:val="21"/>
          <w:highlight w:val="none"/>
        </w:rPr>
        <w:t>于开工</w:t>
      </w:r>
      <w:r>
        <w:rPr>
          <w:rFonts w:hint="eastAsia" w:ascii="宋体" w:hAnsi="宋体" w:eastAsia="宋体" w:cs="宋体"/>
          <w:snapToGrid w:val="0"/>
          <w:color w:val="auto"/>
          <w:sz w:val="21"/>
          <w:szCs w:val="21"/>
          <w:highlight w:val="none"/>
        </w:rPr>
        <w:t>前三天</w:t>
      </w:r>
      <w:r>
        <w:rPr>
          <w:rFonts w:hint="eastAsia" w:ascii="宋体" w:hAnsi="宋体" w:eastAsia="宋体" w:cs="宋体"/>
          <w:color w:val="auto"/>
          <w:sz w:val="21"/>
          <w:szCs w:val="21"/>
          <w:highlight w:val="none"/>
        </w:rPr>
        <w:t>至广青科技金属有限公司办理安全施工许可证，并提供员工个人体检报告（一年期内体检报告均有效）。</w:t>
      </w:r>
    </w:p>
    <w:p w14:paraId="7674FB7E">
      <w:pPr>
        <w:pStyle w:val="3"/>
        <w:snapToGrid w:val="0"/>
        <w:spacing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六、供货范围（</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必须仔细阅读本技术规范书之三、施工工程量中备注内容，内有</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供货基本范围。另，</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供货的材质等技术要求详见以下清单。本清单的数量和范围仅为基本要求，以</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需核实本次</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的图纸等参考文件，凡有遗漏、短缺均为</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199"/>
        <w:gridCol w:w="1559"/>
        <w:gridCol w:w="626"/>
        <w:gridCol w:w="883"/>
        <w:gridCol w:w="3169"/>
      </w:tblGrid>
      <w:tr w14:paraId="4D687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4DBC2F8F">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99" w:type="dxa"/>
          </w:tcPr>
          <w:p w14:paraId="3927210D">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1559" w:type="dxa"/>
          </w:tcPr>
          <w:p w14:paraId="7DB6B1EB">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626" w:type="dxa"/>
          </w:tcPr>
          <w:p w14:paraId="05293DB6">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883" w:type="dxa"/>
          </w:tcPr>
          <w:p w14:paraId="5B94F1B9">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3169" w:type="dxa"/>
          </w:tcPr>
          <w:p w14:paraId="6BB88D4E">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7E373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7" w:type="dxa"/>
            <w:gridSpan w:val="6"/>
          </w:tcPr>
          <w:p w14:paraId="7BEB4B11">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1、保温材料</w:t>
            </w:r>
          </w:p>
        </w:tc>
      </w:tr>
      <w:tr w14:paraId="0F0FB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6E9C5C19">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99" w:type="dxa"/>
          </w:tcPr>
          <w:p w14:paraId="3207E654">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内层硅酸铝纤维毡</w:t>
            </w:r>
          </w:p>
        </w:tc>
        <w:tc>
          <w:tcPr>
            <w:tcW w:w="1559" w:type="dxa"/>
          </w:tcPr>
          <w:p w14:paraId="18DD132E">
            <w:pPr>
              <w:snapToGrid w:val="0"/>
              <w:spacing w:afterLines="0"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容重：1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 kg/m³</w:t>
            </w:r>
          </w:p>
        </w:tc>
        <w:tc>
          <w:tcPr>
            <w:tcW w:w="626" w:type="dxa"/>
          </w:tcPr>
          <w:p w14:paraId="2E24B6E8">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m³</w:t>
            </w:r>
          </w:p>
        </w:tc>
        <w:tc>
          <w:tcPr>
            <w:tcW w:w="883" w:type="dxa"/>
          </w:tcPr>
          <w:p w14:paraId="09D0BF3F">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17.8</w:t>
            </w:r>
          </w:p>
        </w:tc>
        <w:tc>
          <w:tcPr>
            <w:tcW w:w="3169" w:type="dxa"/>
          </w:tcPr>
          <w:p w14:paraId="54F3216D">
            <w:pPr>
              <w:snapToGrid w:val="0"/>
              <w:spacing w:afterLines="0"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单台=（3.7+1.3+0.25）*3.14*2.7=44.5</w:t>
            </w:r>
          </w:p>
          <w:p w14:paraId="0BF34F66">
            <w:pPr>
              <w:snapToGrid w:val="0"/>
              <w:spacing w:afterLines="0"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V</w:t>
            </w:r>
            <w:r>
              <w:rPr>
                <w:rFonts w:hint="eastAsia" w:ascii="宋体" w:hAnsi="宋体" w:eastAsia="宋体" w:cs="宋体"/>
                <w:color w:val="auto"/>
                <w:sz w:val="21"/>
                <w:szCs w:val="21"/>
                <w:highlight w:val="none"/>
                <w:vertAlign w:val="subscript"/>
              </w:rPr>
              <w:t>1</w:t>
            </w:r>
            <w:r>
              <w:rPr>
                <w:rFonts w:hint="eastAsia" w:ascii="宋体" w:hAnsi="宋体" w:eastAsia="宋体" w:cs="宋体"/>
                <w:color w:val="auto"/>
                <w:sz w:val="21"/>
                <w:szCs w:val="21"/>
                <w:highlight w:val="none"/>
              </w:rPr>
              <w:t>总=4*44.5*0.1</w:t>
            </w:r>
          </w:p>
        </w:tc>
      </w:tr>
      <w:tr w14:paraId="23F73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D5C9874">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99" w:type="dxa"/>
          </w:tcPr>
          <w:p w14:paraId="4674B96E">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第二层硅酸铝纤维毡</w:t>
            </w:r>
          </w:p>
        </w:tc>
        <w:tc>
          <w:tcPr>
            <w:tcW w:w="1559" w:type="dxa"/>
          </w:tcPr>
          <w:p w14:paraId="08997339">
            <w:pPr>
              <w:snapToGrid w:val="0"/>
              <w:spacing w:afterLines="0"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容重：130 kg/m³</w:t>
            </w:r>
          </w:p>
        </w:tc>
        <w:tc>
          <w:tcPr>
            <w:tcW w:w="626" w:type="dxa"/>
          </w:tcPr>
          <w:p w14:paraId="5301905B">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m³</w:t>
            </w:r>
          </w:p>
        </w:tc>
        <w:tc>
          <w:tcPr>
            <w:tcW w:w="883" w:type="dxa"/>
          </w:tcPr>
          <w:p w14:paraId="58654C51">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76.24</w:t>
            </w:r>
          </w:p>
        </w:tc>
        <w:tc>
          <w:tcPr>
            <w:tcW w:w="3169" w:type="dxa"/>
          </w:tcPr>
          <w:p w14:paraId="5F6D70A8">
            <w:pPr>
              <w:snapToGrid w:val="0"/>
              <w:spacing w:afterLines="0" w:line="360" w:lineRule="auto"/>
              <w:ind w:firstLine="0" w:firstLineChars="0"/>
              <w:jc w:val="left"/>
              <w:rPr>
                <w:rFonts w:hint="eastAsia" w:ascii="宋体" w:hAnsi="宋体" w:eastAsia="宋体" w:cs="宋体"/>
                <w:color w:val="auto"/>
                <w:sz w:val="21"/>
                <w:szCs w:val="21"/>
                <w:highlight w:val="none"/>
              </w:rPr>
            </w:pPr>
          </w:p>
          <w:p w14:paraId="7A2B7114">
            <w:pPr>
              <w:snapToGrid w:val="0"/>
              <w:spacing w:afterLines="0"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单台=（3.7+1.3+0.25）*3.14*2.8=46.16</w:t>
            </w:r>
          </w:p>
          <w:p w14:paraId="23D44F82">
            <w:pPr>
              <w:snapToGrid w:val="0"/>
              <w:spacing w:afterLines="0"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V</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rPr>
              <w:t>总=4*46.16*0.1+V</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rPr>
              <w:t>+V</w:t>
            </w:r>
            <w:r>
              <w:rPr>
                <w:rFonts w:hint="eastAsia" w:ascii="宋体" w:hAnsi="宋体" w:eastAsia="宋体" w:cs="宋体"/>
                <w:color w:val="auto"/>
                <w:sz w:val="21"/>
                <w:szCs w:val="21"/>
                <w:highlight w:val="none"/>
                <w:vertAlign w:val="subscript"/>
              </w:rPr>
              <w:t>3</w:t>
            </w:r>
            <w:r>
              <w:rPr>
                <w:rFonts w:hint="eastAsia" w:ascii="宋体" w:hAnsi="宋体" w:eastAsia="宋体" w:cs="宋体"/>
                <w:color w:val="auto"/>
                <w:sz w:val="21"/>
                <w:szCs w:val="21"/>
                <w:highlight w:val="none"/>
              </w:rPr>
              <w:t>+V</w:t>
            </w:r>
            <w:r>
              <w:rPr>
                <w:rFonts w:hint="eastAsia" w:ascii="宋体" w:hAnsi="宋体" w:eastAsia="宋体" w:cs="宋体"/>
                <w:color w:val="auto"/>
                <w:sz w:val="21"/>
                <w:szCs w:val="21"/>
                <w:highlight w:val="none"/>
                <w:vertAlign w:val="subscript"/>
              </w:rPr>
              <w:t>4</w:t>
            </w:r>
          </w:p>
        </w:tc>
      </w:tr>
      <w:tr w14:paraId="2300A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438D9524">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199" w:type="dxa"/>
          </w:tcPr>
          <w:p w14:paraId="3566AEAC">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铁丝网</w:t>
            </w:r>
          </w:p>
        </w:tc>
        <w:tc>
          <w:tcPr>
            <w:tcW w:w="1559" w:type="dxa"/>
          </w:tcPr>
          <w:p w14:paraId="2F339440">
            <w:pPr>
              <w:snapToGrid w:val="0"/>
              <w:spacing w:afterLines="0" w:line="360" w:lineRule="auto"/>
              <w:ind w:firstLine="0" w:firstLineChars="0"/>
              <w:jc w:val="left"/>
              <w:rPr>
                <w:rFonts w:hint="eastAsia" w:ascii="宋体" w:hAnsi="宋体" w:eastAsia="宋体" w:cs="宋体"/>
                <w:color w:val="auto"/>
                <w:sz w:val="21"/>
                <w:szCs w:val="21"/>
                <w:highlight w:val="none"/>
              </w:rPr>
            </w:pPr>
          </w:p>
        </w:tc>
        <w:tc>
          <w:tcPr>
            <w:tcW w:w="626" w:type="dxa"/>
          </w:tcPr>
          <w:p w14:paraId="208CC5B3">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883" w:type="dxa"/>
          </w:tcPr>
          <w:p w14:paraId="468F71E7">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w:t>
            </w:r>
          </w:p>
        </w:tc>
        <w:tc>
          <w:tcPr>
            <w:tcW w:w="3169" w:type="dxa"/>
          </w:tcPr>
          <w:p w14:paraId="37CE1E46">
            <w:pPr>
              <w:snapToGrid w:val="0"/>
              <w:spacing w:afterLines="0" w:line="360" w:lineRule="auto"/>
              <w:ind w:firstLine="0" w:firstLineChars="0"/>
              <w:jc w:val="both"/>
              <w:rPr>
                <w:rFonts w:hint="eastAsia" w:ascii="宋体" w:hAnsi="宋体" w:eastAsia="宋体" w:cs="宋体"/>
                <w:color w:val="auto"/>
                <w:sz w:val="21"/>
                <w:szCs w:val="21"/>
                <w:highlight w:val="none"/>
              </w:rPr>
            </w:pPr>
          </w:p>
        </w:tc>
      </w:tr>
      <w:tr w14:paraId="4619A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0E66CE54">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199" w:type="dxa"/>
          </w:tcPr>
          <w:p w14:paraId="61BE4749">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铝板</w:t>
            </w:r>
          </w:p>
        </w:tc>
        <w:tc>
          <w:tcPr>
            <w:tcW w:w="1559" w:type="dxa"/>
          </w:tcPr>
          <w:p w14:paraId="55405354">
            <w:pPr>
              <w:snapToGrid w:val="0"/>
              <w:spacing w:afterLines="0"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厚度δ=0.5mm</w:t>
            </w:r>
          </w:p>
        </w:tc>
        <w:tc>
          <w:tcPr>
            <w:tcW w:w="626" w:type="dxa"/>
          </w:tcPr>
          <w:p w14:paraId="7BEAFBC5">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883" w:type="dxa"/>
          </w:tcPr>
          <w:p w14:paraId="24565153">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c>
          <w:tcPr>
            <w:tcW w:w="3169" w:type="dxa"/>
          </w:tcPr>
          <w:p w14:paraId="71FA8140">
            <w:pPr>
              <w:snapToGrid w:val="0"/>
              <w:spacing w:afterLines="0" w:line="360" w:lineRule="auto"/>
              <w:ind w:firstLine="0" w:firstLineChars="0"/>
              <w:jc w:val="both"/>
              <w:rPr>
                <w:rFonts w:hint="eastAsia" w:ascii="宋体" w:hAnsi="宋体" w:eastAsia="宋体" w:cs="宋体"/>
                <w:color w:val="auto"/>
                <w:sz w:val="21"/>
                <w:szCs w:val="21"/>
                <w:highlight w:val="none"/>
              </w:rPr>
            </w:pPr>
          </w:p>
        </w:tc>
      </w:tr>
      <w:tr w14:paraId="0768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75C39315">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199" w:type="dxa"/>
          </w:tcPr>
          <w:p w14:paraId="18A5C00F">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铆钉、自攻螺钉</w:t>
            </w:r>
          </w:p>
        </w:tc>
        <w:tc>
          <w:tcPr>
            <w:tcW w:w="1559" w:type="dxa"/>
          </w:tcPr>
          <w:p w14:paraId="6D3A8953">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M2.5*10</w:t>
            </w:r>
          </w:p>
        </w:tc>
        <w:tc>
          <w:tcPr>
            <w:tcW w:w="626" w:type="dxa"/>
          </w:tcPr>
          <w:p w14:paraId="6027453B">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w:t>
            </w:r>
          </w:p>
        </w:tc>
        <w:tc>
          <w:tcPr>
            <w:tcW w:w="883" w:type="dxa"/>
          </w:tcPr>
          <w:p w14:paraId="4836AD6C">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满足使用</w:t>
            </w:r>
          </w:p>
        </w:tc>
        <w:tc>
          <w:tcPr>
            <w:tcW w:w="3169" w:type="dxa"/>
          </w:tcPr>
          <w:p w14:paraId="465570D6">
            <w:pPr>
              <w:snapToGrid w:val="0"/>
              <w:spacing w:afterLines="0" w:line="360" w:lineRule="auto"/>
              <w:ind w:firstLine="0" w:firstLineChars="0"/>
              <w:jc w:val="both"/>
              <w:rPr>
                <w:rFonts w:hint="eastAsia" w:ascii="宋体" w:hAnsi="宋体" w:eastAsia="宋体" w:cs="宋体"/>
                <w:color w:val="auto"/>
                <w:sz w:val="21"/>
                <w:szCs w:val="21"/>
                <w:highlight w:val="none"/>
              </w:rPr>
            </w:pPr>
          </w:p>
        </w:tc>
      </w:tr>
      <w:tr w14:paraId="67787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7A5DB066">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199" w:type="dxa"/>
          </w:tcPr>
          <w:p w14:paraId="7332DE5C">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钩钉或铁丝</w:t>
            </w:r>
          </w:p>
        </w:tc>
        <w:tc>
          <w:tcPr>
            <w:tcW w:w="1559" w:type="dxa"/>
          </w:tcPr>
          <w:p w14:paraId="59D3865C">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626" w:type="dxa"/>
          </w:tcPr>
          <w:p w14:paraId="6E397FE9">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kg</w:t>
            </w:r>
          </w:p>
        </w:tc>
        <w:tc>
          <w:tcPr>
            <w:tcW w:w="883" w:type="dxa"/>
          </w:tcPr>
          <w:p w14:paraId="4E68EE93">
            <w:pPr>
              <w:snapToGrid w:val="0"/>
              <w:spacing w:afterLines="0"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满足使用</w:t>
            </w:r>
          </w:p>
        </w:tc>
        <w:tc>
          <w:tcPr>
            <w:tcW w:w="3169" w:type="dxa"/>
          </w:tcPr>
          <w:p w14:paraId="49B631C7">
            <w:pPr>
              <w:snapToGrid w:val="0"/>
              <w:spacing w:afterLines="0" w:line="360" w:lineRule="auto"/>
              <w:ind w:firstLine="0" w:firstLineChars="0"/>
              <w:jc w:val="both"/>
              <w:rPr>
                <w:rFonts w:hint="eastAsia" w:ascii="宋体" w:hAnsi="宋体" w:eastAsia="宋体" w:cs="宋体"/>
                <w:color w:val="auto"/>
                <w:sz w:val="21"/>
                <w:szCs w:val="21"/>
                <w:highlight w:val="none"/>
              </w:rPr>
            </w:pPr>
          </w:p>
        </w:tc>
      </w:tr>
      <w:tr w14:paraId="71C29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7" w:type="dxa"/>
            <w:gridSpan w:val="6"/>
          </w:tcPr>
          <w:p w14:paraId="0A7E60DD">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2、防磨浇注材料</w:t>
            </w:r>
          </w:p>
        </w:tc>
      </w:tr>
      <w:tr w14:paraId="782D9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0CC1F93C">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199" w:type="dxa"/>
          </w:tcPr>
          <w:p w14:paraId="253313A4">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刚玉碳化硅可塑料</w:t>
            </w:r>
          </w:p>
        </w:tc>
        <w:tc>
          <w:tcPr>
            <w:tcW w:w="1559" w:type="dxa"/>
          </w:tcPr>
          <w:p w14:paraId="09D442E0">
            <w:pPr>
              <w:snapToGrid w:val="0"/>
              <w:spacing w:afterLines="0"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DL/T 902-2017</w:t>
            </w:r>
          </w:p>
        </w:tc>
        <w:tc>
          <w:tcPr>
            <w:tcW w:w="626" w:type="dxa"/>
          </w:tcPr>
          <w:p w14:paraId="58A4FEDE">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m³</w:t>
            </w:r>
          </w:p>
        </w:tc>
        <w:tc>
          <w:tcPr>
            <w:tcW w:w="883" w:type="dxa"/>
          </w:tcPr>
          <w:p w14:paraId="37D772E5">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3169" w:type="dxa"/>
          </w:tcPr>
          <w:p w14:paraId="7BC1803F">
            <w:pPr>
              <w:snapToGrid w:val="0"/>
              <w:spacing w:afterLines="0" w:line="360" w:lineRule="auto"/>
              <w:ind w:firstLine="0" w:firstLineChars="0"/>
              <w:jc w:val="both"/>
              <w:rPr>
                <w:rFonts w:hint="eastAsia" w:ascii="宋体" w:hAnsi="宋体" w:eastAsia="宋体" w:cs="宋体"/>
                <w:color w:val="auto"/>
                <w:sz w:val="21"/>
                <w:szCs w:val="21"/>
                <w:highlight w:val="none"/>
              </w:rPr>
            </w:pPr>
          </w:p>
        </w:tc>
      </w:tr>
      <w:tr w14:paraId="5C44C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3B6C4AB1">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199" w:type="dxa"/>
          </w:tcPr>
          <w:p w14:paraId="249DECDA">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抓钉</w:t>
            </w:r>
          </w:p>
        </w:tc>
        <w:tc>
          <w:tcPr>
            <w:tcW w:w="1559" w:type="dxa"/>
          </w:tcPr>
          <w:p w14:paraId="788FDF11">
            <w:pPr>
              <w:snapToGrid w:val="0"/>
              <w:spacing w:afterLines="0"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材质为310S，Y型，L=50mm</w:t>
            </w:r>
          </w:p>
        </w:tc>
        <w:tc>
          <w:tcPr>
            <w:tcW w:w="626" w:type="dxa"/>
          </w:tcPr>
          <w:p w14:paraId="3FB6A8C9">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83" w:type="dxa"/>
          </w:tcPr>
          <w:p w14:paraId="3B86C7B3">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800</w:t>
            </w:r>
          </w:p>
        </w:tc>
        <w:tc>
          <w:tcPr>
            <w:tcW w:w="3169" w:type="dxa"/>
          </w:tcPr>
          <w:p w14:paraId="5C181DC6">
            <w:pPr>
              <w:snapToGrid w:val="0"/>
              <w:spacing w:afterLines="0" w:line="360" w:lineRule="auto"/>
              <w:ind w:firstLine="0" w:firstLineChars="0"/>
              <w:jc w:val="both"/>
              <w:rPr>
                <w:rFonts w:hint="eastAsia" w:ascii="宋体" w:hAnsi="宋体" w:eastAsia="宋体" w:cs="宋体"/>
                <w:color w:val="auto"/>
                <w:sz w:val="21"/>
                <w:szCs w:val="21"/>
                <w:highlight w:val="none"/>
              </w:rPr>
            </w:pPr>
          </w:p>
        </w:tc>
      </w:tr>
      <w:tr w14:paraId="6DAE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058E483">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199" w:type="dxa"/>
          </w:tcPr>
          <w:p w14:paraId="058DF116">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沥青漆</w:t>
            </w:r>
          </w:p>
        </w:tc>
        <w:tc>
          <w:tcPr>
            <w:tcW w:w="1559" w:type="dxa"/>
          </w:tcPr>
          <w:p w14:paraId="5820CDA5">
            <w:pPr>
              <w:snapToGrid w:val="0"/>
              <w:spacing w:afterLines="0" w:line="360" w:lineRule="auto"/>
              <w:ind w:firstLine="0" w:firstLineChars="0"/>
              <w:jc w:val="both"/>
              <w:rPr>
                <w:rFonts w:hint="eastAsia" w:ascii="宋体" w:hAnsi="宋体" w:eastAsia="宋体" w:cs="宋体"/>
                <w:color w:val="auto"/>
                <w:sz w:val="21"/>
                <w:szCs w:val="21"/>
                <w:highlight w:val="none"/>
              </w:rPr>
            </w:pPr>
          </w:p>
        </w:tc>
        <w:tc>
          <w:tcPr>
            <w:tcW w:w="626" w:type="dxa"/>
          </w:tcPr>
          <w:p w14:paraId="05E87415">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kg</w:t>
            </w:r>
          </w:p>
        </w:tc>
        <w:tc>
          <w:tcPr>
            <w:tcW w:w="883" w:type="dxa"/>
          </w:tcPr>
          <w:p w14:paraId="60F5D85B">
            <w:pPr>
              <w:snapToGrid w:val="0"/>
              <w:spacing w:afterLines="0"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满足使用</w:t>
            </w:r>
          </w:p>
        </w:tc>
        <w:tc>
          <w:tcPr>
            <w:tcW w:w="3169" w:type="dxa"/>
          </w:tcPr>
          <w:p w14:paraId="57715291">
            <w:pPr>
              <w:snapToGrid w:val="0"/>
              <w:spacing w:afterLines="0" w:line="360" w:lineRule="auto"/>
              <w:ind w:firstLine="0" w:firstLineChars="0"/>
              <w:jc w:val="both"/>
              <w:rPr>
                <w:rFonts w:hint="eastAsia" w:ascii="宋体" w:hAnsi="宋体" w:eastAsia="宋体" w:cs="宋体"/>
                <w:color w:val="auto"/>
                <w:sz w:val="21"/>
                <w:szCs w:val="21"/>
                <w:highlight w:val="none"/>
              </w:rPr>
            </w:pPr>
          </w:p>
        </w:tc>
      </w:tr>
      <w:tr w14:paraId="0098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7" w:type="dxa"/>
            <w:gridSpan w:val="6"/>
          </w:tcPr>
          <w:p w14:paraId="4B4AACB8">
            <w:pPr>
              <w:snapToGrid w:val="0"/>
              <w:spacing w:afterLines="0"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3、防磨喷涂材料</w:t>
            </w:r>
          </w:p>
        </w:tc>
      </w:tr>
      <w:tr w14:paraId="09CD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0A81A0E6">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199" w:type="dxa"/>
          </w:tcPr>
          <w:p w14:paraId="29D8C35B">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喷底材料</w:t>
            </w:r>
          </w:p>
        </w:tc>
        <w:tc>
          <w:tcPr>
            <w:tcW w:w="1559" w:type="dxa"/>
          </w:tcPr>
          <w:p w14:paraId="29367BC4">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HDS955</w:t>
            </w:r>
          </w:p>
        </w:tc>
        <w:tc>
          <w:tcPr>
            <w:tcW w:w="626" w:type="dxa"/>
          </w:tcPr>
          <w:p w14:paraId="10F2051B">
            <w:pPr>
              <w:snapToGrid w:val="0"/>
              <w:spacing w:afterLines="0" w:line="360" w:lineRule="auto"/>
              <w:ind w:firstLine="0" w:firstLineChars="0"/>
              <w:jc w:val="both"/>
              <w:rPr>
                <w:rFonts w:hint="eastAsia" w:ascii="宋体" w:hAnsi="宋体" w:eastAsia="宋体" w:cs="宋体"/>
                <w:color w:val="auto"/>
                <w:sz w:val="21"/>
                <w:szCs w:val="21"/>
                <w:highlight w:val="none"/>
              </w:rPr>
            </w:pPr>
          </w:p>
        </w:tc>
        <w:tc>
          <w:tcPr>
            <w:tcW w:w="883" w:type="dxa"/>
            <w:vMerge w:val="restart"/>
          </w:tcPr>
          <w:p w14:paraId="3CA3EE76">
            <w:pPr>
              <w:snapToGrid w:val="0"/>
              <w:spacing w:afterLines="0"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总喷涂面积405平米，涂层厚度0.6-0.8mm。需满足此工程量的使用要求</w:t>
            </w:r>
          </w:p>
        </w:tc>
        <w:tc>
          <w:tcPr>
            <w:tcW w:w="3169" w:type="dxa"/>
          </w:tcPr>
          <w:p w14:paraId="5F6B4B47">
            <w:pPr>
              <w:snapToGrid w:val="0"/>
              <w:spacing w:afterLines="0" w:line="360" w:lineRule="auto"/>
              <w:ind w:firstLine="0" w:firstLineChars="0"/>
              <w:jc w:val="both"/>
              <w:rPr>
                <w:rFonts w:hint="eastAsia" w:ascii="宋体" w:hAnsi="宋体" w:eastAsia="宋体" w:cs="宋体"/>
                <w:color w:val="auto"/>
                <w:sz w:val="21"/>
                <w:szCs w:val="21"/>
                <w:highlight w:val="none"/>
              </w:rPr>
            </w:pPr>
          </w:p>
        </w:tc>
      </w:tr>
      <w:tr w14:paraId="1CF4E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561E6E2">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199" w:type="dxa"/>
          </w:tcPr>
          <w:p w14:paraId="5B667489">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工作面材料</w:t>
            </w:r>
          </w:p>
        </w:tc>
        <w:tc>
          <w:tcPr>
            <w:tcW w:w="1559" w:type="dxa"/>
          </w:tcPr>
          <w:p w14:paraId="2C0EC9C2">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HDS930</w:t>
            </w:r>
          </w:p>
        </w:tc>
        <w:tc>
          <w:tcPr>
            <w:tcW w:w="626" w:type="dxa"/>
          </w:tcPr>
          <w:p w14:paraId="315E5DAF">
            <w:pPr>
              <w:snapToGrid w:val="0"/>
              <w:spacing w:afterLines="0" w:line="360" w:lineRule="auto"/>
              <w:ind w:firstLine="0" w:firstLineChars="0"/>
              <w:jc w:val="both"/>
              <w:rPr>
                <w:rFonts w:hint="eastAsia" w:ascii="宋体" w:hAnsi="宋体" w:eastAsia="宋体" w:cs="宋体"/>
                <w:color w:val="auto"/>
                <w:sz w:val="21"/>
                <w:szCs w:val="21"/>
                <w:highlight w:val="none"/>
              </w:rPr>
            </w:pPr>
          </w:p>
        </w:tc>
        <w:tc>
          <w:tcPr>
            <w:tcW w:w="883" w:type="dxa"/>
            <w:vMerge w:val="continue"/>
          </w:tcPr>
          <w:p w14:paraId="0A619625">
            <w:pPr>
              <w:snapToGrid w:val="0"/>
              <w:spacing w:afterLines="0" w:line="360" w:lineRule="auto"/>
              <w:ind w:firstLine="480"/>
              <w:jc w:val="left"/>
              <w:rPr>
                <w:rFonts w:hint="eastAsia" w:ascii="宋体" w:hAnsi="宋体" w:eastAsia="宋体" w:cs="宋体"/>
                <w:color w:val="auto"/>
                <w:sz w:val="21"/>
                <w:szCs w:val="21"/>
                <w:highlight w:val="none"/>
              </w:rPr>
            </w:pPr>
          </w:p>
        </w:tc>
        <w:tc>
          <w:tcPr>
            <w:tcW w:w="3169" w:type="dxa"/>
          </w:tcPr>
          <w:p w14:paraId="4706560B">
            <w:pPr>
              <w:snapToGrid w:val="0"/>
              <w:spacing w:afterLines="0" w:line="360" w:lineRule="auto"/>
              <w:ind w:firstLine="0" w:firstLineChars="0"/>
              <w:jc w:val="both"/>
              <w:rPr>
                <w:rFonts w:hint="eastAsia" w:ascii="宋体" w:hAnsi="宋体" w:eastAsia="宋体" w:cs="宋体"/>
                <w:color w:val="auto"/>
                <w:sz w:val="21"/>
                <w:szCs w:val="21"/>
                <w:highlight w:val="none"/>
              </w:rPr>
            </w:pPr>
          </w:p>
        </w:tc>
      </w:tr>
      <w:tr w14:paraId="0DA9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69D7534A">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199" w:type="dxa"/>
          </w:tcPr>
          <w:p w14:paraId="120C6BC8">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封孔剂</w:t>
            </w:r>
          </w:p>
        </w:tc>
        <w:tc>
          <w:tcPr>
            <w:tcW w:w="1559" w:type="dxa"/>
          </w:tcPr>
          <w:p w14:paraId="197B942D">
            <w:pPr>
              <w:snapToGrid w:val="0"/>
              <w:spacing w:afterLines="0" w:line="360" w:lineRule="auto"/>
              <w:ind w:firstLine="0" w:firstLineChars="0"/>
              <w:jc w:val="both"/>
              <w:rPr>
                <w:rFonts w:hint="eastAsia" w:ascii="宋体" w:hAnsi="宋体" w:eastAsia="宋体" w:cs="宋体"/>
                <w:color w:val="auto"/>
                <w:sz w:val="21"/>
                <w:szCs w:val="21"/>
                <w:highlight w:val="none"/>
              </w:rPr>
            </w:pPr>
          </w:p>
        </w:tc>
        <w:tc>
          <w:tcPr>
            <w:tcW w:w="626" w:type="dxa"/>
          </w:tcPr>
          <w:p w14:paraId="0BF5E57E">
            <w:pPr>
              <w:snapToGrid w:val="0"/>
              <w:spacing w:afterLines="0" w:line="360" w:lineRule="auto"/>
              <w:ind w:firstLine="0" w:firstLineChars="0"/>
              <w:jc w:val="both"/>
              <w:rPr>
                <w:rFonts w:hint="eastAsia" w:ascii="宋体" w:hAnsi="宋体" w:eastAsia="宋体" w:cs="宋体"/>
                <w:color w:val="auto"/>
                <w:sz w:val="21"/>
                <w:szCs w:val="21"/>
                <w:highlight w:val="none"/>
              </w:rPr>
            </w:pPr>
          </w:p>
        </w:tc>
        <w:tc>
          <w:tcPr>
            <w:tcW w:w="883" w:type="dxa"/>
            <w:vMerge w:val="continue"/>
          </w:tcPr>
          <w:p w14:paraId="4520FCCB">
            <w:pPr>
              <w:snapToGrid w:val="0"/>
              <w:spacing w:afterLines="0" w:line="360" w:lineRule="auto"/>
              <w:ind w:firstLine="480"/>
              <w:jc w:val="left"/>
              <w:rPr>
                <w:rFonts w:hint="eastAsia" w:ascii="宋体" w:hAnsi="宋体" w:eastAsia="宋体" w:cs="宋体"/>
                <w:color w:val="auto"/>
                <w:sz w:val="21"/>
                <w:szCs w:val="21"/>
                <w:highlight w:val="none"/>
              </w:rPr>
            </w:pPr>
          </w:p>
        </w:tc>
        <w:tc>
          <w:tcPr>
            <w:tcW w:w="3169" w:type="dxa"/>
          </w:tcPr>
          <w:p w14:paraId="25A9D6B6">
            <w:pPr>
              <w:snapToGrid w:val="0"/>
              <w:spacing w:afterLines="0" w:line="360" w:lineRule="auto"/>
              <w:ind w:firstLine="0" w:firstLineChars="0"/>
              <w:jc w:val="both"/>
              <w:rPr>
                <w:rFonts w:hint="eastAsia" w:ascii="宋体" w:hAnsi="宋体" w:eastAsia="宋体" w:cs="宋体"/>
                <w:color w:val="auto"/>
                <w:sz w:val="21"/>
                <w:szCs w:val="21"/>
                <w:highlight w:val="none"/>
              </w:rPr>
            </w:pPr>
          </w:p>
        </w:tc>
      </w:tr>
      <w:tr w14:paraId="4535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68FF2F5D">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199" w:type="dxa"/>
          </w:tcPr>
          <w:p w14:paraId="5B0AE2EF">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堆焊材料</w:t>
            </w:r>
          </w:p>
        </w:tc>
        <w:tc>
          <w:tcPr>
            <w:tcW w:w="1559" w:type="dxa"/>
          </w:tcPr>
          <w:p w14:paraId="57FAA242">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OCr13Ni4MoN焊丝或用1Cr13Ni4MoVNb焊丝</w:t>
            </w:r>
          </w:p>
        </w:tc>
        <w:tc>
          <w:tcPr>
            <w:tcW w:w="626" w:type="dxa"/>
          </w:tcPr>
          <w:p w14:paraId="5BE58290">
            <w:pPr>
              <w:snapToGrid w:val="0"/>
              <w:spacing w:afterLines="0" w:line="360" w:lineRule="auto"/>
              <w:ind w:firstLine="0" w:firstLineChars="0"/>
              <w:jc w:val="both"/>
              <w:rPr>
                <w:rFonts w:hint="eastAsia" w:ascii="宋体" w:hAnsi="宋体" w:eastAsia="宋体" w:cs="宋体"/>
                <w:color w:val="auto"/>
                <w:sz w:val="21"/>
                <w:szCs w:val="21"/>
                <w:highlight w:val="none"/>
              </w:rPr>
            </w:pPr>
          </w:p>
        </w:tc>
        <w:tc>
          <w:tcPr>
            <w:tcW w:w="883" w:type="dxa"/>
            <w:vMerge w:val="continue"/>
          </w:tcPr>
          <w:p w14:paraId="6F5C13E3">
            <w:pPr>
              <w:snapToGrid w:val="0"/>
              <w:spacing w:afterLines="0" w:line="360" w:lineRule="auto"/>
              <w:ind w:firstLine="0" w:firstLineChars="0"/>
              <w:jc w:val="left"/>
              <w:rPr>
                <w:rFonts w:hint="eastAsia" w:ascii="宋体" w:hAnsi="宋体" w:eastAsia="宋体" w:cs="宋体"/>
                <w:color w:val="auto"/>
                <w:sz w:val="21"/>
                <w:szCs w:val="21"/>
                <w:highlight w:val="none"/>
              </w:rPr>
            </w:pPr>
          </w:p>
        </w:tc>
        <w:tc>
          <w:tcPr>
            <w:tcW w:w="3169" w:type="dxa"/>
          </w:tcPr>
          <w:p w14:paraId="79CE5C93">
            <w:pPr>
              <w:snapToGrid w:val="0"/>
              <w:spacing w:afterLines="0" w:line="360" w:lineRule="auto"/>
              <w:ind w:firstLine="0" w:firstLineChars="0"/>
              <w:jc w:val="both"/>
              <w:rPr>
                <w:rFonts w:hint="eastAsia" w:ascii="宋体" w:hAnsi="宋体" w:eastAsia="宋体" w:cs="宋体"/>
                <w:color w:val="auto"/>
                <w:sz w:val="21"/>
                <w:szCs w:val="21"/>
                <w:highlight w:val="none"/>
              </w:rPr>
            </w:pPr>
          </w:p>
        </w:tc>
      </w:tr>
      <w:tr w14:paraId="312E1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8217" w:type="dxa"/>
            <w:gridSpan w:val="6"/>
          </w:tcPr>
          <w:p w14:paraId="7CDA4639">
            <w:pPr>
              <w:snapToGrid w:val="0"/>
              <w:spacing w:afterLines="0" w:line="360" w:lineRule="auto"/>
              <w:ind w:firstLine="0" w:firstLineChars="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特别说明：</w:t>
            </w:r>
          </w:p>
          <w:p w14:paraId="3E229CDB">
            <w:pPr>
              <w:snapToGrid w:val="0"/>
              <w:spacing w:afterLines="0"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    以上施工材料均作参考，对施工工具及为完成施工的其它施工及施工措施所需的所有物资如脚手架、施工工器具、吊装工具、氧气、乙炔、施工消耗性材料等等均由</w:t>
            </w:r>
            <w:r>
              <w:rPr>
                <w:rFonts w:hint="eastAsia" w:ascii="宋体" w:hAnsi="宋体" w:eastAsia="宋体" w:cs="宋体"/>
                <w:b/>
                <w:color w:val="auto"/>
                <w:sz w:val="21"/>
                <w:szCs w:val="21"/>
                <w:highlight w:val="none"/>
                <w:lang w:eastAsia="zh-CN"/>
              </w:rPr>
              <w:t>乙方</w:t>
            </w:r>
            <w:r>
              <w:rPr>
                <w:rFonts w:hint="eastAsia" w:ascii="宋体" w:hAnsi="宋体" w:eastAsia="宋体" w:cs="宋体"/>
                <w:b/>
                <w:color w:val="auto"/>
                <w:sz w:val="21"/>
                <w:szCs w:val="21"/>
                <w:highlight w:val="none"/>
              </w:rPr>
              <w:t>负责提供，</w:t>
            </w:r>
            <w:r>
              <w:rPr>
                <w:rFonts w:hint="eastAsia" w:ascii="宋体" w:hAnsi="宋体" w:eastAsia="宋体" w:cs="宋体"/>
                <w:b/>
                <w:color w:val="auto"/>
                <w:sz w:val="21"/>
                <w:szCs w:val="21"/>
                <w:highlight w:val="none"/>
                <w:lang w:eastAsia="zh-CN"/>
              </w:rPr>
              <w:t>甲方</w:t>
            </w:r>
            <w:r>
              <w:rPr>
                <w:rFonts w:hint="eastAsia" w:ascii="宋体" w:hAnsi="宋体" w:eastAsia="宋体" w:cs="宋体"/>
                <w:b/>
                <w:color w:val="auto"/>
                <w:sz w:val="21"/>
                <w:szCs w:val="21"/>
                <w:highlight w:val="none"/>
              </w:rPr>
              <w:t>提供电源、水源、气源。</w:t>
            </w:r>
          </w:p>
        </w:tc>
      </w:tr>
    </w:tbl>
    <w:p w14:paraId="14EED7E4">
      <w:pPr>
        <w:pStyle w:val="3"/>
        <w:snapToGrid w:val="0"/>
        <w:spacing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七、质量检验</w:t>
      </w:r>
    </w:p>
    <w:p w14:paraId="59572B95">
      <w:pPr>
        <w:snapToGrid w:val="0"/>
        <w:spacing w:afterLines="0"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 质量检查验收的依据和标准：设计文件、施工图纸、技术资料及设计变更；制造厂家提供的设备图纸，技术说明书中的技术标准和要求；</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和</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拟定的技术要求。</w:t>
      </w:r>
    </w:p>
    <w:p w14:paraId="3384C988">
      <w:pPr>
        <w:snapToGrid w:val="0"/>
        <w:spacing w:afterLines="0"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6.2验收标准依据：</w:t>
      </w:r>
    </w:p>
    <w:p w14:paraId="02785184">
      <w:pPr>
        <w:snapToGrid w:val="0"/>
        <w:spacing w:afterLines="0"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DLT5210.2-2009电力建设施工质量验收及评价规程第2部分：锅炉机组</w:t>
      </w:r>
    </w:p>
    <w:p w14:paraId="3BB4ABA9">
      <w:pPr>
        <w:snapToGrid w:val="0"/>
        <w:spacing w:afterLines="0"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DLT 5210.5-2009电力建设施工质量验收及评价规程第5部分：管道及系统</w:t>
      </w:r>
    </w:p>
    <w:p w14:paraId="7A733B76">
      <w:pPr>
        <w:snapToGrid w:val="0"/>
        <w:spacing w:afterLines="0"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DL／T 5210.7-2010 电力建设施工质量验收及评定规程 第7部分：焊接</w:t>
      </w:r>
    </w:p>
    <w:p w14:paraId="5ACD3E8F">
      <w:pPr>
        <w:snapToGrid w:val="0"/>
        <w:spacing w:afterLines="0"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DLT 5210.8-2009 电力建设施工质量验收及评价规程 第8部分：加工配制</w:t>
      </w:r>
    </w:p>
    <w:p w14:paraId="1EC85AEB">
      <w:pPr>
        <w:snapToGrid w:val="0"/>
        <w:spacing w:afterLines="0"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DL／T869-2012 火力发电厂焊接技术规程</w:t>
      </w:r>
    </w:p>
    <w:p w14:paraId="6AD51B7E">
      <w:pPr>
        <w:pStyle w:val="3"/>
        <w:snapToGrid w:val="0"/>
        <w:spacing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八、质保期</w:t>
      </w:r>
    </w:p>
    <w:p w14:paraId="3C86E337">
      <w:pPr>
        <w:snapToGrid w:val="0"/>
        <w:spacing w:afterLines="0"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质量保修期：2年。</w:t>
      </w:r>
    </w:p>
    <w:p w14:paraId="3F669F52">
      <w:pPr>
        <w:pStyle w:val="3"/>
        <w:snapToGrid w:val="0"/>
        <w:spacing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九、工期（限定20天完成，且在2025年1月1日至2025年2月4日期间内，</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需考虑可能有部分工作在春节期间施工。具体开工日期以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正式通知为准）</w:t>
      </w:r>
    </w:p>
    <w:p w14:paraId="1BBDE427">
      <w:pPr>
        <w:snapToGrid w:val="0"/>
        <w:spacing w:afterLines="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0" distR="0">
            <wp:extent cx="5274310" cy="3694430"/>
            <wp:effectExtent l="0" t="0" r="2540" b="127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274310" cy="3694437"/>
                    </a:xfrm>
                    <a:prstGeom prst="rect">
                      <a:avLst/>
                    </a:prstGeom>
                    <a:noFill/>
                    <a:ln>
                      <a:noFill/>
                    </a:ln>
                  </pic:spPr>
                </pic:pic>
              </a:graphicData>
            </a:graphic>
          </wp:inline>
        </w:drawing>
      </w:r>
    </w:p>
    <w:p w14:paraId="3FC8D3BA">
      <w:pPr>
        <w:pStyle w:val="3"/>
        <w:snapToGrid w:val="0"/>
        <w:spacing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十、附件：</w:t>
      </w:r>
    </w:p>
    <w:p w14:paraId="3C7BD4A1">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附件一：风管安装，阀门更换，水位计更换</w:t>
      </w:r>
    </w:p>
    <w:p w14:paraId="7C5B92D5">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附件二：原一段烟道图</w:t>
      </w:r>
    </w:p>
    <w:p w14:paraId="1E2AEDE8">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附件三：新一段烟道图</w:t>
      </w:r>
    </w:p>
    <w:p w14:paraId="56ABDF97">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附件四：原烟道总图</w:t>
      </w:r>
    </w:p>
    <w:p w14:paraId="4D9D9535">
      <w:pPr>
        <w:snapToGrid w:val="0"/>
        <w:spacing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附件五：汽水系统图</w:t>
      </w:r>
    </w:p>
    <w:p w14:paraId="627A45B9">
      <w:pPr>
        <w:snapToGrid w:val="0"/>
        <w:spacing w:afterLines="0" w:line="360" w:lineRule="auto"/>
        <w:jc w:val="left"/>
        <w:rPr>
          <w:rFonts w:hint="eastAsia" w:ascii="宋体" w:hAnsi="宋体" w:eastAsia="宋体" w:cs="宋体"/>
          <w:b/>
          <w:color w:val="auto"/>
          <w:sz w:val="28"/>
          <w:szCs w:val="28"/>
          <w:highlight w:val="none"/>
          <w:lang w:val="en-US" w:eastAsia="zh-CN"/>
        </w:rPr>
      </w:pPr>
    </w:p>
    <w:p w14:paraId="3DCFAB29">
      <w:pPr>
        <w:snapToGrid w:val="0"/>
        <w:spacing w:afterLines="0" w:line="360" w:lineRule="auto"/>
        <w:jc w:val="left"/>
        <w:rPr>
          <w:rFonts w:hint="eastAsia" w:ascii="宋体" w:hAnsi="宋体" w:eastAsia="宋体" w:cs="宋体"/>
          <w:b/>
          <w:color w:val="auto"/>
          <w:sz w:val="28"/>
          <w:szCs w:val="28"/>
          <w:highlight w:val="none"/>
          <w:lang w:val="en-US" w:eastAsia="zh-CN"/>
        </w:rPr>
      </w:pPr>
    </w:p>
    <w:p w14:paraId="76E9F4D5">
      <w:pPr>
        <w:snapToGrid w:val="0"/>
        <w:spacing w:afterLines="0" w:line="360" w:lineRule="auto"/>
        <w:jc w:val="left"/>
        <w:rPr>
          <w:rFonts w:hint="eastAsia" w:ascii="宋体" w:hAnsi="宋体" w:eastAsia="宋体" w:cs="宋体"/>
          <w:b/>
          <w:color w:val="auto"/>
          <w:sz w:val="21"/>
          <w:szCs w:val="21"/>
          <w:highlight w:val="none"/>
        </w:rPr>
      </w:pPr>
    </w:p>
    <w:p w14:paraId="15F8010A">
      <w:pPr>
        <w:snapToGrid w:val="0"/>
        <w:spacing w:after="0" w:afterLines="0" w:line="360" w:lineRule="auto"/>
        <w:ind w:firstLine="316" w:firstLineChars="15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甲方</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eastAsia="zh-CN"/>
        </w:rPr>
        <w:t>阳江开能环保能源有限公司</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lang w:eastAsia="zh-CN"/>
        </w:rPr>
        <w:t>乙方</w:t>
      </w:r>
      <w:r>
        <w:rPr>
          <w:rFonts w:hint="eastAsia" w:ascii="宋体" w:hAnsi="宋体" w:eastAsia="宋体" w:cs="宋体"/>
          <w:b/>
          <w:color w:val="auto"/>
          <w:sz w:val="21"/>
          <w:szCs w:val="21"/>
          <w:highlight w:val="none"/>
        </w:rPr>
        <w:t>:</w:t>
      </w:r>
    </w:p>
    <w:p w14:paraId="1B5A2314">
      <w:pPr>
        <w:snapToGrid w:val="0"/>
        <w:spacing w:after="0" w:afterLines="0" w:line="360" w:lineRule="auto"/>
        <w:ind w:firstLine="316" w:firstLineChars="15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法人或委托代表人：                      法人或委托代表人：  </w:t>
      </w:r>
    </w:p>
    <w:p w14:paraId="4FF33F00">
      <w:pPr>
        <w:spacing w:line="360" w:lineRule="auto"/>
        <w:jc w:val="left"/>
        <w:rPr>
          <w:rFonts w:hint="eastAsia" w:ascii="宋体" w:hAnsi="宋体" w:eastAsia="宋体" w:cs="宋体"/>
          <w:b/>
          <w:color w:val="auto"/>
          <w:sz w:val="28"/>
          <w:szCs w:val="28"/>
          <w:highlight w:val="none"/>
          <w:lang w:val="en-US" w:eastAsia="zh-CN"/>
        </w:rPr>
      </w:pPr>
    </w:p>
    <w:p w14:paraId="1376B5BF">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7C20EB9B">
      <w:pPr>
        <w:spacing w:line="360" w:lineRule="auto"/>
        <w:jc w:val="lef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附件3</w:t>
      </w:r>
    </w:p>
    <w:p w14:paraId="196896FB">
      <w:pPr>
        <w:spacing w:line="360" w:lineRule="auto"/>
        <w:outlineLvl w:val="9"/>
        <w:rPr>
          <w:rFonts w:hint="eastAsia" w:ascii="宋体" w:hAnsi="宋体" w:eastAsia="宋体" w:cs="宋体"/>
          <w:b/>
          <w:bCs/>
          <w:color w:val="auto"/>
          <w:szCs w:val="28"/>
          <w:highlight w:val="none"/>
        </w:rPr>
      </w:pPr>
      <w:bookmarkStart w:id="138" w:name="_Toc10050"/>
      <w:bookmarkStart w:id="139" w:name="_Toc25343"/>
      <w:r>
        <w:rPr>
          <w:rFonts w:hint="eastAsia" w:ascii="宋体" w:hAnsi="宋体" w:eastAsia="宋体" w:cs="宋体"/>
          <w:b/>
          <w:bCs/>
          <w:color w:val="auto"/>
          <w:szCs w:val="28"/>
          <w:highlight w:val="none"/>
        </w:rPr>
        <w:t>安全文明施工协议</w:t>
      </w:r>
      <w:bookmarkEnd w:id="138"/>
      <w:bookmarkEnd w:id="139"/>
    </w:p>
    <w:p w14:paraId="7BDEB459">
      <w:pPr>
        <w:pStyle w:val="104"/>
        <w:spacing w:before="0" w:after="0" w:line="360" w:lineRule="auto"/>
        <w:ind w:left="10" w:leftChars="5" w:right="70" w:firstLine="527" w:firstLineChars="250"/>
        <w:rPr>
          <w:rFonts w:hint="eastAsia"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lang w:eastAsia="zh-CN"/>
        </w:rPr>
        <w:t>甲方</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u w:val="single"/>
          <w:lang w:eastAsia="zh-CN"/>
        </w:rPr>
        <w:t>阳江开能环保能源有限公司</w:t>
      </w:r>
    </w:p>
    <w:p w14:paraId="1B60A10A">
      <w:pPr>
        <w:pStyle w:val="104"/>
        <w:spacing w:before="0" w:after="0" w:line="360" w:lineRule="auto"/>
        <w:ind w:left="10" w:leftChars="5" w:right="70" w:firstLine="527" w:firstLineChars="25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乙方</w:t>
      </w:r>
      <w:r>
        <w:rPr>
          <w:rFonts w:hint="eastAsia" w:ascii="宋体" w:hAnsi="宋体" w:eastAsia="宋体" w:cs="宋体"/>
          <w:b/>
          <w:bCs/>
          <w:color w:val="auto"/>
          <w:sz w:val="21"/>
          <w:szCs w:val="21"/>
          <w:highlight w:val="none"/>
        </w:rPr>
        <w:t>：</w:t>
      </w:r>
    </w:p>
    <w:p w14:paraId="69D17E72">
      <w:pPr>
        <w:pStyle w:val="104"/>
        <w:pageBreakBefore w:val="0"/>
        <w:widowControl w:val="0"/>
        <w:kinsoku/>
        <w:wordWrap/>
        <w:overflowPunct/>
        <w:topLinePunct w:val="0"/>
        <w:bidi w:val="0"/>
        <w:snapToGrid/>
        <w:spacing w:before="0" w:after="0" w:line="360" w:lineRule="auto"/>
        <w:ind w:left="10" w:leftChars="5" w:right="7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第一条 为保障</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在履行建设工程合同过程中的人身、财产安全，促进</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强化安全管理工作，根据《中华人民共和国安全生产法》、《建设工程安全生产管理条例》等法律法规要求，经</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与</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双方协商一致，特签订本协议。本协议作为分包合同书的附件，与合同具有同等法律效力。</w:t>
      </w:r>
    </w:p>
    <w:p w14:paraId="2589BE3F">
      <w:pPr>
        <w:pStyle w:val="104"/>
        <w:pageBreakBefore w:val="0"/>
        <w:widowControl w:val="0"/>
        <w:kinsoku/>
        <w:wordWrap/>
        <w:overflowPunct/>
        <w:topLinePunct w:val="0"/>
        <w:bidi w:val="0"/>
        <w:snapToGrid/>
        <w:spacing w:before="0" w:after="0" w:line="360" w:lineRule="auto"/>
        <w:ind w:left="10" w:leftChars="5" w:right="7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第二条 建设工程项目名称及建设工程期限</w:t>
      </w:r>
    </w:p>
    <w:p w14:paraId="3A6E0375">
      <w:pPr>
        <w:pageBreakBefore w:val="0"/>
        <w:widowControl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color w:val="auto"/>
          <w:kern w:val="2"/>
          <w:sz w:val="21"/>
          <w:szCs w:val="21"/>
          <w:highlight w:val="none"/>
          <w:u w:val="single"/>
          <w:lang w:val="en-US" w:eastAsia="zh-CN" w:bidi="ar-SA"/>
        </w:rPr>
      </w:pPr>
      <w:r>
        <w:rPr>
          <w:rFonts w:hint="eastAsia" w:ascii="宋体" w:hAnsi="宋体" w:eastAsia="宋体" w:cs="宋体"/>
          <w:color w:val="auto"/>
          <w:sz w:val="21"/>
          <w:szCs w:val="21"/>
          <w:highlight w:val="none"/>
        </w:rPr>
        <w:t>1.1工程名称：</w:t>
      </w:r>
      <w:r>
        <w:rPr>
          <w:rFonts w:hint="eastAsia" w:ascii="宋体" w:hAnsi="宋体" w:eastAsia="宋体" w:cs="宋体"/>
          <w:color w:val="auto"/>
          <w:sz w:val="21"/>
          <w:szCs w:val="21"/>
          <w:highlight w:val="none"/>
          <w:u w:val="single"/>
          <w:lang w:val="en-US" w:eastAsia="zh-CN"/>
        </w:rPr>
        <w:t>阳江开能5-8#AOD余热锅炉技术改造项目施工</w:t>
      </w:r>
    </w:p>
    <w:p w14:paraId="1C224AED">
      <w:pPr>
        <w:pStyle w:val="97"/>
        <w:pageBreakBefore w:val="0"/>
        <w:widowControl w:val="0"/>
        <w:kinsoku/>
        <w:wordWrap/>
        <w:overflowPunct/>
        <w:topLinePunct w:val="0"/>
        <w:bidi w:val="0"/>
        <w:snapToGrid/>
        <w:spacing w:line="360" w:lineRule="auto"/>
        <w:ind w:left="0" w:firstLine="495"/>
        <w:jc w:val="both"/>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1.2工程地点: </w:t>
      </w:r>
      <w:r>
        <w:rPr>
          <w:rFonts w:hint="eastAsia" w:ascii="宋体" w:hAnsi="宋体" w:eastAsia="宋体" w:cs="宋体"/>
          <w:b w:val="0"/>
          <w:bCs w:val="0"/>
          <w:color w:val="auto"/>
          <w:kern w:val="2"/>
          <w:sz w:val="21"/>
          <w:szCs w:val="21"/>
          <w:highlight w:val="none"/>
          <w:u w:val="single"/>
          <w:lang w:val="en-US" w:eastAsia="zh-CN" w:bidi="ar-SA"/>
        </w:rPr>
        <w:t xml:space="preserve">广东省阳江市高新区港口工业区海港二横路一号阳江开能环保能源有限公司。   </w:t>
      </w:r>
      <w:r>
        <w:rPr>
          <w:rFonts w:hint="eastAsia" w:ascii="宋体" w:hAnsi="宋体" w:eastAsia="宋体" w:cs="宋体"/>
          <w:b w:val="0"/>
          <w:bCs w:val="0"/>
          <w:color w:val="auto"/>
          <w:kern w:val="2"/>
          <w:sz w:val="21"/>
          <w:szCs w:val="21"/>
          <w:highlight w:val="none"/>
          <w:lang w:val="en-US" w:eastAsia="zh-CN" w:bidi="ar-SA"/>
        </w:rPr>
        <w:t xml:space="preserve">                         </w:t>
      </w:r>
    </w:p>
    <w:p w14:paraId="783E1EEC">
      <w:pPr>
        <w:pStyle w:val="97"/>
        <w:pageBreakBefore w:val="0"/>
        <w:widowControl w:val="0"/>
        <w:kinsoku/>
        <w:wordWrap/>
        <w:overflowPunct/>
        <w:topLinePunct w:val="0"/>
        <w:bidi w:val="0"/>
        <w:snapToGrid/>
        <w:spacing w:line="360" w:lineRule="auto"/>
        <w:ind w:left="0" w:firstLine="495"/>
        <w:jc w:val="both"/>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1.3建设工程项目期限：</w:t>
      </w:r>
      <w:r>
        <w:rPr>
          <w:rFonts w:hint="eastAsia" w:ascii="宋体" w:hAnsi="宋体" w:eastAsia="宋体" w:cs="宋体"/>
          <w:b w:val="0"/>
          <w:bCs w:val="0"/>
          <w:color w:val="auto"/>
          <w:kern w:val="2"/>
          <w:sz w:val="21"/>
          <w:szCs w:val="21"/>
          <w:highlight w:val="none"/>
          <w:u w:val="single"/>
          <w:lang w:val="en-US" w:eastAsia="zh-CN" w:bidi="ar-SA"/>
        </w:rPr>
        <w:t>（详见主合同条款）。</w:t>
      </w:r>
    </w:p>
    <w:p w14:paraId="552492B2">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第三条 </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的责任、权利和义务</w:t>
      </w:r>
    </w:p>
    <w:p w14:paraId="293BAB17">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一.加强对安全生产工作的指导和监督，督促</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（施工单位）按照有关安全规定履行安全生产的管理职能和安全生产。</w:t>
      </w:r>
    </w:p>
    <w:p w14:paraId="7242593F">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二.督促</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建立、健全安全管理网络、管理制度，</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成立安全管理小组，设置专职安全员。</w:t>
      </w:r>
    </w:p>
    <w:p w14:paraId="30744DBD">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三.督促</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及时进行安全生产教育，检查</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的安全技术交底工作。</w:t>
      </w:r>
    </w:p>
    <w:p w14:paraId="287D2959">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四.不定期对</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安全、文明生产情况进行监督检查。</w:t>
      </w:r>
    </w:p>
    <w:p w14:paraId="245E294E">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五.督促</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对生产中存在的安全隐患进行整改，有权对不能按期整改的</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进行处罚，有权对现场违章行为实施处罚。</w:t>
      </w:r>
    </w:p>
    <w:p w14:paraId="6943BD60">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六.按国家有关标准对</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进行考核，作为工程竣工验收安全文明施工合格与不合格的依据。</w:t>
      </w:r>
    </w:p>
    <w:p w14:paraId="52D2F844">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七.</w:t>
      </w:r>
      <w:r>
        <w:rPr>
          <w:rFonts w:hint="eastAsia" w:ascii="宋体" w:hAnsi="宋体" w:eastAsia="宋体" w:cs="宋体"/>
          <w:bCs/>
          <w:color w:val="auto"/>
          <w:sz w:val="21"/>
          <w:szCs w:val="21"/>
          <w:highlight w:val="none"/>
          <w:lang w:val="en-US" w:eastAsia="zh-CN"/>
        </w:rPr>
        <w:t>随时</w:t>
      </w:r>
      <w:r>
        <w:rPr>
          <w:rFonts w:hint="eastAsia" w:ascii="宋体" w:hAnsi="宋体" w:eastAsia="宋体" w:cs="宋体"/>
          <w:bCs/>
          <w:color w:val="auto"/>
          <w:sz w:val="21"/>
          <w:szCs w:val="21"/>
          <w:highlight w:val="none"/>
        </w:rPr>
        <w:t>组织召开有</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项目负责人、专职安全员参加的安全文明生产会议，听取</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安全工作汇报，纠正施工中存在的安全违章、隐患问题，编写会议记录。</w:t>
      </w:r>
    </w:p>
    <w:p w14:paraId="3321B76E">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八.安全生产措施不到位、安全生产设施不合格的，</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必须立即整改，对不能及时整改及整改不到位的，</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将按本公司</w:t>
      </w:r>
      <w:r>
        <w:rPr>
          <w:rFonts w:hint="eastAsia" w:ascii="宋体" w:hAnsi="宋体" w:eastAsia="宋体" w:cs="宋体"/>
          <w:b/>
          <w:bCs/>
          <w:color w:val="auto"/>
          <w:sz w:val="21"/>
          <w:szCs w:val="21"/>
          <w:highlight w:val="none"/>
        </w:rPr>
        <w:t>《质量安全考核奖惩管理规定》</w:t>
      </w:r>
      <w:r>
        <w:rPr>
          <w:rFonts w:hint="eastAsia" w:ascii="宋体" w:hAnsi="宋体" w:eastAsia="宋体" w:cs="宋体"/>
          <w:bCs/>
          <w:color w:val="auto"/>
          <w:sz w:val="21"/>
          <w:szCs w:val="21"/>
          <w:highlight w:val="none"/>
        </w:rPr>
        <w:t>进行处罚并督促</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限期整改完成。</w:t>
      </w:r>
    </w:p>
    <w:p w14:paraId="7C007F14">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九.督促、检查</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的安全生产执行情况，发现安全隐患，有权责令</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及时整改，直至排除隐患。</w:t>
      </w:r>
    </w:p>
    <w:p w14:paraId="33AB061C">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十.及时如实向广青科技金属有限公司及有关职能部门报告安全事故。</w:t>
      </w:r>
    </w:p>
    <w:p w14:paraId="7EF30930">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十一.协助</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解决发生的紧急问题。</w:t>
      </w:r>
    </w:p>
    <w:p w14:paraId="75DDA2C9">
      <w:pPr>
        <w:pageBreakBefore w:val="0"/>
        <w:widowControl w:val="0"/>
        <w:tabs>
          <w:tab w:val="left" w:pos="426"/>
          <w:tab w:val="left" w:pos="709"/>
        </w:tabs>
        <w:kinsoku/>
        <w:wordWrap/>
        <w:overflowPunct/>
        <w:topLinePunct w:val="0"/>
        <w:bidi w:val="0"/>
        <w:snapToGrid/>
        <w:spacing w:line="360" w:lineRule="auto"/>
        <w:ind w:firstLine="371" w:firstLineChars="177"/>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第四条 </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的责任、权利和义务</w:t>
      </w:r>
    </w:p>
    <w:p w14:paraId="3D8F5F45">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应当具备《中华人民共和国安全生产法》和有关法律、行政法规、国家标准规定的安全生产条件，不具备安全条件的不得进行施工作业。安全生产管理必须坚持“安全第一、预防为主、综合治理”的方针。</w:t>
      </w:r>
    </w:p>
    <w:p w14:paraId="70EF1F53">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在签订本协议的同时，应向</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交纳壹万圆作为安全文明施工保证金（支付方式可选择现金支付或从预付款扣除）。建设工程结束后，如</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未违反协议规定，则全额退还给</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，否则</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有权根据情节严重程度，扣留部分直至全部安全施工保证金。</w:t>
      </w:r>
    </w:p>
    <w:p w14:paraId="0D5C1321">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三．工程开工前提供</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的企业资质证书、安全生产许可证、三类人员（企业主要负责人A类、项目经理B类、专职安全员C类）安全生产考核合格证书。所有证书需提供原件和复印件，经确认符合条件后，原件退还</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，复印件由</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存档。</w:t>
      </w:r>
    </w:p>
    <w:p w14:paraId="441348EE">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应设置安全生产机构，建立安全生产网络，配备专职安全生产管理人员，专职安全员必须具备建设主管部门颁发的安全执业资格证书。并向</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提交</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项目部的安全生产管理体系和安全生产组织机构。</w:t>
      </w:r>
    </w:p>
    <w:p w14:paraId="379A0191">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五.</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主要负责人、安全生产管理人员、特种作业人员必须具备与本单位所从事的工作相适应的安全生产知识和管理能力，持证上岗，遵守</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的各项目管理制度及项目所在地的各项法律法规。</w:t>
      </w:r>
    </w:p>
    <w:p w14:paraId="6F5ECEB1">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六．建立健全安全生产责任制，制定落实安全生产规章制度和操作规程，并制定安全事故应急救援预案，经</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批准并监督实施。</w:t>
      </w:r>
    </w:p>
    <w:p w14:paraId="547048EC">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七.保证对具体安全生产条件所必需资金的投入，配备齐全施工人员的劳动保护、安全防护用品，并对由于安全生产所必须的资金投入不足导致的后果承担全部责任。</w:t>
      </w:r>
    </w:p>
    <w:p w14:paraId="1E42C58B">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八.根据《中华人民共和国安全生产法》的规定，</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必须按照国家的有关规定和相关制度对从业人员进行安全教育培训和考试（包括交通运输、现场作业、材料设备采购、仓库管理、资料档案管理、施工前后准备工作等），保证从业人员具备安全生产知识，熟悉安全生产规章制度和安全技术操作规程，掌握本岗位的安全技术操作技能，未经安全生产教育培训考试合格的人员不得上岗作业，涉及特种</w:t>
      </w:r>
      <w:r>
        <w:rPr>
          <w:rFonts w:hint="eastAsia" w:ascii="宋体" w:hAnsi="宋体" w:eastAsia="宋体" w:cs="宋体"/>
          <w:bCs/>
          <w:color w:val="auto"/>
          <w:sz w:val="21"/>
          <w:szCs w:val="21"/>
          <w:highlight w:val="none"/>
          <w:lang w:val="en-US" w:eastAsia="zh-CN"/>
        </w:rPr>
        <w:t>及危险</w:t>
      </w:r>
      <w:r>
        <w:rPr>
          <w:rFonts w:hint="eastAsia" w:ascii="宋体" w:hAnsi="宋体" w:eastAsia="宋体" w:cs="宋体"/>
          <w:bCs/>
          <w:color w:val="auto"/>
          <w:sz w:val="21"/>
          <w:szCs w:val="21"/>
          <w:highlight w:val="none"/>
        </w:rPr>
        <w:t>作业时，</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应提供相应特种作业人员的工种名单并提交特种作业证原件交</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核对，严禁无证上岗。一旦发现</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存在无证</w:t>
      </w:r>
      <w:r>
        <w:rPr>
          <w:rFonts w:hint="eastAsia" w:ascii="宋体" w:hAnsi="宋体" w:eastAsia="宋体" w:cs="宋体"/>
          <w:bCs/>
          <w:color w:val="auto"/>
          <w:sz w:val="21"/>
          <w:szCs w:val="21"/>
          <w:highlight w:val="none"/>
          <w:lang w:val="en-US" w:eastAsia="zh-CN"/>
        </w:rPr>
        <w:t>特种</w:t>
      </w:r>
      <w:r>
        <w:rPr>
          <w:rFonts w:hint="eastAsia" w:ascii="宋体" w:hAnsi="宋体" w:eastAsia="宋体" w:cs="宋体"/>
          <w:bCs/>
          <w:color w:val="auto"/>
          <w:sz w:val="21"/>
          <w:szCs w:val="21"/>
          <w:highlight w:val="none"/>
        </w:rPr>
        <w:t>作业人员的，按1万元/人/次予以处罚，因此造成的</w:t>
      </w:r>
      <w:r>
        <w:rPr>
          <w:rFonts w:hint="eastAsia" w:ascii="宋体" w:hAnsi="宋体" w:eastAsia="宋体" w:cs="宋体"/>
          <w:bCs/>
          <w:color w:val="auto"/>
          <w:sz w:val="21"/>
          <w:szCs w:val="21"/>
          <w:highlight w:val="none"/>
          <w:lang w:val="en-US" w:eastAsia="zh-CN"/>
        </w:rPr>
        <w:t>广青科技</w:t>
      </w:r>
      <w:r>
        <w:rPr>
          <w:rFonts w:hint="eastAsia" w:ascii="宋体" w:hAnsi="宋体" w:eastAsia="宋体" w:cs="宋体"/>
          <w:bCs/>
          <w:color w:val="auto"/>
          <w:sz w:val="21"/>
          <w:szCs w:val="21"/>
          <w:highlight w:val="none"/>
        </w:rPr>
        <w:t>对</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的相关处罚，由</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承担。</w:t>
      </w:r>
    </w:p>
    <w:p w14:paraId="1AF91D6E">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九.</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在开工前，应制定详细的安全施工方案，报</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确认后备案。并根据施工进度情况做好各项安全技术交底工作。</w:t>
      </w:r>
    </w:p>
    <w:p w14:paraId="677CA66C">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十.每</w:t>
      </w:r>
      <w:r>
        <w:rPr>
          <w:rFonts w:hint="eastAsia" w:ascii="宋体" w:hAnsi="宋体" w:eastAsia="宋体" w:cs="宋体"/>
          <w:bCs/>
          <w:color w:val="auto"/>
          <w:sz w:val="21"/>
          <w:szCs w:val="21"/>
          <w:highlight w:val="none"/>
          <w:lang w:val="en-US" w:eastAsia="zh-CN"/>
        </w:rPr>
        <w:t>天</w:t>
      </w:r>
      <w:r>
        <w:rPr>
          <w:rFonts w:hint="eastAsia" w:ascii="宋体" w:hAnsi="宋体" w:eastAsia="宋体" w:cs="宋体"/>
          <w:bCs/>
          <w:color w:val="auto"/>
          <w:sz w:val="21"/>
          <w:szCs w:val="21"/>
          <w:highlight w:val="none"/>
        </w:rPr>
        <w:t>召开一次安全文明生产会议，自查自纠不安全因素及隐患，保证工程顺利进行。</w:t>
      </w:r>
    </w:p>
    <w:p w14:paraId="360355F7">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十一.严格执行国家有关标准，并接受</w:t>
      </w:r>
      <w:r>
        <w:rPr>
          <w:rFonts w:hint="eastAsia" w:ascii="宋体" w:hAnsi="宋体" w:eastAsia="宋体" w:cs="宋体"/>
          <w:bCs/>
          <w:color w:val="auto"/>
          <w:sz w:val="21"/>
          <w:szCs w:val="21"/>
          <w:highlight w:val="none"/>
          <w:lang w:val="en-US" w:eastAsia="zh-CN"/>
        </w:rPr>
        <w:t>广青科技</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及当地建设主管部门的检查考核，为检查考核提供便利条件。</w:t>
      </w:r>
    </w:p>
    <w:p w14:paraId="250040C9">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十二.</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和各级检查人员进行安全监督检查时，</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要主动接受检查，并积极配合，不得拒绝、阻挠和拖延，并在检查记录上签字。</w:t>
      </w:r>
    </w:p>
    <w:p w14:paraId="6B0DB02C">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十三.定期检查和督促本单位的安全生产工作，及时纠正违章作业的行为，及时消除安全事故隐患。</w:t>
      </w:r>
    </w:p>
    <w:p w14:paraId="73B001FD">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十四.</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现场负责人及专职安全员对工程现场实行日常性监督，并建立安全检查记录。</w:t>
      </w:r>
    </w:p>
    <w:p w14:paraId="0547D437">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十五.</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管理人员如出现拒不接受监督改正以及强令冒险作业，</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有权要求撤换现场施工管理人员，直至解除与</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val="en-US" w:eastAsia="zh-CN"/>
        </w:rPr>
        <w:t>施工合同</w:t>
      </w:r>
      <w:r>
        <w:rPr>
          <w:rFonts w:hint="eastAsia" w:ascii="宋体" w:hAnsi="宋体" w:eastAsia="宋体" w:cs="宋体"/>
          <w:bCs/>
          <w:color w:val="auto"/>
          <w:sz w:val="21"/>
          <w:szCs w:val="21"/>
          <w:highlight w:val="none"/>
        </w:rPr>
        <w:t>，由此造成的损失全部由</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承担。</w:t>
      </w:r>
    </w:p>
    <w:p w14:paraId="42799C29">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十六.工程施工期间</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应严格遵守</w:t>
      </w:r>
      <w:r>
        <w:rPr>
          <w:rFonts w:hint="eastAsia" w:ascii="宋体" w:hAnsi="宋体" w:eastAsia="宋体" w:cs="宋体"/>
          <w:bCs/>
          <w:color w:val="auto"/>
          <w:sz w:val="21"/>
          <w:szCs w:val="21"/>
          <w:highlight w:val="none"/>
          <w:lang w:val="en-US" w:eastAsia="zh-CN"/>
        </w:rPr>
        <w:t>广青科技</w:t>
      </w:r>
      <w:r>
        <w:rPr>
          <w:rFonts w:hint="eastAsia" w:ascii="宋体" w:hAnsi="宋体" w:eastAsia="宋体" w:cs="宋体"/>
          <w:bCs/>
          <w:color w:val="auto"/>
          <w:sz w:val="21"/>
          <w:szCs w:val="21"/>
          <w:highlight w:val="none"/>
        </w:rPr>
        <w:t>厂区内</w:t>
      </w:r>
      <w:r>
        <w:rPr>
          <w:rFonts w:hint="eastAsia" w:ascii="宋体" w:hAnsi="宋体" w:eastAsia="宋体" w:cs="宋体"/>
          <w:bCs/>
          <w:color w:val="auto"/>
          <w:sz w:val="21"/>
          <w:szCs w:val="21"/>
          <w:highlight w:val="none"/>
          <w:lang w:val="en-US" w:eastAsia="zh-CN"/>
        </w:rPr>
        <w:t>及甲方</w:t>
      </w:r>
      <w:r>
        <w:rPr>
          <w:rFonts w:hint="eastAsia" w:ascii="宋体" w:hAnsi="宋体" w:eastAsia="宋体" w:cs="宋体"/>
          <w:bCs/>
          <w:color w:val="auto"/>
          <w:sz w:val="21"/>
          <w:szCs w:val="21"/>
          <w:highlight w:val="none"/>
        </w:rPr>
        <w:t>各项规章制度。本工程的安监、质监、</w:t>
      </w:r>
      <w:r>
        <w:rPr>
          <w:rFonts w:hint="eastAsia" w:ascii="宋体" w:hAnsi="宋体" w:eastAsia="宋体" w:cs="宋体"/>
          <w:bCs/>
          <w:color w:val="auto"/>
          <w:sz w:val="21"/>
          <w:szCs w:val="21"/>
          <w:highlight w:val="none"/>
          <w:lang w:val="en-US" w:eastAsia="zh-CN"/>
        </w:rPr>
        <w:t>广青科技</w:t>
      </w:r>
      <w:r>
        <w:rPr>
          <w:rFonts w:hint="eastAsia" w:ascii="宋体" w:hAnsi="宋体" w:eastAsia="宋体" w:cs="宋体"/>
          <w:bCs/>
          <w:color w:val="auto"/>
          <w:sz w:val="21"/>
          <w:szCs w:val="21"/>
          <w:highlight w:val="none"/>
        </w:rPr>
        <w:t>各方以及其它政府职能部门在综合管理中（包括施工进度、质量、安全等）所下达的经济处罚，属于</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责任的，</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将对</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处于同等金额的罚金。如</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不按期支付罚金的，</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将从进度款中双倍扣除。</w:t>
      </w:r>
    </w:p>
    <w:p w14:paraId="4DF01018">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十七.建立完善符合相关安全技术法规、规范和标准要求的季节性施工、施工现场临时用电、脚手架作业、机械作业、危险作业等安全管理制度，规范控制现场施工作业行为，确保安全生产标准化。</w:t>
      </w:r>
    </w:p>
    <w:p w14:paraId="02BCC6F1">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十八.对施工现场周围设立防护栏，有关设施、设备要设置明显的安全警示标志，危险作业过程还需增设专人进行监护。</w:t>
      </w:r>
    </w:p>
    <w:p w14:paraId="37AC131C">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十九.</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在本工程使用的特种作业机械必须有国家强制部门颁发的有效使用证书，</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自制的起重吊装设施必须有力学计算书,现场制作工艺符合有关规范,并经过检测试验合格后方可投入使用。</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在本工程雇佣的员工必须身体健康，符合工程作业要求。</w:t>
      </w:r>
    </w:p>
    <w:p w14:paraId="11AD22DB">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二十.</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在交通运输过程中，遵守有关法律法规的规定，保证自身和其他车辆、行人、设施、专业管线及沿途的建筑物、构筑物的安全，防止污染城市，对造成的损害承担全部责任。</w:t>
      </w:r>
    </w:p>
    <w:p w14:paraId="381FB47B">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二十一.遵守当地政府部门对施工场地和施工噪音等管理规定，经</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同意后办理相关手续，如因</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责任造成的罚款由</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承担。</w:t>
      </w:r>
    </w:p>
    <w:p w14:paraId="17D90851">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二十二.发生安全事故，</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应及时如实向</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和有关职能部门报告。</w:t>
      </w:r>
    </w:p>
    <w:p w14:paraId="35A5CAAC">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二十三.</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应加强治安保卫工作，避免其员工出现任何妨害治安行为。确保工地的治安稳定，人员和财产安全不受到损害。如造成自身伤害和伤害他人的，</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负责对责任人进行责任追究，</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承担全部责任和费用。</w:t>
      </w:r>
    </w:p>
    <w:p w14:paraId="0DEADFDB">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二十四.违章操作、人身伤害和财产损失</w:t>
      </w:r>
    </w:p>
    <w:p w14:paraId="1A418D32">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应按有关规定，采取完善的安全措施。每发生一起“三违”（违章指挥、违章操作、违反劳动纪律）行为，</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视影响程度，对</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处壹佰元至贰仟元人民币的罚款。</w:t>
      </w:r>
    </w:p>
    <w:p w14:paraId="3E8D7094">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未按期整改安全隐患，</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对</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处贰佰元至叁仟元人民币的罚款。</w:t>
      </w:r>
    </w:p>
    <w:p w14:paraId="21FE6ED8">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由于未遵守有关安全法律法规、规程规定、制度而造成安全事故的，</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须承担</w:t>
      </w:r>
      <w:r>
        <w:rPr>
          <w:rFonts w:hint="eastAsia" w:ascii="宋体" w:hAnsi="宋体" w:eastAsia="宋体" w:cs="宋体"/>
          <w:bCs/>
          <w:color w:val="auto"/>
          <w:sz w:val="21"/>
          <w:szCs w:val="21"/>
          <w:highlight w:val="none"/>
          <w:lang w:val="en-US" w:eastAsia="zh-CN"/>
        </w:rPr>
        <w:t>全部</w:t>
      </w:r>
      <w:r>
        <w:rPr>
          <w:rFonts w:hint="eastAsia" w:ascii="宋体" w:hAnsi="宋体" w:eastAsia="宋体" w:cs="宋体"/>
          <w:bCs/>
          <w:color w:val="auto"/>
          <w:sz w:val="21"/>
          <w:szCs w:val="21"/>
          <w:highlight w:val="none"/>
        </w:rPr>
        <w:t>的安全责任和因此发生的所有费用。每发生一起，</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视事故后果对</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另处以壹万元至壹拾万元人民币的罚款。</w:t>
      </w:r>
    </w:p>
    <w:p w14:paraId="7D4CBCEC">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在有毒有害环境中施工，应按照有关规定提供相应的防护措施，违反一次处壹仟元人民币以上的罚款。</w:t>
      </w:r>
    </w:p>
    <w:p w14:paraId="6266BDB4">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5.因</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责任给</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造成工程或声誉影响，</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视影响程度，另处以伍仟元至伍万元的罚款。</w:t>
      </w:r>
    </w:p>
    <w:p w14:paraId="34961030">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6.发生重大伤亡事故，</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应该按照有关规定立即上报</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代表和当地政府职能部门。同时</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要积极组织事故救援，</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要为救援工作提供必要条件，发生事故的责任和费用</w:t>
      </w:r>
      <w:r>
        <w:rPr>
          <w:rFonts w:hint="eastAsia" w:ascii="宋体" w:hAnsi="宋体" w:eastAsia="宋体" w:cs="宋体"/>
          <w:bCs/>
          <w:color w:val="auto"/>
          <w:sz w:val="21"/>
          <w:szCs w:val="21"/>
          <w:highlight w:val="none"/>
          <w:lang w:val="en-US" w:eastAsia="zh-CN"/>
        </w:rPr>
        <w:t>全部</w:t>
      </w:r>
      <w:r>
        <w:rPr>
          <w:rFonts w:hint="eastAsia" w:ascii="宋体" w:hAnsi="宋体" w:eastAsia="宋体" w:cs="宋体"/>
          <w:bCs/>
          <w:color w:val="auto"/>
          <w:sz w:val="21"/>
          <w:szCs w:val="21"/>
          <w:highlight w:val="none"/>
        </w:rPr>
        <w:t>由</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承担。</w:t>
      </w:r>
    </w:p>
    <w:p w14:paraId="0047E7F9">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7．第三条条款中属于</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职责而未履行到位的，每例罚款500元。对于现场习惯性违章行为，</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将按本公司《安全</w:t>
      </w:r>
      <w:r>
        <w:rPr>
          <w:rFonts w:hint="eastAsia" w:ascii="宋体" w:hAnsi="宋体" w:eastAsia="宋体" w:cs="宋体"/>
          <w:bCs/>
          <w:color w:val="auto"/>
          <w:sz w:val="21"/>
          <w:szCs w:val="21"/>
          <w:highlight w:val="none"/>
          <w:lang w:val="en-US" w:eastAsia="zh-CN"/>
        </w:rPr>
        <w:t>生产考核细则</w:t>
      </w:r>
      <w:r>
        <w:rPr>
          <w:rFonts w:hint="eastAsia" w:ascii="宋体" w:hAnsi="宋体" w:eastAsia="宋体" w:cs="宋体"/>
          <w:bCs/>
          <w:color w:val="auto"/>
          <w:sz w:val="21"/>
          <w:szCs w:val="21"/>
          <w:highlight w:val="none"/>
        </w:rPr>
        <w:t>》的相关条款实施处罚。</w:t>
      </w:r>
    </w:p>
    <w:p w14:paraId="3EF0BF4C">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二十五.</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应按有关规定为本工程工作的所有人员办理工伤保险，从事危险作业的人员办理意外伤害保险。</w:t>
      </w:r>
    </w:p>
    <w:p w14:paraId="5CA2C39E">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二十六.急救和防火</w:t>
      </w:r>
    </w:p>
    <w:p w14:paraId="4AE1213F">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应免费为</w:t>
      </w:r>
      <w:r>
        <w:rPr>
          <w:rFonts w:hint="eastAsia" w:ascii="宋体" w:hAnsi="宋体" w:eastAsia="宋体" w:cs="宋体"/>
          <w:bCs/>
          <w:color w:val="auto"/>
          <w:sz w:val="21"/>
          <w:szCs w:val="21"/>
          <w:highlight w:val="none"/>
          <w:lang w:val="en-US" w:eastAsia="zh-CN"/>
        </w:rPr>
        <w:t>广青科技</w:t>
      </w:r>
      <w:r>
        <w:rPr>
          <w:rFonts w:hint="eastAsia" w:ascii="宋体" w:hAnsi="宋体" w:eastAsia="宋体" w:cs="宋体"/>
          <w:bCs/>
          <w:color w:val="auto"/>
          <w:sz w:val="21"/>
          <w:szCs w:val="21"/>
          <w:highlight w:val="none"/>
        </w:rPr>
        <w:t>或</w:t>
      </w:r>
      <w:r>
        <w:rPr>
          <w:rFonts w:hint="eastAsia" w:ascii="宋体" w:hAnsi="宋体" w:eastAsia="宋体" w:cs="宋体"/>
          <w:bCs/>
          <w:color w:val="auto"/>
          <w:sz w:val="21"/>
          <w:szCs w:val="21"/>
          <w:highlight w:val="none"/>
          <w:lang w:val="en-US" w:eastAsia="zh-CN"/>
        </w:rPr>
        <w:t>广青科技</w:t>
      </w:r>
      <w:r>
        <w:rPr>
          <w:rFonts w:hint="eastAsia" w:ascii="宋体" w:hAnsi="宋体" w:eastAsia="宋体" w:cs="宋体"/>
          <w:bCs/>
          <w:color w:val="auto"/>
          <w:sz w:val="21"/>
          <w:szCs w:val="21"/>
          <w:highlight w:val="none"/>
        </w:rPr>
        <w:t>任命人员及</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提供现场急救便利。</w:t>
      </w:r>
    </w:p>
    <w:p w14:paraId="2BDF1E81">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必须根据项目各阶段的要求，完善消防管理制度和相关防火措施，配足防火设备，直至项目验收移交。</w:t>
      </w:r>
    </w:p>
    <w:p w14:paraId="52C7DF43">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二十七.劳动安全卫生工作守则</w:t>
      </w:r>
    </w:p>
    <w:p w14:paraId="00295526">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1.总则</w:t>
      </w:r>
    </w:p>
    <w:p w14:paraId="7A184A92">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承包工程或劳务项目时，应事先查询承包范围之工作场所环境危害因素及应采取</w:t>
      </w:r>
      <w:r>
        <w:rPr>
          <w:rFonts w:hint="eastAsia" w:ascii="宋体" w:hAnsi="宋体" w:eastAsia="宋体" w:cs="宋体"/>
          <w:bCs/>
          <w:color w:val="auto"/>
          <w:sz w:val="21"/>
          <w:szCs w:val="21"/>
          <w:highlight w:val="none"/>
          <w:lang w:val="en-US" w:eastAsia="zh-CN"/>
        </w:rPr>
        <w:t>的</w:t>
      </w:r>
      <w:r>
        <w:rPr>
          <w:rFonts w:hint="eastAsia" w:ascii="宋体" w:hAnsi="宋体" w:eastAsia="宋体" w:cs="宋体"/>
          <w:bCs/>
          <w:color w:val="auto"/>
          <w:sz w:val="21"/>
          <w:szCs w:val="21"/>
          <w:highlight w:val="none"/>
        </w:rPr>
        <w:t>安全措施等事项，如有不明确之处，应与</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联系。</w:t>
      </w:r>
    </w:p>
    <w:p w14:paraId="12C5A1F0">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在承包</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工程时应指定安全卫生管理员及工地负责人，实施工作前</w:t>
      </w:r>
      <w:r>
        <w:rPr>
          <w:rFonts w:hint="eastAsia" w:ascii="宋体" w:hAnsi="宋体" w:eastAsia="宋体" w:cs="宋体"/>
          <w:bCs/>
          <w:color w:val="auto"/>
          <w:sz w:val="21"/>
          <w:szCs w:val="21"/>
          <w:highlight w:val="none"/>
          <w:lang w:val="en-US" w:eastAsia="zh-CN"/>
        </w:rPr>
        <w:t>的</w:t>
      </w:r>
      <w:r>
        <w:rPr>
          <w:rFonts w:hint="eastAsia" w:ascii="宋体" w:hAnsi="宋体" w:eastAsia="宋体" w:cs="宋体"/>
          <w:bCs/>
          <w:color w:val="auto"/>
          <w:sz w:val="21"/>
          <w:szCs w:val="21"/>
          <w:highlight w:val="none"/>
        </w:rPr>
        <w:t>安全卫生检查及教育，</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不得随意更换工作人员或调换工作人员工作工种，落实与</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工业安全卫生管理人员联系及协调。</w:t>
      </w:r>
    </w:p>
    <w:p w14:paraId="28EEFB0D">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负责人须亲自或指派有工程安全经验人员常驻工地督导监工，并应约束其工作人员参照</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纪律不得在工地酗酒、滋事、赌博、打架或其他不良行为，如有违反规定及触犯政府法令所引起</w:t>
      </w:r>
      <w:r>
        <w:rPr>
          <w:rFonts w:hint="eastAsia" w:ascii="宋体" w:hAnsi="宋体" w:eastAsia="宋体" w:cs="宋体"/>
          <w:bCs/>
          <w:color w:val="auto"/>
          <w:sz w:val="21"/>
          <w:szCs w:val="21"/>
          <w:highlight w:val="none"/>
          <w:lang w:val="en-US" w:eastAsia="zh-CN"/>
        </w:rPr>
        <w:t>的</w:t>
      </w:r>
      <w:r>
        <w:rPr>
          <w:rFonts w:hint="eastAsia" w:ascii="宋体" w:hAnsi="宋体" w:eastAsia="宋体" w:cs="宋体"/>
          <w:bCs/>
          <w:color w:val="auto"/>
          <w:sz w:val="21"/>
          <w:szCs w:val="21"/>
          <w:highlight w:val="none"/>
        </w:rPr>
        <w:t>纠葛，</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应负完全责任。</w:t>
      </w:r>
    </w:p>
    <w:p w14:paraId="4507400F">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负责人在工程进行中，须随时注意所属工作人员</w:t>
      </w:r>
      <w:r>
        <w:rPr>
          <w:rFonts w:hint="eastAsia" w:ascii="宋体" w:hAnsi="宋体" w:eastAsia="宋体" w:cs="宋体"/>
          <w:bCs/>
          <w:color w:val="auto"/>
          <w:sz w:val="21"/>
          <w:szCs w:val="21"/>
          <w:highlight w:val="none"/>
          <w:lang w:val="en-US" w:eastAsia="zh-CN"/>
        </w:rPr>
        <w:t>的</w:t>
      </w:r>
      <w:r>
        <w:rPr>
          <w:rFonts w:hint="eastAsia" w:ascii="宋体" w:hAnsi="宋体" w:eastAsia="宋体" w:cs="宋体"/>
          <w:bCs/>
          <w:color w:val="auto"/>
          <w:sz w:val="21"/>
          <w:szCs w:val="21"/>
          <w:highlight w:val="none"/>
        </w:rPr>
        <w:t>安全以防意外，如遇有意外或伤亡事故，应由</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负责料理善后与</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无涉、不得向</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提出任何要求。</w:t>
      </w:r>
    </w:p>
    <w:p w14:paraId="7C1E7D88">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（五）</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应保持工地清洁，施工过程中产生之垃圾</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有权要求</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应及时清理，逾期未清理除采取适当处罚措施外，</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则雇人清理，其费用在</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工程款（或保证金）中扣除。工程完成后须清理工地，并将一切杂物、残屑等，尽速运到</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指定之场所（合同有特别约定的按规定处置）。</w:t>
      </w:r>
    </w:p>
    <w:p w14:paraId="2DA59BE7">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（六）</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应依《工伤保险条例》规定对其雇用人员办理相关保险。</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与</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的发包合同金额中已包含各项相关保险费用，</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不得就此项费用在承包金额中重复列支。</w:t>
      </w:r>
    </w:p>
    <w:p w14:paraId="0ADBBA65">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（七）参与服务的</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之员工，应文明服务，服从</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有关工程（或劳务）安全管理制度，并配合</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部门或人员遵守相关管理规定，按照合同约定内容作业或服务。属于</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的从业人员管理、合同履行过程之安全环保等管理均由</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负责。因</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违反国家法律法规用工规定的责任与后果全部由</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承担。</w:t>
      </w:r>
    </w:p>
    <w:p w14:paraId="2431F418">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（八）</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须</w:t>
      </w:r>
      <w:r>
        <w:rPr>
          <w:rFonts w:hint="eastAsia" w:ascii="宋体" w:hAnsi="宋体" w:eastAsia="宋体" w:cs="宋体"/>
          <w:bCs/>
          <w:color w:val="auto"/>
          <w:sz w:val="21"/>
          <w:szCs w:val="21"/>
          <w:highlight w:val="none"/>
          <w:lang w:val="en-US" w:eastAsia="zh-CN"/>
        </w:rPr>
        <w:t>提供</w:t>
      </w:r>
      <w:r>
        <w:rPr>
          <w:rFonts w:hint="eastAsia" w:ascii="宋体" w:hAnsi="宋体" w:eastAsia="宋体" w:cs="宋体"/>
          <w:bCs/>
          <w:color w:val="auto"/>
          <w:sz w:val="21"/>
          <w:szCs w:val="21"/>
          <w:highlight w:val="none"/>
        </w:rPr>
        <w:t>其相应安全管理资质和服务人员操作资质,因其提供虚假信息造成的一切后果由其承担。</w:t>
      </w:r>
    </w:p>
    <w:p w14:paraId="26867528">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（九）</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应对工地上防火、防盗工作负责，若造成</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损失由</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负其全责赔偿损失。</w:t>
      </w:r>
    </w:p>
    <w:p w14:paraId="34110F09">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2.工作安全部分</w:t>
      </w:r>
    </w:p>
    <w:p w14:paraId="09BE172E">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所属工作人员，对于工作场所及工作方法之安全措施有存疑者，应立即向其现场主管或</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lang w:val="en-US" w:eastAsia="zh-CN"/>
        </w:rPr>
        <w:t>管理人员</w:t>
      </w:r>
      <w:r>
        <w:rPr>
          <w:rFonts w:hint="eastAsia" w:ascii="宋体" w:hAnsi="宋体" w:eastAsia="宋体" w:cs="宋体"/>
          <w:bCs/>
          <w:color w:val="auto"/>
          <w:sz w:val="21"/>
          <w:szCs w:val="21"/>
          <w:highlight w:val="none"/>
        </w:rPr>
        <w:t>询问清楚，再行工作以策安全。</w:t>
      </w:r>
    </w:p>
    <w:p w14:paraId="780DE9E5">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应在危险工作地区应设</w:t>
      </w:r>
      <w:r>
        <w:rPr>
          <w:rFonts w:hint="eastAsia" w:ascii="宋体" w:hAnsi="宋体" w:eastAsia="宋体" w:cs="宋体"/>
          <w:bCs/>
          <w:color w:val="auto"/>
          <w:sz w:val="21"/>
          <w:szCs w:val="21"/>
          <w:highlight w:val="none"/>
          <w:lang w:val="en-US" w:eastAsia="zh-CN"/>
        </w:rPr>
        <w:t>围栏</w:t>
      </w:r>
      <w:r>
        <w:rPr>
          <w:rFonts w:hint="eastAsia" w:ascii="宋体" w:hAnsi="宋体" w:eastAsia="宋体" w:cs="宋体"/>
          <w:bCs/>
          <w:color w:val="auto"/>
          <w:sz w:val="21"/>
          <w:szCs w:val="21"/>
          <w:highlight w:val="none"/>
        </w:rPr>
        <w:t>及警告标示，夜间工作场所应有足够照明，以防止事故发生。</w:t>
      </w:r>
    </w:p>
    <w:p w14:paraId="2E67354B">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之工作人员均须着适当的服装及必要之安全护具，采取适当安全及环保措施。</w:t>
      </w:r>
    </w:p>
    <w:p w14:paraId="4CCB5FB6">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（四）工作地点必须保持整洁，工具材料、油、钉等材料不可随意乱置地上。</w:t>
      </w:r>
    </w:p>
    <w:p w14:paraId="70DD99F1">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（五）塔架、起重、油漆、拆除等危险工作，必须派专人现场监督指导。</w:t>
      </w:r>
    </w:p>
    <w:p w14:paraId="5276AE77">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（六）易燃品（汽油、瓦斯、油布等）附近，不得置有引火物，并严禁吸烟及乱掷烟蒂。</w:t>
      </w:r>
    </w:p>
    <w:p w14:paraId="1B87691D">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（七）于易燃或易爆场所（如煤房、油槽）工作时需联络现场人员，将煤粉、汽油等易燃物清理干净，必要时应再以水洗或散布生料粉。</w:t>
      </w:r>
    </w:p>
    <w:p w14:paraId="6DE0A8CA">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（八）</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所有电源开关，</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工作人员，如未得到</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人员许可，不得擅自接电使用。</w:t>
      </w:r>
    </w:p>
    <w:p w14:paraId="0F36EC93">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（九）</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在工作中需使用压力容器时，须先征得压力容器使用部门同意，另使用中须了解</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压力容器安全操作规程。如造成压力容器损坏或人员伤害，由</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负其全责，且须赔偿</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损失。</w:t>
      </w:r>
    </w:p>
    <w:p w14:paraId="59E68319">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3.使用临时电力、用水及电焊部分</w:t>
      </w:r>
    </w:p>
    <w:p w14:paraId="2B1841B0">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凡欲使用任何水电、须事先向</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提出申请，未经许可前严禁私自接用。</w:t>
      </w:r>
    </w:p>
    <w:p w14:paraId="40DAC470">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供应之电源时，</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必须将使用地点各项电气设备名称、电压、容量、数量及电缆、开头等之大小规格列表送</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审查，全部供电设备装置完成，并经</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检查合格后，始可送电使用，</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应接受</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对安全用电进行监督检查。</w:t>
      </w:r>
    </w:p>
    <w:p w14:paraId="473ACAC9">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不得任意将设备接至非</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指定开关使用，未经</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同意前，不得任意变更设备或增加容量，否则由</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负全责。</w:t>
      </w:r>
    </w:p>
    <w:p w14:paraId="11507B8F">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供应之水源时，</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必须将使用地点、用水量等送</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审查，全部供水设备装置完成，并经</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lang w:val="en-US" w:eastAsia="zh-CN"/>
        </w:rPr>
        <w:t>确认</w:t>
      </w:r>
      <w:r>
        <w:rPr>
          <w:rFonts w:hint="eastAsia" w:ascii="宋体" w:hAnsi="宋体" w:eastAsia="宋体" w:cs="宋体"/>
          <w:bCs/>
          <w:color w:val="auto"/>
          <w:sz w:val="21"/>
          <w:szCs w:val="21"/>
          <w:highlight w:val="none"/>
        </w:rPr>
        <w:t>合格后，始可送水使用。</w:t>
      </w:r>
    </w:p>
    <w:p w14:paraId="7B197F7D">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（五）所需之供水器材及施工安装费用全部由承包商自行负责。</w:t>
      </w:r>
    </w:p>
    <w:p w14:paraId="6DA1D2CD">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（六）每一部电动机、电焊机应分别装设开关，以策安全。</w:t>
      </w:r>
    </w:p>
    <w:p w14:paraId="5F614180">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（七）</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电焊机所有使用之导线，必须合于规定之绝缘电线，不得使用劣品或代用品及电容量不足者，并不可裸露部分或代用品连接。</w:t>
      </w:r>
    </w:p>
    <w:p w14:paraId="4BB0E295">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（八）</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电焊机之电焊线路应直接接于工作物上，严禁利用栏杆、楼梯建筑物之钢架，或电力接地系统及管路等或间接供电电焊。</w:t>
      </w:r>
    </w:p>
    <w:p w14:paraId="1EE4B6F4">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（九）</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从事狭小空间或高度两公尺以上钢架上作业所用交流电焊机，应使用自动电击防止器。</w:t>
      </w:r>
    </w:p>
    <w:p w14:paraId="159C08EE">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（十）除电源总开关以外，所需之电气器材，全部由</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自行负责。</w:t>
      </w:r>
    </w:p>
    <w:p w14:paraId="78460697">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（十一）</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在对生产设备电焊工作前，须告知</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设备操作人员。</w:t>
      </w:r>
    </w:p>
    <w:p w14:paraId="68F28D0D">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（十二）</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之电焊工作前需由经过训练之技工操作，该技工须持有劳动部门所发的特种作业人员操作证（电焊作业），工作时场地应绕以护屏，以遮挡耀目之火花，遇高温、天雨积水有感电之危险时应暂停工作，并与</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有关人员联络。</w:t>
      </w:r>
    </w:p>
    <w:p w14:paraId="04185E30">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（十三）</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应随时留意检查所使用电源器具及导线之绝对安全性，如有发生意外均由</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负其全责。</w:t>
      </w:r>
    </w:p>
    <w:p w14:paraId="1EA510B3">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（十四）</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对</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之电力设备及用电情况，如认为不符合安全规定或未达用电安全时，得通知</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限期改善，</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不得借故拖延，否则将停止供电，如因此而导致工程进度落后由</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负责。</w:t>
      </w:r>
    </w:p>
    <w:p w14:paraId="3CD7A18B">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4.气焊（割）部分</w:t>
      </w:r>
    </w:p>
    <w:p w14:paraId="607BB4AA">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使用之气焊（割）设备时，应先检查其容器、压力计、焊嘴、输气管等，是否有失气或漏气情况，并需经现场监工人员之认可，方能使用。</w:t>
      </w:r>
    </w:p>
    <w:p w14:paraId="3D857C62">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每次点燃焊嘴，需使用火柴或打火机，严禁以破布、草绳及香烟引火。</w:t>
      </w:r>
    </w:p>
    <w:p w14:paraId="6F1F31B5">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电焊工搬运钢瓶须用手推车，或沿底缘滚动，不得平卧滚进或上拖拉。</w:t>
      </w:r>
    </w:p>
    <w:p w14:paraId="3424CDAB">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（四）钢瓶不得与任何带电导体接触或作为电流经路之一部分。</w:t>
      </w:r>
    </w:p>
    <w:p w14:paraId="135352DF">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（五）</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自备之氧气及乙炔瓶各自集中保管，用毕之空瓶应予集中（定点处），绝对不可随处堆放，影响工作安全。</w:t>
      </w:r>
    </w:p>
    <w:p w14:paraId="3C40E66E">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（六）乙炔钢瓶须竖立使用，并避免曝晒，以防止爆炸之发生。氧气瓶与乙炔瓶及明火距离应大于5m，乙炔瓶与明火距离应大于10m。</w:t>
      </w:r>
    </w:p>
    <w:p w14:paraId="7B257930">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（七）</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不得将钢瓶带进密闭之桶、槽、塔使用。</w:t>
      </w:r>
    </w:p>
    <w:p w14:paraId="30F7E3C6">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（八）</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焊工之个人防护用品，应依规定穿戴齐备。</w:t>
      </w:r>
    </w:p>
    <w:p w14:paraId="3996F48B">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（九）高处工作之焊工，应注意下面行人及物品之安全，不得使焊渣及切割物掉落，伤及人、物，并避免引起火灾，应有专人在地面疏导安全。禁止在</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电缆沟盖板上进行焊割作业，电气焊作业时应注意保护作业面临近的电缆、光缆。</w:t>
      </w:r>
    </w:p>
    <w:p w14:paraId="143BE7A3">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（十）每日停止焊割工作后，焊工应注意巡视焊割场地之四周，有舍余烟未熄之情况以免招致灾害，</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之监工人员，亦应于最后离开现场前，重加巡视，以策安全。</w:t>
      </w:r>
    </w:p>
    <w:p w14:paraId="55AA3F2C">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5.高处施工部分</w:t>
      </w:r>
    </w:p>
    <w:p w14:paraId="4982B9D9">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凡是从事建筑物之新建、增建、改造、修建及拆修等行为时，</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应按国家高空作业有关规定实施，应于其施工场所设置适当之防护围棚、挡土设备、施工架等安全措施，以防护人员之意外伤亡，地层下陷建筑之倒塌等而危及公共安全。</w:t>
      </w:r>
    </w:p>
    <w:p w14:paraId="77C01708">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（二）施工架搭设及拆除，应派持有上岗证的人员担任。从事高空作业的人员应定期体检。经医生诊断，患高血压、心脏病、贫血病、癫痫病以及其它不适于高空作业的，不得从事高空作业。</w:t>
      </w:r>
    </w:p>
    <w:p w14:paraId="70A99D71">
      <w:pPr>
        <w:pageBreakBefore w:val="0"/>
        <w:widowControl w:val="0"/>
        <w:kinsoku/>
        <w:wordWrap/>
        <w:overflowPunct/>
        <w:topLinePunct w:val="0"/>
        <w:bidi w:val="0"/>
        <w:snapToGrid/>
        <w:spacing w:line="360" w:lineRule="auto"/>
        <w:ind w:firstLine="367" w:firstLineChars="175"/>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搭建之施工架、工作台、走道、梯子等之强度，应以优良品质材料搭建，使其具足够负荷承受之重量与压力，不得使用有缺陷之材料。</w:t>
      </w:r>
    </w:p>
    <w:p w14:paraId="1925FAC8">
      <w:pPr>
        <w:pageBreakBefore w:val="0"/>
        <w:widowControl w:val="0"/>
        <w:kinsoku/>
        <w:wordWrap/>
        <w:overflowPunct/>
        <w:topLinePunct w:val="0"/>
        <w:bidi w:val="0"/>
        <w:snapToGrid/>
        <w:spacing w:line="360" w:lineRule="auto"/>
        <w:ind w:firstLine="367" w:firstLineChars="175"/>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（四）施工架上物料运送及贮存，负荷重应求平均，并严禁超载，施工人员所使用之各种工具应避免放置架台上，否则应将该工具固定，以免滑落伤及架下方人或物。上下传递物件禁止抛掷。</w:t>
      </w:r>
    </w:p>
    <w:p w14:paraId="0F0FF311">
      <w:pPr>
        <w:pageBreakBefore w:val="0"/>
        <w:widowControl w:val="0"/>
        <w:kinsoku/>
        <w:wordWrap/>
        <w:overflowPunct/>
        <w:topLinePunct w:val="0"/>
        <w:bidi w:val="0"/>
        <w:snapToGrid/>
        <w:spacing w:line="360" w:lineRule="auto"/>
        <w:ind w:firstLine="367" w:firstLineChars="175"/>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（五）</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应注意工地照明，其作业区域应设置安全标志。</w:t>
      </w:r>
    </w:p>
    <w:p w14:paraId="287933D3">
      <w:pPr>
        <w:pageBreakBefore w:val="0"/>
        <w:widowControl w:val="0"/>
        <w:kinsoku/>
        <w:wordWrap/>
        <w:overflowPunct/>
        <w:topLinePunct w:val="0"/>
        <w:bidi w:val="0"/>
        <w:snapToGrid/>
        <w:spacing w:line="360" w:lineRule="auto"/>
        <w:ind w:firstLine="367" w:firstLineChars="175"/>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（六）施工架使用升降装置时应增加强度，并防止脚踏移动吊负重物与施工架不可撞碰。</w:t>
      </w:r>
    </w:p>
    <w:p w14:paraId="62CBBE3F">
      <w:pPr>
        <w:pageBreakBefore w:val="0"/>
        <w:widowControl w:val="0"/>
        <w:kinsoku/>
        <w:wordWrap/>
        <w:overflowPunct/>
        <w:topLinePunct w:val="0"/>
        <w:bidi w:val="0"/>
        <w:snapToGrid/>
        <w:spacing w:line="360" w:lineRule="auto"/>
        <w:ind w:firstLine="367" w:firstLineChars="175"/>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七）高处作业如未能铺设工作台，应规定施工人员佩挂安全带。进入施工现场，禁止穿拖鞋或光脚；高空作业衣着更灵便，禁止穿硬底和带钉易滑的鞋。上下交叉作业有危险的出入口要有防护棚或其它隔离设施。距地面3米以上作业要有防护栏杆，挡板或安全网。安全帽、安全带、安全网要定期检查，不符合要求的，禁止使用。</w:t>
      </w:r>
    </w:p>
    <w:p w14:paraId="4E5B36CD">
      <w:pPr>
        <w:pageBreakBefore w:val="0"/>
        <w:widowControl w:val="0"/>
        <w:kinsoku/>
        <w:wordWrap/>
        <w:overflowPunct/>
        <w:topLinePunct w:val="0"/>
        <w:bidi w:val="0"/>
        <w:snapToGrid/>
        <w:spacing w:line="360" w:lineRule="auto"/>
        <w:ind w:firstLine="367" w:firstLineChars="175"/>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八）施工架、护栏、护盖应经常注意保养以保持效能，如发现有异常时，应即修补或采取其他必要措施，如临时拆除应采取其他必要安全措施于拆除原因消失后应即恢复原状。施工现场的脚手架、防护设施、安全标志和警告牌，不得擅自拆除。拆除脚手架，周围应设围栏或警戒标志，并设专人看管，禁人入内。拆除应按顺序由上而下，一步一清，不准上下同时作业。</w:t>
      </w:r>
    </w:p>
    <w:p w14:paraId="4F4D7BD9">
      <w:pPr>
        <w:pageBreakBefore w:val="0"/>
        <w:widowControl w:val="0"/>
        <w:kinsoku/>
        <w:wordWrap/>
        <w:overflowPunct/>
        <w:topLinePunct w:val="0"/>
        <w:bidi w:val="0"/>
        <w:snapToGrid/>
        <w:spacing w:line="360" w:lineRule="auto"/>
        <w:ind w:firstLine="367" w:firstLineChars="175"/>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（九）工作台上四周设置具有适当强度之扶手，护栏下之垂直空间不得超过90公分。</w:t>
      </w:r>
    </w:p>
    <w:p w14:paraId="760CA2F5">
      <w:pPr>
        <w:pageBreakBefore w:val="0"/>
        <w:widowControl w:val="0"/>
        <w:kinsoku/>
        <w:wordWrap/>
        <w:overflowPunct/>
        <w:topLinePunct w:val="0"/>
        <w:bidi w:val="0"/>
        <w:snapToGrid/>
        <w:spacing w:line="360" w:lineRule="auto"/>
        <w:ind w:firstLine="367" w:firstLineChars="175"/>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（十）架梯应有防止移动之设备，架梯与主机均应有适当强度，并连接牢固，有断缺损裂者不得使用。</w:t>
      </w:r>
    </w:p>
    <w:p w14:paraId="0D2D1A0C">
      <w:pPr>
        <w:pageBreakBefore w:val="0"/>
        <w:widowControl w:val="0"/>
        <w:kinsoku/>
        <w:wordWrap/>
        <w:overflowPunct/>
        <w:topLinePunct w:val="0"/>
        <w:bidi w:val="0"/>
        <w:snapToGrid/>
        <w:spacing w:line="360" w:lineRule="auto"/>
        <w:ind w:firstLine="367" w:firstLineChars="175"/>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（十一）用作升降井或吊运物料之施工架在建筑物地板或工作台之孔洞缺口处，均应加护栏。</w:t>
      </w:r>
    </w:p>
    <w:p w14:paraId="13F8D566">
      <w:pPr>
        <w:pageBreakBefore w:val="0"/>
        <w:widowControl w:val="0"/>
        <w:kinsoku/>
        <w:wordWrap/>
        <w:overflowPunct/>
        <w:topLinePunct w:val="0"/>
        <w:bidi w:val="0"/>
        <w:snapToGrid/>
        <w:spacing w:line="360" w:lineRule="auto"/>
        <w:ind w:firstLine="367" w:firstLineChars="175"/>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（十二）对于施工人员在石棉瓦、铁皮板、瓦、木板、塑等材料横筑屋顶从事作业时为防止踏坠落，应设置适当强度，且宽度在三十公分以下之踏板或装设防护网。</w:t>
      </w:r>
    </w:p>
    <w:p w14:paraId="5C4C9D9C">
      <w:pPr>
        <w:pageBreakBefore w:val="0"/>
        <w:widowControl w:val="0"/>
        <w:kinsoku/>
        <w:wordWrap/>
        <w:overflowPunct/>
        <w:topLinePunct w:val="0"/>
        <w:bidi w:val="0"/>
        <w:snapToGrid/>
        <w:spacing w:line="360" w:lineRule="auto"/>
        <w:ind w:firstLine="367" w:firstLineChars="175"/>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6.吊重机械设备部分</w:t>
      </w:r>
    </w:p>
    <w:p w14:paraId="35833EA6">
      <w:pPr>
        <w:pageBreakBefore w:val="0"/>
        <w:widowControl w:val="0"/>
        <w:kinsoku/>
        <w:wordWrap/>
        <w:overflowPunct/>
        <w:topLinePunct w:val="0"/>
        <w:bidi w:val="0"/>
        <w:snapToGrid/>
        <w:spacing w:line="360" w:lineRule="auto"/>
        <w:ind w:firstLine="367" w:firstLineChars="175"/>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（一）吊重设备包括起重机、绞车、滑车与一切吊重机悠扬及配件，均应构成良好，具有适当强度，并随时保持可用状态。</w:t>
      </w:r>
    </w:p>
    <w:p w14:paraId="3D5D51FD">
      <w:pPr>
        <w:pageBreakBefore w:val="0"/>
        <w:widowControl w:val="0"/>
        <w:kinsoku/>
        <w:wordWrap/>
        <w:overflowPunct/>
        <w:topLinePunct w:val="0"/>
        <w:bidi w:val="0"/>
        <w:snapToGrid/>
        <w:spacing w:line="360" w:lineRule="auto"/>
        <w:ind w:firstLine="367" w:firstLineChars="175"/>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之各种吊重设备，应对安全荷重量及最大重分别予以标明不得超载。</w:t>
      </w:r>
    </w:p>
    <w:p w14:paraId="45EBE6B4">
      <w:pPr>
        <w:pageBreakBefore w:val="0"/>
        <w:widowControl w:val="0"/>
        <w:kinsoku/>
        <w:wordWrap/>
        <w:overflowPunct/>
        <w:topLinePunct w:val="0"/>
        <w:bidi w:val="0"/>
        <w:snapToGrid/>
        <w:spacing w:line="360" w:lineRule="auto"/>
        <w:ind w:firstLine="367" w:firstLineChars="175"/>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吊重工作进行中应防止人员通过或停立于负荷物之下必要时应竖立标志，工作中须派人指挥防止意外，吊重绳索不得妨碍交通。</w:t>
      </w:r>
    </w:p>
    <w:p w14:paraId="4BF6321C">
      <w:pPr>
        <w:pageBreakBefore w:val="0"/>
        <w:widowControl w:val="0"/>
        <w:kinsoku/>
        <w:wordWrap/>
        <w:overflowPunct/>
        <w:topLinePunct w:val="0"/>
        <w:bidi w:val="0"/>
        <w:snapToGrid/>
        <w:spacing w:line="360" w:lineRule="auto"/>
        <w:ind w:firstLine="367" w:firstLineChars="175"/>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操作吊重设备人员及指挥监督人员均应具备相当经验，并持有劳动部门所发的特种作业人员操作证（起重作业）。</w:t>
      </w:r>
    </w:p>
    <w:p w14:paraId="6E3112B2">
      <w:pPr>
        <w:pageBreakBefore w:val="0"/>
        <w:widowControl w:val="0"/>
        <w:kinsoku/>
        <w:wordWrap/>
        <w:overflowPunct/>
        <w:topLinePunct w:val="0"/>
        <w:bidi w:val="0"/>
        <w:snapToGrid/>
        <w:spacing w:line="360" w:lineRule="auto"/>
        <w:ind w:firstLine="367" w:firstLineChars="175"/>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（五）</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之电动机、传动设备、吊重设备之突出部分应加装有效之安全护罩。</w:t>
      </w:r>
    </w:p>
    <w:p w14:paraId="008ADA52">
      <w:pPr>
        <w:pageBreakBefore w:val="0"/>
        <w:widowControl w:val="0"/>
        <w:kinsoku/>
        <w:wordWrap/>
        <w:overflowPunct/>
        <w:topLinePunct w:val="0"/>
        <w:bidi w:val="0"/>
        <w:snapToGrid/>
        <w:spacing w:line="360" w:lineRule="auto"/>
        <w:ind w:firstLine="367" w:firstLineChars="175"/>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（六）</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之各种吊重设备应装置有效之刹车及其他必须之安全设备以防吊物之坠落。</w:t>
      </w:r>
    </w:p>
    <w:p w14:paraId="2DDF6F20">
      <w:pPr>
        <w:pageBreakBefore w:val="0"/>
        <w:widowControl w:val="0"/>
        <w:kinsoku/>
        <w:wordWrap/>
        <w:overflowPunct/>
        <w:topLinePunct w:val="0"/>
        <w:bidi w:val="0"/>
        <w:snapToGrid/>
        <w:spacing w:line="360" w:lineRule="auto"/>
        <w:ind w:firstLine="367" w:firstLineChars="175"/>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（七）</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使用</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吊重设备时，若在使用过程致设备损坏或人员伤害，由</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负全责，且须赔偿</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一切损失。</w:t>
      </w:r>
    </w:p>
    <w:p w14:paraId="070F2872">
      <w:pPr>
        <w:pageBreakBefore w:val="0"/>
        <w:widowControl w:val="0"/>
        <w:kinsoku/>
        <w:wordWrap/>
        <w:overflowPunct/>
        <w:topLinePunct w:val="0"/>
        <w:bidi w:val="0"/>
        <w:snapToGrid/>
        <w:spacing w:line="360" w:lineRule="auto"/>
        <w:ind w:firstLine="367" w:firstLineChars="175"/>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（八）</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之起重机吊起被吊物后，操作人员不可任意离开操作位置。</w:t>
      </w:r>
    </w:p>
    <w:p w14:paraId="6D054499">
      <w:pPr>
        <w:pageBreakBefore w:val="0"/>
        <w:widowControl w:val="0"/>
        <w:kinsoku/>
        <w:wordWrap/>
        <w:overflowPunct/>
        <w:topLinePunct w:val="0"/>
        <w:bidi w:val="0"/>
        <w:snapToGrid/>
        <w:spacing w:line="360" w:lineRule="auto"/>
        <w:ind w:firstLine="367" w:firstLineChars="175"/>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（九）起重机具不得乘载人员或吊升工作人员。</w:t>
      </w:r>
    </w:p>
    <w:p w14:paraId="4BF4C5FE">
      <w:pPr>
        <w:pageBreakBefore w:val="0"/>
        <w:widowControl w:val="0"/>
        <w:kinsoku/>
        <w:wordWrap/>
        <w:overflowPunct/>
        <w:topLinePunct w:val="0"/>
        <w:bidi w:val="0"/>
        <w:snapToGrid/>
        <w:spacing w:line="360" w:lineRule="auto"/>
        <w:ind w:firstLine="367" w:firstLineChars="175"/>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（十）起吊设备如利用屋架、屋柱时必须先征得</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有关人员之同意，如有损坏</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应负责修复或赔偿。</w:t>
      </w:r>
    </w:p>
    <w:p w14:paraId="66972BF5">
      <w:pPr>
        <w:pageBreakBefore w:val="0"/>
        <w:widowControl w:val="0"/>
        <w:kinsoku/>
        <w:wordWrap/>
        <w:overflowPunct/>
        <w:topLinePunct w:val="0"/>
        <w:bidi w:val="0"/>
        <w:snapToGrid/>
        <w:spacing w:line="360" w:lineRule="auto"/>
        <w:ind w:firstLine="367" w:firstLineChars="175"/>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应自觉做好以下事项：</w:t>
      </w:r>
    </w:p>
    <w:p w14:paraId="670A8A0F">
      <w:pPr>
        <w:pageBreakBefore w:val="0"/>
        <w:widowControl w:val="0"/>
        <w:kinsoku/>
        <w:wordWrap/>
        <w:overflowPunct/>
        <w:topLinePunct w:val="0"/>
        <w:bidi w:val="0"/>
        <w:snapToGrid/>
        <w:spacing w:line="360" w:lineRule="auto"/>
        <w:ind w:firstLine="367" w:firstLineChars="175"/>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厂内机动车辆包括叉车、装载机、汽车、拖拉机、挖掘机、推土机等，</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在</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道路上行驶之厂内机动车辆必须保持车况良好，且应持有</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所在地质量技术监督局所发牌照和使用证（持有交通部门所发牌照除外）。</w:t>
      </w:r>
    </w:p>
    <w:p w14:paraId="177586F3">
      <w:pPr>
        <w:pageBreakBefore w:val="0"/>
        <w:widowControl w:val="0"/>
        <w:kinsoku/>
        <w:wordWrap/>
        <w:overflowPunct/>
        <w:topLinePunct w:val="0"/>
        <w:bidi w:val="0"/>
        <w:snapToGrid/>
        <w:spacing w:line="360" w:lineRule="auto"/>
        <w:ind w:firstLine="367" w:firstLineChars="175"/>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之厂内机动车辆驾驶员需由经过训练之技工操作，该技工须持有安全生产管理部门所发的特种作业人员（厂内机动车辆驾驶作业）操作证（持有交通部门所发驾驶证照除外）。</w:t>
      </w:r>
    </w:p>
    <w:p w14:paraId="3670BFB6">
      <w:pPr>
        <w:pageBreakBefore w:val="0"/>
        <w:widowControl w:val="0"/>
        <w:kinsoku/>
        <w:wordWrap/>
        <w:overflowPunct/>
        <w:topLinePunct w:val="0"/>
        <w:bidi w:val="0"/>
        <w:snapToGrid/>
        <w:spacing w:line="360" w:lineRule="auto"/>
        <w:ind w:firstLine="367" w:firstLineChars="175"/>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车辆在</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道路上行驶时须参照</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相关安全规定安全行使，如限速行驶等。</w:t>
      </w:r>
    </w:p>
    <w:p w14:paraId="2276F936">
      <w:pPr>
        <w:pageBreakBefore w:val="0"/>
        <w:widowControl w:val="0"/>
        <w:kinsoku/>
        <w:wordWrap/>
        <w:overflowPunct/>
        <w:topLinePunct w:val="0"/>
        <w:bidi w:val="0"/>
        <w:snapToGrid/>
        <w:spacing w:line="360" w:lineRule="auto"/>
        <w:ind w:firstLine="367" w:firstLineChars="175"/>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车辆行驶中遇有意外致使</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财物受损或人员伤害，由</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负其全责，且须赔偿</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一切损失。（</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按照国家相关法律规定对</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承担相应责任）</w:t>
      </w:r>
    </w:p>
    <w:p w14:paraId="0461A7F9">
      <w:pPr>
        <w:pageBreakBefore w:val="0"/>
        <w:widowControl w:val="0"/>
        <w:kinsoku/>
        <w:wordWrap/>
        <w:overflowPunct/>
        <w:topLinePunct w:val="0"/>
        <w:bidi w:val="0"/>
        <w:snapToGrid/>
        <w:spacing w:line="360" w:lineRule="auto"/>
        <w:ind w:firstLine="367" w:firstLineChars="175"/>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（五）</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人员、物资、车辆出入</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须办理登记，若因</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手续不全等原因造成的纠纷或损失由</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自负。</w:t>
      </w:r>
    </w:p>
    <w:p w14:paraId="67BD171C">
      <w:pPr>
        <w:snapToGrid w:val="0"/>
        <w:spacing w:after="0" w:afterLines="0" w:line="360" w:lineRule="auto"/>
        <w:ind w:firstLine="316" w:firstLineChars="15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甲方</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eastAsia="zh-CN"/>
        </w:rPr>
        <w:t>阳江开能环保能源有限公司</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lang w:eastAsia="zh-CN"/>
        </w:rPr>
        <w:t>乙方</w:t>
      </w:r>
      <w:r>
        <w:rPr>
          <w:rFonts w:hint="eastAsia" w:ascii="宋体" w:hAnsi="宋体" w:eastAsia="宋体" w:cs="宋体"/>
          <w:b/>
          <w:color w:val="auto"/>
          <w:sz w:val="21"/>
          <w:szCs w:val="21"/>
          <w:highlight w:val="none"/>
        </w:rPr>
        <w:t>:</w:t>
      </w:r>
    </w:p>
    <w:p w14:paraId="0D940003">
      <w:pPr>
        <w:snapToGrid w:val="0"/>
        <w:spacing w:after="0" w:afterLines="0" w:line="360" w:lineRule="auto"/>
        <w:ind w:firstLine="316" w:firstLineChars="15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法人或委托代表人：                      法人或委托代表人：  </w:t>
      </w:r>
    </w:p>
    <w:p w14:paraId="719631FE">
      <w:pPr>
        <w:spacing w:before="0" w:beforeLines="-2147483648" w:after="0" w:afterLines="-2147483648" w:line="240" w:lineRule="auto"/>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163DA137">
      <w:pPr>
        <w:spacing w:before="120" w:beforeLines="50" w:after="120" w:afterLines="50"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w:t>
      </w: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：农民工工资及管理要求</w:t>
      </w:r>
    </w:p>
    <w:p w14:paraId="3BEE9EA6">
      <w:pPr>
        <w:pStyle w:val="104"/>
        <w:snapToGrid w:val="0"/>
        <w:spacing w:before="0" w:after="0" w:line="360" w:lineRule="auto"/>
        <w:ind w:left="0" w:right="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甲方</w:t>
      </w:r>
      <w:r>
        <w:rPr>
          <w:rFonts w:hint="eastAsia" w:ascii="宋体" w:hAnsi="宋体" w:eastAsia="宋体" w:cs="宋体"/>
          <w:b/>
          <w:color w:val="auto"/>
          <w:sz w:val="21"/>
          <w:szCs w:val="21"/>
          <w:highlight w:val="none"/>
        </w:rPr>
        <w:t>（全称）：</w:t>
      </w:r>
      <w:r>
        <w:rPr>
          <w:rFonts w:hint="eastAsia" w:ascii="宋体" w:hAnsi="宋体" w:eastAsia="宋体" w:cs="宋体"/>
          <w:b/>
          <w:color w:val="auto"/>
          <w:sz w:val="21"/>
          <w:szCs w:val="21"/>
          <w:highlight w:val="none"/>
          <w:u w:val="single"/>
          <w:lang w:val="en-US" w:eastAsia="zh-CN"/>
        </w:rPr>
        <w:t>阳江</w:t>
      </w:r>
      <w:r>
        <w:rPr>
          <w:rFonts w:hint="eastAsia" w:ascii="宋体" w:hAnsi="宋体" w:eastAsia="宋体" w:cs="宋体"/>
          <w:b/>
          <w:color w:val="auto"/>
          <w:sz w:val="21"/>
          <w:szCs w:val="21"/>
          <w:highlight w:val="none"/>
          <w:u w:val="single"/>
        </w:rPr>
        <w:t xml:space="preserve">开能环保能源有限公司 </w:t>
      </w:r>
    </w:p>
    <w:p w14:paraId="1A5B6C18">
      <w:pPr>
        <w:pStyle w:val="104"/>
        <w:spacing w:before="0" w:after="0" w:line="360" w:lineRule="auto"/>
        <w:ind w:left="10" w:leftChars="5" w:right="7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lang w:eastAsia="zh-CN"/>
        </w:rPr>
        <w:t>乙方</w:t>
      </w:r>
      <w:r>
        <w:rPr>
          <w:rFonts w:hint="eastAsia" w:ascii="宋体" w:hAnsi="宋体" w:eastAsia="宋体" w:cs="宋体"/>
          <w:b/>
          <w:color w:val="auto"/>
          <w:sz w:val="21"/>
          <w:szCs w:val="21"/>
          <w:highlight w:val="none"/>
        </w:rPr>
        <w:t>（全称）：</w:t>
      </w:r>
    </w:p>
    <w:p w14:paraId="73C3374A">
      <w:pPr>
        <w:tabs>
          <w:tab w:val="left" w:pos="-105"/>
        </w:tabs>
        <w:spacing w:before="120" w:beforeLines="50" w:after="120" w:afterLines="50" w:line="360" w:lineRule="auto"/>
        <w:ind w:firstLine="558" w:firstLineChars="26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为进一步加强农民工工资发放管理，加强内部治安管理，维护正常的施工秩序，构建和谐工地氛围，确保</w:t>
      </w:r>
      <w:r>
        <w:rPr>
          <w:rFonts w:hint="eastAsia" w:ascii="宋体" w:hAnsi="宋体" w:cs="宋体"/>
          <w:bCs/>
          <w:color w:val="auto"/>
          <w:sz w:val="21"/>
          <w:szCs w:val="21"/>
          <w:highlight w:val="none"/>
          <w:u w:val="single"/>
          <w:lang w:val="en-US" w:eastAsia="zh-CN"/>
        </w:rPr>
        <w:t>阳江开能5-8#AOD余热锅炉技术改造项目施工</w:t>
      </w:r>
      <w:r>
        <w:rPr>
          <w:rFonts w:hint="eastAsia" w:ascii="宋体" w:hAnsi="宋体" w:eastAsia="宋体" w:cs="宋体"/>
          <w:bCs/>
          <w:color w:val="auto"/>
          <w:sz w:val="21"/>
          <w:szCs w:val="21"/>
          <w:highlight w:val="none"/>
        </w:rPr>
        <w:t>安全、优质、经济、高效地</w:t>
      </w:r>
      <w:r>
        <w:rPr>
          <w:rFonts w:hint="eastAsia" w:ascii="宋体" w:hAnsi="宋体" w:eastAsia="宋体" w:cs="宋体"/>
          <w:bCs/>
          <w:color w:val="auto"/>
          <w:sz w:val="21"/>
          <w:szCs w:val="21"/>
          <w:highlight w:val="none"/>
          <w:lang w:val="en-US" w:eastAsia="zh-CN"/>
        </w:rPr>
        <w:t>完工</w:t>
      </w:r>
      <w:r>
        <w:rPr>
          <w:rFonts w:hint="eastAsia" w:ascii="宋体" w:hAnsi="宋体" w:eastAsia="宋体" w:cs="宋体"/>
          <w:bCs/>
          <w:color w:val="auto"/>
          <w:sz w:val="21"/>
          <w:szCs w:val="21"/>
          <w:highlight w:val="none"/>
        </w:rPr>
        <w:t>，经双方协商一致如下：</w:t>
      </w:r>
    </w:p>
    <w:p w14:paraId="67BF1828">
      <w:pPr>
        <w:numPr>
          <w:ilvl w:val="0"/>
          <w:numId w:val="12"/>
        </w:numPr>
        <w:tabs>
          <w:tab w:val="left" w:pos="-105"/>
          <w:tab w:val="clear" w:pos="342"/>
        </w:tabs>
        <w:spacing w:before="120" w:beforeLines="50" w:after="120" w:afterLines="50" w:line="360" w:lineRule="auto"/>
        <w:ind w:left="0" w:firstLine="567"/>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承诺按照《国务院关于解决农民工若干问题的意见》、《建设领域农民工工资支付管理暂行办法》和建设行政主管部门的相关规定，做好农民工工资发放。</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承诺配合</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及政府主管部门开展劳务工实名制和劳务工工资支付分账管理，并承诺按</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和业主要求做好配合工作。</w:t>
      </w:r>
    </w:p>
    <w:p w14:paraId="158EABC6">
      <w:pPr>
        <w:numPr>
          <w:ilvl w:val="0"/>
          <w:numId w:val="12"/>
        </w:numPr>
        <w:tabs>
          <w:tab w:val="left" w:pos="-105"/>
          <w:tab w:val="clear" w:pos="342"/>
        </w:tabs>
        <w:spacing w:before="120" w:beforeLines="50" w:after="120" w:afterLines="50" w:line="360" w:lineRule="auto"/>
        <w:ind w:left="0" w:firstLine="567"/>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承诺应当配备专职或兼职劳资管理员，建立用工管理台账，真实、准确记录工人名册、劳动合同、工程进度、工时、劳务承包款和工人工资支付情况等信息，并保存两年以上备查。严格用工制度，把好用人关。</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承诺不聘用未经“三级”教育并未通过实名制管理系统信息采集的劳务工人。未进行培训的劳务工人不得进入安装工地。</w:t>
      </w:r>
    </w:p>
    <w:p w14:paraId="41E7EC36">
      <w:pPr>
        <w:numPr>
          <w:ilvl w:val="0"/>
          <w:numId w:val="12"/>
        </w:numPr>
        <w:tabs>
          <w:tab w:val="left" w:pos="-105"/>
          <w:tab w:val="clear" w:pos="342"/>
        </w:tabs>
        <w:spacing w:before="120" w:beforeLines="50" w:after="120" w:afterLines="50" w:line="360" w:lineRule="auto"/>
        <w:ind w:left="0" w:firstLine="567"/>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承诺与签订劳务合同</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发现有未签订劳动合同的劳动者在现场施工，</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支付违约金5000元/人次。</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承诺</w:t>
      </w:r>
      <w:r>
        <w:rPr>
          <w:rFonts w:hint="eastAsia" w:ascii="宋体" w:hAnsi="宋体" w:eastAsia="宋体" w:cs="宋体"/>
          <w:bCs/>
          <w:color w:val="auto"/>
          <w:sz w:val="21"/>
          <w:szCs w:val="21"/>
          <w:highlight w:val="none"/>
        </w:rPr>
        <w:t>从业人员入场前需要采集实名信息，包括身份证电子信息、身份证扫描件、工种、班组、电话、单位、银行帐号、人员类型等。严格按业主要求办理工作卡（出入证），如发生进场人员不及时办理工作卡（出入证）或使用伪造假出入证，一经查出，愿接受业主处罚及项目部（500元/人）的处罚。对于习惯性违章员工，愿意接收业主或项目部的要求，予以清退场处理，相关费用由</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承担。</w:t>
      </w:r>
    </w:p>
    <w:p w14:paraId="3C583DCB">
      <w:pPr>
        <w:numPr>
          <w:ilvl w:val="0"/>
          <w:numId w:val="12"/>
        </w:numPr>
        <w:tabs>
          <w:tab w:val="left" w:pos="-105"/>
          <w:tab w:val="clear" w:pos="342"/>
        </w:tabs>
        <w:spacing w:before="120" w:beforeLines="50" w:after="120" w:afterLines="50" w:line="360" w:lineRule="auto"/>
        <w:ind w:left="0" w:firstLine="567"/>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对辖下员工加强法制教育，提高守法观念。进一步完善管理制度，按照“做一项工程，保一方平安”的原则，管好自己的人、带好自己的队伍。保证不发生现场打架斗殴。如发生一般斗殴事件或3人以内群殴事件愿接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00—5000元/每宗）罚款；发生10人以内群殴事件愿接受（5000—10000元/每宗）罚款；发生10人以上群殴事件愿接受（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000—20000元/每宗）罚款；发生群殴事件致1人重伤愿接受（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0000—</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0000元/每宗）罚款；发生群殴事件致2人以上重伤愿接受（20000元/每宗）罚款；发生阻挠、围攻、殴打现场管理人员的，愿接受（</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000—10000元/每宗）罚款；发生围攻、冲击</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或业主办公楼，员工食堂，员工宿舍等场所的事件愿接受（10000—20000元/每宗）罚款。</w:t>
      </w:r>
    </w:p>
    <w:p w14:paraId="5EBB532A">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   </w:t>
      </w:r>
    </w:p>
    <w:p w14:paraId="51E94FB6">
      <w:pPr>
        <w:tabs>
          <w:tab w:val="left" w:pos="-105"/>
        </w:tabs>
        <w:spacing w:before="120" w:beforeLines="50" w:after="120" w:afterLines="50" w:line="360" w:lineRule="auto"/>
        <w:ind w:left="567"/>
        <w:jc w:val="left"/>
        <w:rPr>
          <w:rFonts w:hint="eastAsia" w:ascii="宋体" w:hAnsi="宋体" w:eastAsia="宋体" w:cs="宋体"/>
          <w:b/>
          <w:color w:val="auto"/>
          <w:sz w:val="21"/>
          <w:szCs w:val="21"/>
          <w:highlight w:val="none"/>
        </w:rPr>
      </w:pPr>
    </w:p>
    <w:p w14:paraId="08670D58">
      <w:pPr>
        <w:pStyle w:val="104"/>
        <w:spacing w:before="0" w:after="0" w:line="360" w:lineRule="auto"/>
        <w:ind w:left="0" w:right="43"/>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甲方</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lang w:val="en-US" w:eastAsia="zh-CN"/>
        </w:rPr>
        <w:t>阳江</w:t>
      </w:r>
      <w:r>
        <w:rPr>
          <w:rFonts w:hint="eastAsia" w:ascii="宋体" w:hAnsi="宋体" w:eastAsia="宋体" w:cs="宋体"/>
          <w:b/>
          <w:bCs/>
          <w:color w:val="auto"/>
          <w:sz w:val="21"/>
          <w:szCs w:val="21"/>
          <w:highlight w:val="none"/>
        </w:rPr>
        <w:t xml:space="preserve">开能环保能源有限公司       </w:t>
      </w:r>
      <w:r>
        <w:rPr>
          <w:rFonts w:hint="eastAsia" w:ascii="宋体" w:hAnsi="宋体" w:eastAsia="宋体" w:cs="宋体"/>
          <w:b/>
          <w:bCs/>
          <w:color w:val="auto"/>
          <w:sz w:val="21"/>
          <w:szCs w:val="21"/>
          <w:highlight w:val="none"/>
          <w:lang w:eastAsia="zh-CN"/>
        </w:rPr>
        <w:t>乙方</w:t>
      </w:r>
      <w:r>
        <w:rPr>
          <w:rFonts w:hint="eastAsia" w:ascii="宋体" w:hAnsi="宋体" w:eastAsia="宋体" w:cs="宋体"/>
          <w:b/>
          <w:bCs/>
          <w:color w:val="auto"/>
          <w:sz w:val="21"/>
          <w:szCs w:val="21"/>
          <w:highlight w:val="none"/>
        </w:rPr>
        <w:t>:</w:t>
      </w:r>
    </w:p>
    <w:p w14:paraId="01E4F66E">
      <w:pPr>
        <w:snapToGrid/>
        <w:spacing w:after="0" w:afterLines="-2147483648"/>
        <w:ind w:firstLine="0" w:firstLineChars="0"/>
        <w:rPr>
          <w:rFonts w:hint="eastAsia" w:ascii="宋体" w:hAnsi="宋体" w:eastAsia="宋体" w:cs="宋体"/>
          <w:b/>
          <w:color w:val="auto"/>
          <w:sz w:val="30"/>
          <w:szCs w:val="30"/>
          <w:highlight w:val="none"/>
          <w:lang w:val="en-US" w:eastAsia="zh-CN"/>
        </w:rPr>
      </w:pPr>
      <w:r>
        <w:rPr>
          <w:rFonts w:hint="eastAsia" w:ascii="宋体" w:hAnsi="宋体" w:eastAsia="宋体" w:cs="宋体"/>
          <w:b/>
          <w:bCs/>
          <w:color w:val="auto"/>
          <w:sz w:val="21"/>
          <w:szCs w:val="21"/>
          <w:highlight w:val="none"/>
        </w:rPr>
        <w:br w:type="textWrapping"/>
      </w:r>
      <w:r>
        <w:rPr>
          <w:rFonts w:hint="eastAsia" w:ascii="宋体" w:hAnsi="宋体" w:eastAsia="宋体" w:cs="宋体"/>
          <w:b/>
          <w:bCs/>
          <w:color w:val="auto"/>
          <w:sz w:val="21"/>
          <w:szCs w:val="21"/>
          <w:highlight w:val="none"/>
        </w:rPr>
        <w:t>法定代表人</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或委托代表人</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           法定代表人</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或委托代表人</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highlight w:val="none"/>
        </w:rPr>
        <w:t xml:space="preserve"> </w:t>
      </w:r>
    </w:p>
    <w:p w14:paraId="48F49D1B">
      <w:pPr>
        <w:snapToGrid/>
        <w:spacing w:after="0" w:afterLines="-2147483648"/>
        <w:ind w:firstLine="0" w:firstLineChars="0"/>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附件5</w:t>
      </w:r>
    </w:p>
    <w:p w14:paraId="6998B49F">
      <w:pPr>
        <w:snapToGrid/>
        <w:spacing w:before="0" w:beforeAutospacing="0" w:after="0" w:afterAutospacing="0" w:line="360" w:lineRule="auto"/>
        <w:jc w:val="center"/>
        <w:textAlignment w:val="baseline"/>
        <w:rPr>
          <w:rFonts w:hint="eastAsia" w:ascii="宋体" w:hAnsi="宋体" w:eastAsia="宋体" w:cs="宋体"/>
          <w:b/>
          <w:i w:val="0"/>
          <w:caps w:val="0"/>
          <w:color w:val="auto"/>
          <w:spacing w:val="0"/>
          <w:w w:val="100"/>
          <w:sz w:val="44"/>
          <w:szCs w:val="44"/>
          <w:highlight w:val="none"/>
        </w:rPr>
      </w:pPr>
      <w:r>
        <w:rPr>
          <w:rFonts w:hint="eastAsia" w:ascii="宋体" w:hAnsi="宋体" w:eastAsia="宋体" w:cs="宋体"/>
          <w:b/>
          <w:i w:val="0"/>
          <w:caps w:val="0"/>
          <w:color w:val="auto"/>
          <w:spacing w:val="0"/>
          <w:w w:val="100"/>
          <w:sz w:val="44"/>
          <w:szCs w:val="44"/>
          <w:highlight w:val="none"/>
        </w:rPr>
        <w:t>阳光合作协议</w:t>
      </w:r>
    </w:p>
    <w:p w14:paraId="7C0B495C">
      <w:pPr>
        <w:snapToGrid/>
        <w:spacing w:before="0" w:beforeAutospacing="0" w:after="0" w:afterAutospacing="0" w:line="360" w:lineRule="auto"/>
        <w:jc w:val="center"/>
        <w:textAlignment w:val="baseline"/>
        <w:rPr>
          <w:rFonts w:hint="eastAsia" w:ascii="宋体" w:hAnsi="宋体" w:eastAsia="宋体" w:cs="宋体"/>
          <w:b/>
          <w:i w:val="0"/>
          <w:caps w:val="0"/>
          <w:color w:val="auto"/>
          <w:spacing w:val="0"/>
          <w:w w:val="100"/>
          <w:sz w:val="28"/>
          <w:szCs w:val="28"/>
          <w:highlight w:val="none"/>
        </w:rPr>
      </w:pPr>
    </w:p>
    <w:p w14:paraId="431BE913">
      <w:pPr>
        <w:snapToGrid/>
        <w:spacing w:before="156" w:beforeAutospacing="0" w:after="156" w:afterAutospacing="0" w:line="360" w:lineRule="auto"/>
        <w:ind w:firstLine="420" w:firstLineChars="200"/>
        <w:jc w:val="both"/>
        <w:textAlignment w:val="baseline"/>
        <w:rPr>
          <w:rFonts w:hint="eastAsia" w:ascii="宋体" w:hAnsi="宋体" w:eastAsia="宋体" w:cs="宋体"/>
          <w:b w:val="0"/>
          <w:i w:val="0"/>
          <w:caps w:val="0"/>
          <w:color w:val="auto"/>
          <w:spacing w:val="0"/>
          <w:w w:val="100"/>
          <w:sz w:val="20"/>
          <w:highlight w:val="none"/>
        </w:rPr>
      </w:pPr>
      <w:r>
        <w:rPr>
          <w:rFonts w:hint="eastAsia" w:ascii="宋体" w:hAnsi="宋体" w:eastAsia="宋体" w:cs="宋体"/>
          <w:b w:val="0"/>
          <w:i w:val="0"/>
          <w:caps w:val="0"/>
          <w:color w:val="auto"/>
          <w:spacing w:val="0"/>
          <w:w w:val="100"/>
          <w:sz w:val="21"/>
          <w:highlight w:val="none"/>
        </w:rPr>
        <w:t>甲方（</w:t>
      </w:r>
      <w:r>
        <w:rPr>
          <w:rFonts w:hint="eastAsia" w:ascii="宋体" w:hAnsi="宋体" w:eastAsia="宋体" w:cs="宋体"/>
          <w:b w:val="0"/>
          <w:i w:val="0"/>
          <w:caps w:val="0"/>
          <w:color w:val="auto"/>
          <w:spacing w:val="0"/>
          <w:w w:val="100"/>
          <w:sz w:val="21"/>
          <w:highlight w:val="none"/>
          <w:lang w:val="en-US" w:eastAsia="zh-CN"/>
        </w:rPr>
        <w:t>甲方</w:t>
      </w:r>
      <w:r>
        <w:rPr>
          <w:rFonts w:hint="eastAsia" w:ascii="宋体" w:hAnsi="宋体" w:eastAsia="宋体" w:cs="宋体"/>
          <w:b w:val="0"/>
          <w:i w:val="0"/>
          <w:caps w:val="0"/>
          <w:color w:val="auto"/>
          <w:spacing w:val="0"/>
          <w:w w:val="100"/>
          <w:sz w:val="21"/>
          <w:highlight w:val="none"/>
        </w:rPr>
        <w:t>全称）：</w:t>
      </w:r>
      <w:r>
        <w:rPr>
          <w:rFonts w:hint="eastAsia" w:ascii="宋体" w:hAnsi="宋体" w:eastAsia="宋体" w:cs="宋体"/>
          <w:b w:val="0"/>
          <w:i w:val="0"/>
          <w:caps w:val="0"/>
          <w:color w:val="auto"/>
          <w:spacing w:val="0"/>
          <w:w w:val="100"/>
          <w:sz w:val="21"/>
          <w:szCs w:val="21"/>
          <w:highlight w:val="none"/>
          <w:u w:val="single"/>
          <w:lang w:eastAsia="zh-CN"/>
        </w:rPr>
        <w:t>阳江</w:t>
      </w:r>
      <w:r>
        <w:rPr>
          <w:rFonts w:hint="eastAsia" w:ascii="宋体" w:hAnsi="宋体" w:eastAsia="宋体" w:cs="宋体"/>
          <w:b w:val="0"/>
          <w:i w:val="0"/>
          <w:caps w:val="0"/>
          <w:color w:val="auto"/>
          <w:spacing w:val="0"/>
          <w:w w:val="100"/>
          <w:sz w:val="21"/>
          <w:szCs w:val="21"/>
          <w:highlight w:val="none"/>
          <w:u w:val="single"/>
        </w:rPr>
        <w:t>开能环保能源有限公司</w:t>
      </w:r>
    </w:p>
    <w:p w14:paraId="19123AD7">
      <w:pPr>
        <w:snapToGrid/>
        <w:spacing w:before="156" w:beforeAutospacing="0" w:after="156" w:afterAutospacing="0" w:line="360" w:lineRule="auto"/>
        <w:ind w:firstLine="420" w:firstLineChars="200"/>
        <w:jc w:val="both"/>
        <w:textAlignment w:val="baseline"/>
        <w:rPr>
          <w:rFonts w:hint="eastAsia" w:ascii="宋体" w:hAnsi="宋体" w:eastAsia="宋体" w:cs="宋体"/>
          <w:b w:val="0"/>
          <w:i w:val="0"/>
          <w:caps w:val="0"/>
          <w:color w:val="auto"/>
          <w:spacing w:val="0"/>
          <w:w w:val="100"/>
          <w:sz w:val="20"/>
          <w:highlight w:val="none"/>
        </w:rPr>
      </w:pPr>
      <w:r>
        <w:rPr>
          <w:rFonts w:hint="eastAsia" w:ascii="宋体" w:hAnsi="宋体" w:eastAsia="宋体" w:cs="宋体"/>
          <w:b w:val="0"/>
          <w:i w:val="0"/>
          <w:caps w:val="0"/>
          <w:color w:val="auto"/>
          <w:spacing w:val="0"/>
          <w:w w:val="100"/>
          <w:sz w:val="21"/>
          <w:highlight w:val="none"/>
        </w:rPr>
        <w:t>乙方（</w:t>
      </w:r>
      <w:r>
        <w:rPr>
          <w:rFonts w:hint="eastAsia" w:ascii="宋体" w:hAnsi="宋体" w:eastAsia="宋体" w:cs="宋体"/>
          <w:b w:val="0"/>
          <w:i w:val="0"/>
          <w:caps w:val="0"/>
          <w:color w:val="auto"/>
          <w:spacing w:val="0"/>
          <w:w w:val="100"/>
          <w:sz w:val="21"/>
          <w:highlight w:val="none"/>
          <w:lang w:val="en-US" w:eastAsia="zh-CN"/>
        </w:rPr>
        <w:t>乙方</w:t>
      </w:r>
      <w:r>
        <w:rPr>
          <w:rFonts w:hint="eastAsia" w:ascii="宋体" w:hAnsi="宋体" w:eastAsia="宋体" w:cs="宋体"/>
          <w:b w:val="0"/>
          <w:i w:val="0"/>
          <w:caps w:val="0"/>
          <w:color w:val="auto"/>
          <w:spacing w:val="0"/>
          <w:w w:val="100"/>
          <w:sz w:val="21"/>
          <w:highlight w:val="none"/>
        </w:rPr>
        <w:t>全称）：</w:t>
      </w:r>
    </w:p>
    <w:p w14:paraId="07EF96C9">
      <w:pPr>
        <w:snapToGrid/>
        <w:spacing w:before="156" w:beforeAutospacing="0" w:after="156" w:afterAutospacing="0" w:line="360" w:lineRule="auto"/>
        <w:ind w:left="105" w:leftChars="50" w:firstLine="420" w:firstLineChars="200"/>
        <w:jc w:val="both"/>
        <w:textAlignment w:val="baseline"/>
        <w:rPr>
          <w:rFonts w:hint="eastAsia" w:ascii="宋体" w:hAnsi="宋体" w:eastAsia="宋体" w:cs="宋体"/>
          <w:b w:val="0"/>
          <w:i w:val="0"/>
          <w:caps w:val="0"/>
          <w:color w:val="auto"/>
          <w:spacing w:val="0"/>
          <w:w w:val="100"/>
          <w:sz w:val="20"/>
          <w:highlight w:val="none"/>
        </w:rPr>
      </w:pPr>
      <w:r>
        <w:rPr>
          <w:rFonts w:hint="eastAsia" w:ascii="宋体" w:hAnsi="宋体" w:eastAsia="宋体" w:cs="宋体"/>
          <w:b w:val="0"/>
          <w:i w:val="0"/>
          <w:caps w:val="0"/>
          <w:color w:val="auto"/>
          <w:spacing w:val="0"/>
          <w:w w:val="100"/>
          <w:sz w:val="21"/>
          <w:highlight w:val="none"/>
        </w:rPr>
        <w:t xml:space="preserve"> 甲乙双方于</w:t>
      </w:r>
      <w:r>
        <w:rPr>
          <w:rFonts w:hint="eastAsia" w:ascii="宋体" w:hAnsi="宋体" w:eastAsia="宋体" w:cs="宋体"/>
          <w:b w:val="0"/>
          <w:i w:val="0"/>
          <w:caps w:val="0"/>
          <w:color w:val="auto"/>
          <w:spacing w:val="0"/>
          <w:w w:val="100"/>
          <w:sz w:val="21"/>
          <w:highlight w:val="none"/>
          <w:lang w:val="en-US" w:eastAsia="zh-CN"/>
        </w:rPr>
        <w:t xml:space="preserve">   </w:t>
      </w:r>
      <w:r>
        <w:rPr>
          <w:rFonts w:hint="eastAsia" w:ascii="宋体" w:hAnsi="宋体" w:eastAsia="宋体" w:cs="宋体"/>
          <w:b w:val="0"/>
          <w:i w:val="0"/>
          <w:caps w:val="0"/>
          <w:color w:val="auto"/>
          <w:spacing w:val="0"/>
          <w:w w:val="100"/>
          <w:sz w:val="21"/>
          <w:highlight w:val="none"/>
        </w:rPr>
        <w:t xml:space="preserve">年 </w:t>
      </w:r>
      <w:r>
        <w:rPr>
          <w:rFonts w:hint="eastAsia" w:ascii="宋体" w:hAnsi="宋体" w:eastAsia="宋体" w:cs="宋体"/>
          <w:b w:val="0"/>
          <w:i w:val="0"/>
          <w:caps w:val="0"/>
          <w:color w:val="auto"/>
          <w:spacing w:val="0"/>
          <w:w w:val="100"/>
          <w:sz w:val="21"/>
          <w:highlight w:val="none"/>
          <w:lang w:val="en-US" w:eastAsia="zh-CN"/>
        </w:rPr>
        <w:t xml:space="preserve">  </w:t>
      </w:r>
      <w:r>
        <w:rPr>
          <w:rFonts w:hint="eastAsia" w:ascii="宋体" w:hAnsi="宋体" w:eastAsia="宋体" w:cs="宋体"/>
          <w:b w:val="0"/>
          <w:i w:val="0"/>
          <w:caps w:val="0"/>
          <w:color w:val="auto"/>
          <w:spacing w:val="0"/>
          <w:w w:val="100"/>
          <w:sz w:val="21"/>
          <w:highlight w:val="none"/>
        </w:rPr>
        <w:t>月</w:t>
      </w:r>
      <w:r>
        <w:rPr>
          <w:rFonts w:hint="eastAsia" w:ascii="宋体" w:hAnsi="宋体" w:eastAsia="宋体" w:cs="宋体"/>
          <w:b w:val="0"/>
          <w:i w:val="0"/>
          <w:caps w:val="0"/>
          <w:color w:val="auto"/>
          <w:spacing w:val="0"/>
          <w:w w:val="100"/>
          <w:sz w:val="21"/>
          <w:highlight w:val="none"/>
          <w:lang w:val="en-US" w:eastAsia="zh-CN"/>
        </w:rPr>
        <w:t xml:space="preserve">   </w:t>
      </w:r>
      <w:r>
        <w:rPr>
          <w:rFonts w:hint="eastAsia" w:ascii="宋体" w:hAnsi="宋体" w:eastAsia="宋体" w:cs="宋体"/>
          <w:b w:val="0"/>
          <w:i w:val="0"/>
          <w:caps w:val="0"/>
          <w:color w:val="auto"/>
          <w:spacing w:val="0"/>
          <w:w w:val="100"/>
          <w:sz w:val="21"/>
          <w:highlight w:val="none"/>
        </w:rPr>
        <w:t>日签署了</w:t>
      </w:r>
      <w:r>
        <w:rPr>
          <w:rFonts w:hint="eastAsia" w:ascii="宋体" w:hAnsi="宋体" w:eastAsia="宋体" w:cs="宋体"/>
          <w:b w:val="0"/>
          <w:i w:val="0"/>
          <w:caps w:val="0"/>
          <w:color w:val="auto"/>
          <w:spacing w:val="0"/>
          <w:w w:val="100"/>
          <w:sz w:val="21"/>
          <w:highlight w:val="none"/>
          <w:u w:val="single"/>
          <w:lang w:val="en-US" w:eastAsia="zh-CN"/>
        </w:rPr>
        <w:t>阳江开能5-8#AOD余热锅炉技术改造项目施工合同</w:t>
      </w:r>
      <w:r>
        <w:rPr>
          <w:rFonts w:hint="eastAsia" w:ascii="宋体" w:hAnsi="宋体" w:eastAsia="宋体" w:cs="宋体"/>
          <w:b w:val="0"/>
          <w:i w:val="0"/>
          <w:caps w:val="0"/>
          <w:color w:val="auto"/>
          <w:spacing w:val="0"/>
          <w:w w:val="100"/>
          <w:sz w:val="21"/>
          <w:highlight w:val="none"/>
        </w:rPr>
        <w:t>（以下简称原合同），为加强双方阳光合作，保证职员职业安全，甲乙双方经协商签定本协议并作为双方共同遵守的阳光合作行为准则。</w:t>
      </w:r>
    </w:p>
    <w:p w14:paraId="35423D67">
      <w:pPr>
        <w:widowControl/>
        <w:numPr>
          <w:ilvl w:val="0"/>
          <w:numId w:val="13"/>
        </w:numPr>
        <w:snapToGrid/>
        <w:spacing w:before="156" w:beforeAutospacing="0" w:after="156" w:afterAutospacing="0" w:line="360" w:lineRule="auto"/>
        <w:jc w:val="left"/>
        <w:textAlignment w:val="baseline"/>
        <w:rPr>
          <w:rFonts w:hint="eastAsia" w:ascii="宋体" w:hAnsi="宋体" w:eastAsia="宋体" w:cs="宋体"/>
          <w:b/>
          <w:i w:val="0"/>
          <w:caps w:val="0"/>
          <w:color w:val="auto"/>
          <w:spacing w:val="0"/>
          <w:w w:val="100"/>
          <w:sz w:val="20"/>
          <w:highlight w:val="none"/>
        </w:rPr>
      </w:pPr>
      <w:r>
        <w:rPr>
          <w:rFonts w:hint="eastAsia" w:ascii="宋体" w:hAnsi="宋体" w:eastAsia="宋体" w:cs="宋体"/>
          <w:b/>
          <w:i w:val="0"/>
          <w:caps w:val="0"/>
          <w:color w:val="auto"/>
          <w:spacing w:val="0"/>
          <w:w w:val="100"/>
          <w:sz w:val="21"/>
          <w:highlight w:val="none"/>
        </w:rPr>
        <w:t>甲方责任</w:t>
      </w:r>
    </w:p>
    <w:p w14:paraId="5B3AD713">
      <w:pPr>
        <w:snapToGrid/>
        <w:spacing w:before="156" w:beforeAutospacing="0" w:after="156" w:afterAutospacing="0" w:line="360" w:lineRule="auto"/>
        <w:ind w:left="105" w:leftChars="50" w:firstLine="420" w:firstLineChars="200"/>
        <w:jc w:val="both"/>
        <w:textAlignment w:val="baseline"/>
        <w:rPr>
          <w:rFonts w:hint="eastAsia" w:ascii="宋体" w:hAnsi="宋体" w:eastAsia="宋体" w:cs="宋体"/>
          <w:b w:val="0"/>
          <w:i w:val="0"/>
          <w:caps w:val="0"/>
          <w:color w:val="auto"/>
          <w:spacing w:val="0"/>
          <w:w w:val="100"/>
          <w:sz w:val="20"/>
          <w:highlight w:val="none"/>
        </w:rPr>
      </w:pPr>
      <w:r>
        <w:rPr>
          <w:rFonts w:hint="eastAsia" w:ascii="宋体" w:hAnsi="宋体" w:eastAsia="宋体" w:cs="宋体"/>
          <w:b w:val="0"/>
          <w:i w:val="0"/>
          <w:caps w:val="0"/>
          <w:color w:val="auto"/>
          <w:spacing w:val="0"/>
          <w:w w:val="100"/>
          <w:sz w:val="21"/>
          <w:highlight w:val="none"/>
        </w:rPr>
        <w:t>1.甲方有责任向乙方介绍本单位有关采购管理通用原则和本协议的规定。</w:t>
      </w:r>
    </w:p>
    <w:p w14:paraId="27DE192F">
      <w:pPr>
        <w:snapToGrid/>
        <w:spacing w:before="156" w:beforeAutospacing="0" w:after="156" w:afterAutospacing="0" w:line="360" w:lineRule="auto"/>
        <w:ind w:left="105" w:leftChars="50" w:firstLine="420" w:firstLineChars="200"/>
        <w:jc w:val="both"/>
        <w:textAlignment w:val="baseline"/>
        <w:rPr>
          <w:rFonts w:hint="eastAsia" w:ascii="宋体" w:hAnsi="宋体" w:eastAsia="宋体" w:cs="宋体"/>
          <w:b w:val="0"/>
          <w:i w:val="0"/>
          <w:caps w:val="0"/>
          <w:color w:val="auto"/>
          <w:spacing w:val="0"/>
          <w:w w:val="100"/>
          <w:sz w:val="20"/>
          <w:highlight w:val="none"/>
        </w:rPr>
      </w:pPr>
      <w:r>
        <w:rPr>
          <w:rFonts w:hint="eastAsia" w:ascii="宋体" w:hAnsi="宋体" w:eastAsia="宋体" w:cs="宋体"/>
          <w:b w:val="0"/>
          <w:i w:val="0"/>
          <w:caps w:val="0"/>
          <w:color w:val="auto"/>
          <w:spacing w:val="0"/>
          <w:w w:val="100"/>
          <w:sz w:val="21"/>
          <w:highlight w:val="none"/>
        </w:rPr>
        <w:t>2.甲方有责任对本单位相关人员进行阳光合作教育。</w:t>
      </w:r>
    </w:p>
    <w:p w14:paraId="072550CB">
      <w:pPr>
        <w:snapToGrid/>
        <w:spacing w:before="156" w:beforeAutospacing="0" w:after="156" w:afterAutospacing="0" w:line="360" w:lineRule="auto"/>
        <w:ind w:left="105" w:leftChars="50" w:firstLine="420" w:firstLineChars="200"/>
        <w:jc w:val="both"/>
        <w:textAlignment w:val="baseline"/>
        <w:rPr>
          <w:rFonts w:hint="eastAsia" w:ascii="宋体" w:hAnsi="宋体" w:eastAsia="宋体" w:cs="宋体"/>
          <w:b w:val="0"/>
          <w:i w:val="0"/>
          <w:caps w:val="0"/>
          <w:color w:val="auto"/>
          <w:spacing w:val="0"/>
          <w:w w:val="100"/>
          <w:sz w:val="20"/>
          <w:highlight w:val="none"/>
        </w:rPr>
      </w:pPr>
      <w:r>
        <w:rPr>
          <w:rFonts w:hint="eastAsia" w:ascii="宋体" w:hAnsi="宋体" w:eastAsia="宋体" w:cs="宋体"/>
          <w:b w:val="0"/>
          <w:i w:val="0"/>
          <w:caps w:val="0"/>
          <w:color w:val="auto"/>
          <w:spacing w:val="0"/>
          <w:w w:val="100"/>
          <w:sz w:val="21"/>
          <w:highlight w:val="none"/>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14:paraId="45D36190">
      <w:pPr>
        <w:snapToGrid/>
        <w:spacing w:before="156" w:beforeAutospacing="0" w:after="156" w:afterAutospacing="0" w:line="360" w:lineRule="auto"/>
        <w:ind w:left="105" w:leftChars="50" w:firstLine="420" w:firstLineChars="200"/>
        <w:jc w:val="both"/>
        <w:textAlignment w:val="baseline"/>
        <w:rPr>
          <w:rFonts w:hint="eastAsia" w:ascii="宋体" w:hAnsi="宋体" w:eastAsia="宋体" w:cs="宋体"/>
          <w:b w:val="0"/>
          <w:i w:val="0"/>
          <w:caps w:val="0"/>
          <w:color w:val="auto"/>
          <w:spacing w:val="0"/>
          <w:w w:val="100"/>
          <w:sz w:val="20"/>
          <w:highlight w:val="none"/>
        </w:rPr>
      </w:pPr>
      <w:r>
        <w:rPr>
          <w:rFonts w:hint="eastAsia" w:ascii="宋体" w:hAnsi="宋体" w:eastAsia="宋体" w:cs="宋体"/>
          <w:b w:val="0"/>
          <w:i w:val="0"/>
          <w:caps w:val="0"/>
          <w:color w:val="auto"/>
          <w:spacing w:val="0"/>
          <w:w w:val="100"/>
          <w:sz w:val="21"/>
          <w:highlight w:val="none"/>
        </w:rPr>
        <w:t>4.甲方人员如违反阳光合作管理制度及本协议规定，甲方视情节轻重、影响大小给予行政及经济处罚。</w:t>
      </w:r>
    </w:p>
    <w:p w14:paraId="60370BE3">
      <w:pPr>
        <w:snapToGrid/>
        <w:spacing w:before="156" w:beforeAutospacing="0" w:after="156" w:afterAutospacing="0" w:line="360" w:lineRule="auto"/>
        <w:ind w:left="105" w:leftChars="50" w:firstLine="420" w:firstLineChars="200"/>
        <w:jc w:val="both"/>
        <w:textAlignment w:val="baseline"/>
        <w:rPr>
          <w:rFonts w:hint="eastAsia" w:ascii="宋体" w:hAnsi="宋体" w:eastAsia="宋体" w:cs="宋体"/>
          <w:b w:val="0"/>
          <w:i w:val="0"/>
          <w:caps w:val="0"/>
          <w:color w:val="auto"/>
          <w:spacing w:val="0"/>
          <w:w w:val="100"/>
          <w:sz w:val="20"/>
          <w:highlight w:val="none"/>
        </w:rPr>
      </w:pPr>
      <w:r>
        <w:rPr>
          <w:rFonts w:hint="eastAsia" w:ascii="宋体" w:hAnsi="宋体" w:eastAsia="宋体" w:cs="宋体"/>
          <w:b w:val="0"/>
          <w:i w:val="0"/>
          <w:caps w:val="0"/>
          <w:color w:val="auto"/>
          <w:spacing w:val="0"/>
          <w:w w:val="100"/>
          <w:sz w:val="21"/>
          <w:highlight w:val="none"/>
        </w:rPr>
        <w:t>5．对于乙方举报甲方人员违反阳光合作规定的情况，甲方应及时进行调查，根据调查情况进行处理，并将调查结果向乙方反馈。</w:t>
      </w:r>
    </w:p>
    <w:p w14:paraId="29281B15">
      <w:pPr>
        <w:snapToGrid/>
        <w:spacing w:before="156" w:beforeAutospacing="0" w:after="156" w:afterAutospacing="0" w:line="360" w:lineRule="auto"/>
        <w:ind w:left="105" w:leftChars="50" w:firstLine="420" w:firstLineChars="200"/>
        <w:jc w:val="both"/>
        <w:textAlignment w:val="baseline"/>
        <w:rPr>
          <w:rFonts w:hint="eastAsia" w:ascii="宋体" w:hAnsi="宋体" w:eastAsia="宋体" w:cs="宋体"/>
          <w:b w:val="0"/>
          <w:i w:val="0"/>
          <w:caps w:val="0"/>
          <w:color w:val="auto"/>
          <w:spacing w:val="0"/>
          <w:w w:val="100"/>
          <w:sz w:val="20"/>
          <w:highlight w:val="none"/>
        </w:rPr>
      </w:pPr>
      <w:r>
        <w:rPr>
          <w:rFonts w:hint="eastAsia" w:ascii="宋体" w:hAnsi="宋体" w:eastAsia="宋体" w:cs="宋体"/>
          <w:b w:val="0"/>
          <w:i w:val="0"/>
          <w:caps w:val="0"/>
          <w:color w:val="auto"/>
          <w:spacing w:val="0"/>
          <w:w w:val="100"/>
          <w:sz w:val="21"/>
          <w:highlight w:val="none"/>
        </w:rPr>
        <w:t>6.接受举报的一方应为举报方保密，不得对举报方进行报复，对举报属实和严格遵守《阳光合作协议》的合作方，在同等条件下给予后续合作的优先权。</w:t>
      </w:r>
    </w:p>
    <w:p w14:paraId="12D6F04E">
      <w:pPr>
        <w:widowControl/>
        <w:numPr>
          <w:ilvl w:val="0"/>
          <w:numId w:val="13"/>
        </w:numPr>
        <w:snapToGrid/>
        <w:spacing w:before="156" w:beforeAutospacing="0" w:after="156" w:afterAutospacing="0" w:line="360" w:lineRule="auto"/>
        <w:jc w:val="left"/>
        <w:textAlignment w:val="baseline"/>
        <w:rPr>
          <w:rFonts w:hint="eastAsia" w:ascii="宋体" w:hAnsi="宋体" w:eastAsia="宋体" w:cs="宋体"/>
          <w:b/>
          <w:i w:val="0"/>
          <w:caps w:val="0"/>
          <w:color w:val="auto"/>
          <w:spacing w:val="0"/>
          <w:w w:val="100"/>
          <w:sz w:val="20"/>
          <w:highlight w:val="none"/>
        </w:rPr>
      </w:pPr>
      <w:r>
        <w:rPr>
          <w:rFonts w:hint="eastAsia" w:ascii="宋体" w:hAnsi="宋体" w:eastAsia="宋体" w:cs="宋体"/>
          <w:b/>
          <w:i w:val="0"/>
          <w:caps w:val="0"/>
          <w:color w:val="auto"/>
          <w:spacing w:val="0"/>
          <w:w w:val="100"/>
          <w:sz w:val="21"/>
          <w:highlight w:val="none"/>
        </w:rPr>
        <w:t>乙方责任</w:t>
      </w:r>
    </w:p>
    <w:p w14:paraId="1F9A6712">
      <w:pPr>
        <w:snapToGrid/>
        <w:spacing w:before="156" w:beforeAutospacing="0" w:after="156" w:afterAutospacing="0" w:line="360" w:lineRule="auto"/>
        <w:ind w:left="105" w:leftChars="50" w:firstLine="420" w:firstLineChars="200"/>
        <w:jc w:val="both"/>
        <w:textAlignment w:val="baseline"/>
        <w:rPr>
          <w:rFonts w:hint="eastAsia" w:ascii="宋体" w:hAnsi="宋体" w:eastAsia="宋体" w:cs="宋体"/>
          <w:b w:val="0"/>
          <w:i w:val="0"/>
          <w:caps w:val="0"/>
          <w:color w:val="auto"/>
          <w:spacing w:val="0"/>
          <w:w w:val="100"/>
          <w:sz w:val="20"/>
          <w:highlight w:val="none"/>
        </w:rPr>
      </w:pPr>
      <w:r>
        <w:rPr>
          <w:rFonts w:hint="eastAsia" w:ascii="宋体" w:hAnsi="宋体" w:eastAsia="宋体" w:cs="宋体"/>
          <w:b w:val="0"/>
          <w:i w:val="0"/>
          <w:caps w:val="0"/>
          <w:color w:val="auto"/>
          <w:spacing w:val="0"/>
          <w:w w:val="100"/>
          <w:sz w:val="21"/>
          <w:highlight w:val="none"/>
        </w:rPr>
        <w:t>1.乙方应保证乙方人员了解甲方有关采购管理通用原则和及本协议的规定，并遵照执行。</w:t>
      </w:r>
    </w:p>
    <w:p w14:paraId="22E2D139">
      <w:pPr>
        <w:snapToGrid/>
        <w:spacing w:before="156" w:beforeAutospacing="0" w:after="156" w:afterAutospacing="0" w:line="360" w:lineRule="auto"/>
        <w:ind w:left="105" w:leftChars="50" w:firstLine="420" w:firstLineChars="200"/>
        <w:jc w:val="both"/>
        <w:textAlignment w:val="baseline"/>
        <w:rPr>
          <w:rFonts w:hint="eastAsia" w:ascii="宋体" w:hAnsi="宋体" w:eastAsia="宋体" w:cs="宋体"/>
          <w:b w:val="0"/>
          <w:i w:val="0"/>
          <w:caps w:val="0"/>
          <w:color w:val="auto"/>
          <w:spacing w:val="0"/>
          <w:w w:val="100"/>
          <w:sz w:val="20"/>
          <w:highlight w:val="none"/>
        </w:rPr>
      </w:pPr>
      <w:r>
        <w:rPr>
          <w:rFonts w:hint="eastAsia" w:ascii="宋体" w:hAnsi="宋体" w:eastAsia="宋体" w:cs="宋体"/>
          <w:b w:val="0"/>
          <w:i w:val="0"/>
          <w:caps w:val="0"/>
          <w:color w:val="auto"/>
          <w:spacing w:val="0"/>
          <w:w w:val="100"/>
          <w:sz w:val="21"/>
          <w:highlight w:val="none"/>
        </w:rPr>
        <w:t>2.乙方不得以任何形式给予甲方人员回扣、赠送实物、现金、有价证券、礼券等有价物品或提供旅游等其他可能影响职务行为公正履行的活动（以下统称“财物”）。</w:t>
      </w:r>
    </w:p>
    <w:p w14:paraId="2A2BA979">
      <w:pPr>
        <w:snapToGrid/>
        <w:spacing w:before="156" w:beforeAutospacing="0" w:after="156" w:afterAutospacing="0" w:line="360" w:lineRule="auto"/>
        <w:ind w:left="105" w:leftChars="50" w:firstLine="420" w:firstLineChars="200"/>
        <w:jc w:val="both"/>
        <w:textAlignment w:val="baseline"/>
        <w:rPr>
          <w:rFonts w:hint="eastAsia" w:ascii="宋体" w:hAnsi="宋体" w:eastAsia="宋体" w:cs="宋体"/>
          <w:b w:val="0"/>
          <w:i w:val="0"/>
          <w:caps w:val="0"/>
          <w:color w:val="auto"/>
          <w:spacing w:val="0"/>
          <w:w w:val="100"/>
          <w:sz w:val="20"/>
          <w:highlight w:val="none"/>
        </w:rPr>
      </w:pPr>
      <w:r>
        <w:rPr>
          <w:rFonts w:hint="eastAsia" w:ascii="宋体" w:hAnsi="宋体" w:eastAsia="宋体" w:cs="宋体"/>
          <w:b w:val="0"/>
          <w:i w:val="0"/>
          <w:caps w:val="0"/>
          <w:color w:val="auto"/>
          <w:spacing w:val="0"/>
          <w:w w:val="100"/>
          <w:sz w:val="21"/>
          <w:highlight w:val="none"/>
        </w:rPr>
        <w:t>3.乙方有责任接受甲方对乙方在合作期间阳光合作管理执行情况的监督，并对甲方相关调查工作主动配合。</w:t>
      </w:r>
    </w:p>
    <w:p w14:paraId="4F4B382C">
      <w:pPr>
        <w:snapToGrid/>
        <w:spacing w:before="156" w:beforeAutospacing="0" w:after="156" w:afterAutospacing="0" w:line="360" w:lineRule="auto"/>
        <w:ind w:left="105" w:leftChars="50" w:firstLine="420" w:firstLineChars="200"/>
        <w:jc w:val="both"/>
        <w:textAlignment w:val="baseline"/>
        <w:rPr>
          <w:rFonts w:hint="eastAsia" w:ascii="宋体" w:hAnsi="宋体" w:eastAsia="宋体" w:cs="宋体"/>
          <w:b w:val="0"/>
          <w:i w:val="0"/>
          <w:caps w:val="0"/>
          <w:color w:val="auto"/>
          <w:spacing w:val="0"/>
          <w:w w:val="100"/>
          <w:sz w:val="20"/>
          <w:highlight w:val="none"/>
        </w:rPr>
      </w:pPr>
      <w:r>
        <w:rPr>
          <w:rFonts w:hint="eastAsia" w:ascii="宋体" w:hAnsi="宋体" w:eastAsia="宋体" w:cs="宋体"/>
          <w:b w:val="0"/>
          <w:i w:val="0"/>
          <w:caps w:val="0"/>
          <w:color w:val="auto"/>
          <w:spacing w:val="0"/>
          <w:w w:val="100"/>
          <w:sz w:val="21"/>
          <w:highlight w:val="none"/>
        </w:rPr>
        <w:t>4.乙方有义务就甲方人员任何形式的索取或收受财物行为及时向甲方（直接联系人为</w:t>
      </w:r>
      <w:r>
        <w:rPr>
          <w:rFonts w:hint="eastAsia" w:ascii="宋体" w:hAnsi="宋体" w:eastAsia="宋体" w:cs="宋体"/>
          <w:b w:val="0"/>
          <w:bCs w:val="0"/>
          <w:color w:val="auto"/>
          <w:sz w:val="22"/>
          <w:szCs w:val="22"/>
          <w:highlight w:val="none"/>
          <w:u w:val="none"/>
          <w:lang w:val="en-US" w:eastAsia="zh-CN"/>
        </w:rPr>
        <w:t>东莞实业投资控股集团有限公司法律合规部</w:t>
      </w:r>
      <w:r>
        <w:rPr>
          <w:rFonts w:hint="eastAsia" w:ascii="宋体" w:hAnsi="宋体" w:eastAsia="宋体" w:cs="宋体"/>
          <w:b w:val="0"/>
          <w:i w:val="0"/>
          <w:caps w:val="0"/>
          <w:color w:val="auto"/>
          <w:spacing w:val="0"/>
          <w:w w:val="100"/>
          <w:sz w:val="21"/>
          <w:highlight w:val="none"/>
        </w:rPr>
        <w:t>）举报。如乙方或其人员向甲方人员给予财物，或甲方人员向乙方索取财物，乙方满足其要求并且未向甲方举报的，一经查实（包括但不限于被甲方核实属实，或者被司法机关或第三人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检察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14:paraId="2B2AAF04">
      <w:pPr>
        <w:snapToGrid/>
        <w:spacing w:before="156" w:beforeAutospacing="0" w:after="156" w:afterAutospacing="0" w:line="360" w:lineRule="auto"/>
        <w:ind w:left="105" w:leftChars="50" w:firstLine="420" w:firstLineChars="200"/>
        <w:jc w:val="both"/>
        <w:textAlignment w:val="baseline"/>
        <w:rPr>
          <w:rFonts w:hint="eastAsia" w:ascii="宋体" w:hAnsi="宋体" w:eastAsia="宋体" w:cs="宋体"/>
          <w:b w:val="0"/>
          <w:i w:val="0"/>
          <w:caps w:val="0"/>
          <w:color w:val="auto"/>
          <w:spacing w:val="0"/>
          <w:w w:val="100"/>
          <w:sz w:val="20"/>
          <w:highlight w:val="none"/>
        </w:rPr>
      </w:pPr>
      <w:r>
        <w:rPr>
          <w:rFonts w:hint="eastAsia" w:ascii="宋体" w:hAnsi="宋体" w:eastAsia="宋体" w:cs="宋体"/>
          <w:b w:val="0"/>
          <w:i w:val="0"/>
          <w:caps w:val="0"/>
          <w:color w:val="auto"/>
          <w:spacing w:val="0"/>
          <w:w w:val="100"/>
          <w:sz w:val="21"/>
          <w:highlight w:val="none"/>
        </w:rPr>
        <w:t xml:space="preserve">5．甲方接受乙方实名或匿名举报，保证为举报者的信息保密，常设举报部门及电话： </w:t>
      </w:r>
    </w:p>
    <w:p w14:paraId="393D62A2">
      <w:pPr>
        <w:snapToGrid/>
        <w:spacing w:before="156" w:beforeAutospacing="0" w:after="156" w:afterAutospacing="0" w:line="360" w:lineRule="auto"/>
        <w:ind w:left="105" w:leftChars="50" w:firstLine="420" w:firstLineChars="200"/>
        <w:jc w:val="both"/>
        <w:textAlignment w:val="baseline"/>
        <w:rPr>
          <w:rFonts w:hint="eastAsia" w:ascii="宋体" w:hAnsi="宋体" w:eastAsia="宋体" w:cs="宋体"/>
          <w:b w:val="0"/>
          <w:i w:val="0"/>
          <w:caps w:val="0"/>
          <w:color w:val="auto"/>
          <w:spacing w:val="0"/>
          <w:w w:val="100"/>
          <w:sz w:val="20"/>
          <w:highlight w:val="none"/>
        </w:rPr>
      </w:pPr>
      <w:r>
        <w:rPr>
          <w:rFonts w:hint="eastAsia" w:ascii="宋体" w:hAnsi="宋体" w:eastAsia="宋体" w:cs="宋体"/>
          <w:b w:val="0"/>
          <w:i w:val="0"/>
          <w:caps w:val="0"/>
          <w:color w:val="auto"/>
          <w:spacing w:val="0"/>
          <w:w w:val="100"/>
          <w:sz w:val="21"/>
          <w:highlight w:val="none"/>
        </w:rPr>
        <w:t>举报受理部门：东莞实业投资控股集团有限公司纪</w:t>
      </w:r>
      <w:r>
        <w:rPr>
          <w:rFonts w:hint="eastAsia" w:ascii="宋体" w:hAnsi="宋体" w:eastAsia="宋体" w:cs="宋体"/>
          <w:b w:val="0"/>
          <w:bCs w:val="0"/>
          <w:color w:val="auto"/>
          <w:sz w:val="22"/>
          <w:szCs w:val="22"/>
          <w:highlight w:val="none"/>
          <w:u w:val="none"/>
          <w:lang w:val="en-US" w:eastAsia="zh-CN"/>
        </w:rPr>
        <w:t>合规部</w:t>
      </w:r>
    </w:p>
    <w:p w14:paraId="62A89E70">
      <w:pPr>
        <w:snapToGrid/>
        <w:spacing w:before="156" w:beforeAutospacing="0" w:after="156" w:afterAutospacing="0" w:line="360" w:lineRule="auto"/>
        <w:ind w:left="105" w:leftChars="50" w:firstLine="420" w:firstLineChars="200"/>
        <w:jc w:val="both"/>
        <w:textAlignment w:val="baseline"/>
        <w:rPr>
          <w:rFonts w:hint="eastAsia" w:ascii="宋体" w:hAnsi="宋体" w:eastAsia="宋体" w:cs="宋体"/>
          <w:b w:val="0"/>
          <w:i w:val="0"/>
          <w:caps w:val="0"/>
          <w:color w:val="auto"/>
          <w:spacing w:val="0"/>
          <w:w w:val="100"/>
          <w:sz w:val="20"/>
          <w:highlight w:val="none"/>
        </w:rPr>
      </w:pPr>
      <w:r>
        <w:rPr>
          <w:rFonts w:hint="eastAsia" w:ascii="宋体" w:hAnsi="宋体" w:eastAsia="宋体" w:cs="宋体"/>
          <w:b w:val="0"/>
          <w:i w:val="0"/>
          <w:caps w:val="0"/>
          <w:color w:val="auto"/>
          <w:spacing w:val="0"/>
          <w:w w:val="100"/>
          <w:sz w:val="21"/>
          <w:highlight w:val="none"/>
        </w:rPr>
        <w:t>东实集团举报邮箱：</w:t>
      </w:r>
      <w:r>
        <w:rPr>
          <w:rFonts w:hint="eastAsia" w:ascii="宋体" w:hAnsi="宋体" w:eastAsia="宋体" w:cs="宋体"/>
          <w:b w:val="0"/>
          <w:bCs w:val="0"/>
          <w:color w:val="auto"/>
          <w:sz w:val="22"/>
          <w:szCs w:val="22"/>
          <w:highlight w:val="none"/>
          <w:u w:val="none"/>
          <w:lang w:val="en-US" w:eastAsia="zh-CN"/>
        </w:rPr>
        <w:t>dgsyxf@163.com</w:t>
      </w:r>
    </w:p>
    <w:p w14:paraId="613D6887">
      <w:pPr>
        <w:snapToGrid/>
        <w:spacing w:before="156" w:beforeAutospacing="0" w:after="156" w:afterAutospacing="0" w:line="360" w:lineRule="auto"/>
        <w:ind w:left="105" w:leftChars="50" w:firstLine="420" w:firstLineChars="200"/>
        <w:jc w:val="both"/>
        <w:textAlignment w:val="baseline"/>
        <w:rPr>
          <w:rFonts w:hint="eastAsia" w:ascii="宋体" w:hAnsi="宋体" w:eastAsia="宋体" w:cs="宋体"/>
          <w:b w:val="0"/>
          <w:i w:val="0"/>
          <w:caps w:val="0"/>
          <w:color w:val="auto"/>
          <w:spacing w:val="0"/>
          <w:w w:val="100"/>
          <w:sz w:val="20"/>
          <w:highlight w:val="none"/>
        </w:rPr>
      </w:pPr>
      <w:r>
        <w:rPr>
          <w:rFonts w:hint="eastAsia" w:ascii="宋体" w:hAnsi="宋体" w:eastAsia="宋体" w:cs="宋体"/>
          <w:b w:val="0"/>
          <w:i w:val="0"/>
          <w:caps w:val="0"/>
          <w:color w:val="auto"/>
          <w:spacing w:val="0"/>
          <w:w w:val="100"/>
          <w:sz w:val="21"/>
          <w:highlight w:val="none"/>
        </w:rPr>
        <w:t>东实集团举报电话：0769-</w:t>
      </w:r>
      <w:r>
        <w:rPr>
          <w:rFonts w:hint="eastAsia" w:ascii="宋体" w:hAnsi="宋体" w:eastAsia="宋体" w:cs="宋体"/>
          <w:b w:val="0"/>
          <w:bCs w:val="0"/>
          <w:color w:val="auto"/>
          <w:sz w:val="22"/>
          <w:szCs w:val="22"/>
          <w:highlight w:val="none"/>
          <w:u w:val="none"/>
          <w:lang w:val="en-US" w:eastAsia="zh-CN"/>
        </w:rPr>
        <w:t>28820703</w:t>
      </w:r>
      <w:r>
        <w:rPr>
          <w:rFonts w:hint="eastAsia" w:ascii="宋体" w:hAnsi="宋体" w:eastAsia="宋体" w:cs="宋体"/>
          <w:b w:val="0"/>
          <w:i w:val="0"/>
          <w:caps w:val="0"/>
          <w:color w:val="auto"/>
          <w:spacing w:val="0"/>
          <w:w w:val="100"/>
          <w:sz w:val="21"/>
          <w:highlight w:val="none"/>
        </w:rPr>
        <w:t>（周一至周五9:00-12:00和14:00-18:00）</w:t>
      </w:r>
    </w:p>
    <w:p w14:paraId="4371850A">
      <w:pPr>
        <w:snapToGrid/>
        <w:spacing w:before="156" w:beforeAutospacing="0" w:after="156" w:afterAutospacing="0" w:line="360" w:lineRule="auto"/>
        <w:ind w:left="105" w:leftChars="50" w:firstLine="420" w:firstLineChars="200"/>
        <w:jc w:val="both"/>
        <w:textAlignment w:val="baseline"/>
        <w:rPr>
          <w:rFonts w:hint="eastAsia" w:ascii="宋体" w:hAnsi="宋体" w:eastAsia="宋体" w:cs="宋体"/>
          <w:b w:val="0"/>
          <w:i w:val="0"/>
          <w:caps w:val="0"/>
          <w:color w:val="auto"/>
          <w:spacing w:val="0"/>
          <w:w w:val="100"/>
          <w:sz w:val="20"/>
          <w:highlight w:val="none"/>
        </w:rPr>
      </w:pPr>
      <w:r>
        <w:rPr>
          <w:rFonts w:hint="eastAsia" w:ascii="宋体" w:hAnsi="宋体" w:eastAsia="宋体" w:cs="宋体"/>
          <w:b w:val="0"/>
          <w:i w:val="0"/>
          <w:caps w:val="0"/>
          <w:color w:val="auto"/>
          <w:spacing w:val="0"/>
          <w:w w:val="100"/>
          <w:sz w:val="21"/>
          <w:highlight w:val="none"/>
        </w:rPr>
        <w:t>邮寄地址：东莞市东城区八一路东莞市机关二号大院9号楼，东莞实业投资控股集团有限公司</w:t>
      </w:r>
      <w:r>
        <w:rPr>
          <w:rFonts w:hint="eastAsia" w:ascii="宋体" w:hAnsi="宋体" w:eastAsia="宋体" w:cs="宋体"/>
          <w:b w:val="0"/>
          <w:bCs w:val="0"/>
          <w:color w:val="auto"/>
          <w:sz w:val="22"/>
          <w:szCs w:val="22"/>
          <w:highlight w:val="none"/>
          <w:u w:val="none"/>
          <w:lang w:val="en-US" w:eastAsia="zh-CN"/>
        </w:rPr>
        <w:t>合规部</w:t>
      </w:r>
      <w:r>
        <w:rPr>
          <w:rFonts w:hint="eastAsia" w:ascii="宋体" w:hAnsi="宋体" w:eastAsia="宋体" w:cs="宋体"/>
          <w:b w:val="0"/>
          <w:i w:val="0"/>
          <w:caps w:val="0"/>
          <w:color w:val="auto"/>
          <w:spacing w:val="0"/>
          <w:w w:val="100"/>
          <w:sz w:val="21"/>
          <w:highlight w:val="none"/>
        </w:rPr>
        <w:t>收，邮编523000。</w:t>
      </w:r>
    </w:p>
    <w:p w14:paraId="517292D6">
      <w:pPr>
        <w:widowControl/>
        <w:numPr>
          <w:ilvl w:val="0"/>
          <w:numId w:val="13"/>
        </w:numPr>
        <w:snapToGrid/>
        <w:spacing w:before="156" w:beforeAutospacing="0" w:after="156" w:afterAutospacing="0" w:line="360" w:lineRule="auto"/>
        <w:jc w:val="left"/>
        <w:textAlignment w:val="baseline"/>
        <w:rPr>
          <w:rFonts w:hint="eastAsia" w:ascii="宋体" w:hAnsi="宋体" w:eastAsia="宋体" w:cs="宋体"/>
          <w:b/>
          <w:i w:val="0"/>
          <w:caps w:val="0"/>
          <w:color w:val="auto"/>
          <w:spacing w:val="0"/>
          <w:w w:val="100"/>
          <w:sz w:val="20"/>
          <w:highlight w:val="none"/>
        </w:rPr>
      </w:pPr>
      <w:r>
        <w:rPr>
          <w:rFonts w:hint="eastAsia" w:ascii="宋体" w:hAnsi="宋体" w:eastAsia="宋体" w:cs="宋体"/>
          <w:b/>
          <w:i w:val="0"/>
          <w:caps w:val="0"/>
          <w:color w:val="auto"/>
          <w:spacing w:val="0"/>
          <w:w w:val="100"/>
          <w:sz w:val="21"/>
          <w:highlight w:val="none"/>
        </w:rPr>
        <w:t>其他</w:t>
      </w:r>
    </w:p>
    <w:p w14:paraId="189D64D0">
      <w:pPr>
        <w:snapToGrid/>
        <w:spacing w:before="156" w:beforeAutospacing="0" w:after="156" w:afterAutospacing="0" w:line="360" w:lineRule="auto"/>
        <w:ind w:left="105" w:leftChars="50" w:firstLine="420" w:firstLineChars="200"/>
        <w:jc w:val="both"/>
        <w:textAlignment w:val="baseline"/>
        <w:rPr>
          <w:rFonts w:hint="eastAsia" w:ascii="宋体" w:hAnsi="宋体" w:eastAsia="宋体" w:cs="宋体"/>
          <w:b w:val="0"/>
          <w:i w:val="0"/>
          <w:caps w:val="0"/>
          <w:color w:val="auto"/>
          <w:spacing w:val="0"/>
          <w:w w:val="100"/>
          <w:sz w:val="20"/>
          <w:highlight w:val="none"/>
        </w:rPr>
      </w:pPr>
      <w:r>
        <w:rPr>
          <w:rFonts w:hint="eastAsia" w:ascii="宋体" w:hAnsi="宋体" w:eastAsia="宋体" w:cs="宋体"/>
          <w:b w:val="0"/>
          <w:i w:val="0"/>
          <w:caps w:val="0"/>
          <w:color w:val="auto"/>
          <w:spacing w:val="0"/>
          <w:w w:val="100"/>
          <w:sz w:val="21"/>
          <w:highlight w:val="none"/>
        </w:rPr>
        <w:t>1.本协议是原合同的补充协议，与原合同有同等法律效力。</w:t>
      </w:r>
    </w:p>
    <w:p w14:paraId="06AD0795">
      <w:pPr>
        <w:snapToGrid/>
        <w:spacing w:before="156" w:beforeAutospacing="0" w:after="156" w:afterAutospacing="0" w:line="360" w:lineRule="auto"/>
        <w:ind w:left="105" w:leftChars="50" w:firstLine="420" w:firstLineChars="200"/>
        <w:jc w:val="both"/>
        <w:textAlignment w:val="baseline"/>
        <w:rPr>
          <w:rFonts w:hint="eastAsia" w:ascii="宋体" w:hAnsi="宋体" w:eastAsia="宋体" w:cs="宋体"/>
          <w:b w:val="0"/>
          <w:i w:val="0"/>
          <w:caps w:val="0"/>
          <w:color w:val="auto"/>
          <w:spacing w:val="0"/>
          <w:w w:val="100"/>
          <w:sz w:val="20"/>
          <w:highlight w:val="none"/>
        </w:rPr>
      </w:pPr>
      <w:r>
        <w:rPr>
          <w:rFonts w:hint="eastAsia" w:ascii="宋体" w:hAnsi="宋体" w:eastAsia="宋体" w:cs="宋体"/>
          <w:b w:val="0"/>
          <w:i w:val="0"/>
          <w:caps w:val="0"/>
          <w:color w:val="auto"/>
          <w:spacing w:val="0"/>
          <w:w w:val="100"/>
          <w:sz w:val="21"/>
          <w:highlight w:val="none"/>
        </w:rPr>
        <w:t>2.本协议</w:t>
      </w:r>
      <w:r>
        <w:rPr>
          <w:rFonts w:hint="eastAsia" w:ascii="宋体" w:hAnsi="宋体" w:eastAsia="宋体" w:cs="宋体"/>
          <w:b w:val="0"/>
          <w:i w:val="0"/>
          <w:caps w:val="0"/>
          <w:color w:val="auto"/>
          <w:spacing w:val="0"/>
          <w:w w:val="100"/>
          <w:sz w:val="21"/>
          <w:szCs w:val="21"/>
          <w:highlight w:val="none"/>
        </w:rPr>
        <w:t>一式肆份，甲方持有贰份，乙方持贰份，</w:t>
      </w:r>
      <w:r>
        <w:rPr>
          <w:rFonts w:hint="eastAsia" w:ascii="宋体" w:hAnsi="宋体" w:eastAsia="宋体" w:cs="宋体"/>
          <w:b w:val="0"/>
          <w:i w:val="0"/>
          <w:caps w:val="0"/>
          <w:color w:val="auto"/>
          <w:spacing w:val="0"/>
          <w:w w:val="100"/>
          <w:sz w:val="21"/>
          <w:highlight w:val="none"/>
        </w:rPr>
        <w:t>具有同等法律效力。</w:t>
      </w:r>
    </w:p>
    <w:p w14:paraId="0AF8243A">
      <w:pPr>
        <w:snapToGrid/>
        <w:spacing w:before="156" w:beforeAutospacing="0" w:after="156" w:afterAutospacing="0" w:line="360" w:lineRule="auto"/>
        <w:ind w:left="105" w:leftChars="50" w:firstLine="420" w:firstLineChars="200"/>
        <w:jc w:val="both"/>
        <w:textAlignment w:val="baseline"/>
        <w:rPr>
          <w:rFonts w:hint="eastAsia" w:ascii="宋体" w:hAnsi="宋体" w:eastAsia="宋体" w:cs="宋体"/>
          <w:b w:val="0"/>
          <w:i w:val="0"/>
          <w:caps w:val="0"/>
          <w:color w:val="auto"/>
          <w:spacing w:val="0"/>
          <w:w w:val="100"/>
          <w:sz w:val="20"/>
          <w:highlight w:val="none"/>
        </w:rPr>
      </w:pPr>
      <w:r>
        <w:rPr>
          <w:rFonts w:hint="eastAsia" w:ascii="宋体" w:hAnsi="宋体" w:eastAsia="宋体" w:cs="宋体"/>
          <w:b w:val="0"/>
          <w:i w:val="0"/>
          <w:caps w:val="0"/>
          <w:color w:val="auto"/>
          <w:spacing w:val="0"/>
          <w:w w:val="100"/>
          <w:sz w:val="21"/>
          <w:highlight w:val="none"/>
        </w:rPr>
        <w:t>3.本协议经双方签署后生效。</w:t>
      </w:r>
    </w:p>
    <w:p w14:paraId="5F7FBA59">
      <w:pPr>
        <w:snapToGrid/>
        <w:spacing w:before="156" w:beforeAutospacing="0" w:after="156" w:afterAutospacing="0" w:line="360" w:lineRule="auto"/>
        <w:ind w:right="26" w:firstLine="315" w:firstLineChars="150"/>
        <w:jc w:val="both"/>
        <w:textAlignment w:val="baseline"/>
        <w:rPr>
          <w:rFonts w:hint="eastAsia" w:ascii="宋体" w:hAnsi="宋体" w:eastAsia="宋体" w:cs="宋体"/>
          <w:b w:val="0"/>
          <w:i w:val="0"/>
          <w:caps w:val="0"/>
          <w:color w:val="auto"/>
          <w:spacing w:val="0"/>
          <w:w w:val="100"/>
          <w:sz w:val="20"/>
          <w:highlight w:val="none"/>
        </w:rPr>
      </w:pPr>
      <w:r>
        <w:rPr>
          <w:rFonts w:hint="eastAsia" w:ascii="宋体" w:hAnsi="宋体" w:eastAsia="宋体" w:cs="宋体"/>
          <w:b w:val="0"/>
          <w:i w:val="0"/>
          <w:caps w:val="0"/>
          <w:color w:val="auto"/>
          <w:spacing w:val="0"/>
          <w:w w:val="100"/>
          <w:sz w:val="21"/>
          <w:highlight w:val="none"/>
        </w:rPr>
        <w:t>甲方（公章）：</w:t>
      </w:r>
      <w:r>
        <w:rPr>
          <w:rFonts w:hint="eastAsia" w:ascii="宋体" w:hAnsi="宋体" w:eastAsia="宋体" w:cs="宋体"/>
          <w:b w:val="0"/>
          <w:i w:val="0"/>
          <w:caps w:val="0"/>
          <w:color w:val="auto"/>
          <w:spacing w:val="0"/>
          <w:w w:val="100"/>
          <w:sz w:val="21"/>
          <w:highlight w:val="none"/>
        </w:rPr>
        <w:tab/>
      </w:r>
      <w:r>
        <w:rPr>
          <w:rFonts w:hint="eastAsia" w:ascii="宋体" w:hAnsi="宋体" w:eastAsia="宋体" w:cs="宋体"/>
          <w:b w:val="0"/>
          <w:i w:val="0"/>
          <w:caps w:val="0"/>
          <w:color w:val="auto"/>
          <w:spacing w:val="0"/>
          <w:w w:val="100"/>
          <w:sz w:val="21"/>
          <w:highlight w:val="none"/>
        </w:rPr>
        <w:tab/>
      </w:r>
      <w:r>
        <w:rPr>
          <w:rFonts w:hint="eastAsia" w:ascii="宋体" w:hAnsi="宋体" w:eastAsia="宋体" w:cs="宋体"/>
          <w:b w:val="0"/>
          <w:i w:val="0"/>
          <w:caps w:val="0"/>
          <w:color w:val="auto"/>
          <w:spacing w:val="0"/>
          <w:w w:val="100"/>
          <w:sz w:val="21"/>
          <w:highlight w:val="none"/>
        </w:rPr>
        <w:tab/>
      </w:r>
      <w:r>
        <w:rPr>
          <w:rFonts w:hint="eastAsia" w:ascii="宋体" w:hAnsi="宋体" w:eastAsia="宋体" w:cs="宋体"/>
          <w:b w:val="0"/>
          <w:i w:val="0"/>
          <w:caps w:val="0"/>
          <w:color w:val="auto"/>
          <w:spacing w:val="0"/>
          <w:w w:val="100"/>
          <w:sz w:val="21"/>
          <w:highlight w:val="none"/>
        </w:rPr>
        <w:tab/>
      </w:r>
      <w:r>
        <w:rPr>
          <w:rFonts w:hint="eastAsia" w:ascii="宋体" w:hAnsi="宋体" w:eastAsia="宋体" w:cs="宋体"/>
          <w:b w:val="0"/>
          <w:i w:val="0"/>
          <w:caps w:val="0"/>
          <w:color w:val="auto"/>
          <w:spacing w:val="0"/>
          <w:w w:val="100"/>
          <w:sz w:val="21"/>
          <w:highlight w:val="none"/>
        </w:rPr>
        <w:tab/>
      </w:r>
      <w:r>
        <w:rPr>
          <w:rFonts w:hint="eastAsia" w:ascii="宋体" w:hAnsi="宋体" w:eastAsia="宋体" w:cs="宋体"/>
          <w:b w:val="0"/>
          <w:i w:val="0"/>
          <w:caps w:val="0"/>
          <w:color w:val="auto"/>
          <w:spacing w:val="0"/>
          <w:w w:val="100"/>
          <w:sz w:val="21"/>
          <w:highlight w:val="none"/>
        </w:rPr>
        <w:t xml:space="preserve">          乙方（公章）：</w:t>
      </w:r>
    </w:p>
    <w:p w14:paraId="56299AC3">
      <w:pPr>
        <w:snapToGrid/>
        <w:spacing w:before="156" w:beforeAutospacing="0" w:after="156" w:afterAutospacing="0" w:line="360" w:lineRule="auto"/>
        <w:ind w:right="26" w:firstLine="800" w:firstLineChars="400"/>
        <w:jc w:val="both"/>
        <w:textAlignment w:val="baseline"/>
        <w:rPr>
          <w:rFonts w:hint="eastAsia" w:ascii="宋体" w:hAnsi="宋体" w:eastAsia="宋体" w:cs="宋体"/>
          <w:b w:val="0"/>
          <w:i w:val="0"/>
          <w:caps w:val="0"/>
          <w:color w:val="auto"/>
          <w:spacing w:val="0"/>
          <w:w w:val="100"/>
          <w:sz w:val="20"/>
          <w:highlight w:val="none"/>
        </w:rPr>
      </w:pPr>
    </w:p>
    <w:p w14:paraId="45F2C232">
      <w:pPr>
        <w:snapToGrid/>
        <w:spacing w:before="156" w:beforeAutospacing="0" w:after="156" w:afterAutospacing="0" w:line="360" w:lineRule="auto"/>
        <w:ind w:right="26" w:firstLine="315" w:firstLineChars="150"/>
        <w:jc w:val="both"/>
        <w:textAlignment w:val="baseline"/>
        <w:rPr>
          <w:rFonts w:hint="eastAsia" w:ascii="宋体" w:hAnsi="宋体" w:eastAsia="宋体" w:cs="宋体"/>
          <w:b w:val="0"/>
          <w:i w:val="0"/>
          <w:caps w:val="0"/>
          <w:color w:val="auto"/>
          <w:spacing w:val="0"/>
          <w:w w:val="100"/>
          <w:sz w:val="20"/>
          <w:highlight w:val="none"/>
        </w:rPr>
      </w:pPr>
      <w:r>
        <w:rPr>
          <w:rFonts w:hint="eastAsia" w:ascii="宋体" w:hAnsi="宋体" w:eastAsia="宋体" w:cs="宋体"/>
          <w:b w:val="0"/>
          <w:i w:val="0"/>
          <w:caps w:val="0"/>
          <w:color w:val="auto"/>
          <w:spacing w:val="0"/>
          <w:w w:val="100"/>
          <w:sz w:val="21"/>
          <w:highlight w:val="none"/>
        </w:rPr>
        <w:t>法定代表人（授权代表）：</w:t>
      </w:r>
      <w:r>
        <w:rPr>
          <w:rFonts w:hint="eastAsia" w:ascii="宋体" w:hAnsi="宋体" w:eastAsia="宋体" w:cs="宋体"/>
          <w:b w:val="0"/>
          <w:i w:val="0"/>
          <w:caps w:val="0"/>
          <w:color w:val="auto"/>
          <w:spacing w:val="0"/>
          <w:w w:val="100"/>
          <w:sz w:val="21"/>
          <w:highlight w:val="none"/>
        </w:rPr>
        <w:tab/>
      </w:r>
      <w:r>
        <w:rPr>
          <w:rFonts w:hint="eastAsia" w:ascii="宋体" w:hAnsi="宋体" w:eastAsia="宋体" w:cs="宋体"/>
          <w:b w:val="0"/>
          <w:i w:val="0"/>
          <w:caps w:val="0"/>
          <w:color w:val="auto"/>
          <w:spacing w:val="0"/>
          <w:w w:val="100"/>
          <w:sz w:val="21"/>
          <w:highlight w:val="none"/>
        </w:rPr>
        <w:tab/>
      </w:r>
      <w:r>
        <w:rPr>
          <w:rFonts w:hint="eastAsia" w:ascii="宋体" w:hAnsi="宋体" w:eastAsia="宋体" w:cs="宋体"/>
          <w:b w:val="0"/>
          <w:i w:val="0"/>
          <w:caps w:val="0"/>
          <w:color w:val="auto"/>
          <w:spacing w:val="0"/>
          <w:w w:val="100"/>
          <w:sz w:val="21"/>
          <w:highlight w:val="none"/>
        </w:rPr>
        <w:tab/>
      </w:r>
      <w:r>
        <w:rPr>
          <w:rFonts w:hint="eastAsia" w:ascii="宋体" w:hAnsi="宋体" w:eastAsia="宋体" w:cs="宋体"/>
          <w:b w:val="0"/>
          <w:i w:val="0"/>
          <w:caps w:val="0"/>
          <w:color w:val="auto"/>
          <w:spacing w:val="0"/>
          <w:w w:val="100"/>
          <w:sz w:val="21"/>
          <w:highlight w:val="none"/>
        </w:rPr>
        <w:tab/>
      </w:r>
      <w:r>
        <w:rPr>
          <w:rFonts w:hint="eastAsia" w:ascii="宋体" w:hAnsi="宋体" w:eastAsia="宋体" w:cs="宋体"/>
          <w:b w:val="0"/>
          <w:i w:val="0"/>
          <w:caps w:val="0"/>
          <w:color w:val="auto"/>
          <w:spacing w:val="0"/>
          <w:w w:val="100"/>
          <w:sz w:val="21"/>
          <w:highlight w:val="none"/>
        </w:rPr>
        <w:t xml:space="preserve">      法定代表人（授权代表）：</w:t>
      </w:r>
    </w:p>
    <w:p w14:paraId="3EE4757B">
      <w:pPr>
        <w:snapToGrid/>
        <w:spacing w:before="156" w:beforeAutospacing="0" w:after="156" w:afterAutospacing="0" w:line="360" w:lineRule="auto"/>
        <w:ind w:right="26" w:firstLine="800" w:firstLineChars="400"/>
        <w:jc w:val="both"/>
        <w:textAlignment w:val="baseline"/>
        <w:rPr>
          <w:rFonts w:hint="eastAsia" w:ascii="宋体" w:hAnsi="宋体" w:eastAsia="宋体" w:cs="宋体"/>
          <w:b w:val="0"/>
          <w:i w:val="0"/>
          <w:caps w:val="0"/>
          <w:color w:val="auto"/>
          <w:spacing w:val="0"/>
          <w:w w:val="100"/>
          <w:sz w:val="20"/>
          <w:highlight w:val="none"/>
        </w:rPr>
      </w:pPr>
    </w:p>
    <w:p w14:paraId="3A6F844A">
      <w:pPr>
        <w:snapToGrid/>
        <w:spacing w:before="0" w:beforeAutospacing="0" w:after="0" w:afterAutospacing="0" w:line="360" w:lineRule="auto"/>
        <w:ind w:firstLine="315" w:firstLineChars="150"/>
        <w:jc w:val="both"/>
        <w:textAlignment w:val="baseline"/>
        <w:rPr>
          <w:rFonts w:hint="eastAsia" w:ascii="宋体" w:hAnsi="宋体" w:eastAsia="宋体" w:cs="宋体"/>
          <w:b w:val="0"/>
          <w:i w:val="0"/>
          <w:caps w:val="0"/>
          <w:color w:val="auto"/>
          <w:spacing w:val="0"/>
          <w:w w:val="100"/>
          <w:sz w:val="20"/>
          <w:highlight w:val="none"/>
        </w:rPr>
      </w:pPr>
      <w:r>
        <w:rPr>
          <w:rFonts w:hint="eastAsia" w:ascii="宋体" w:hAnsi="宋体" w:eastAsia="宋体" w:cs="宋体"/>
          <w:b w:val="0"/>
          <w:i w:val="0"/>
          <w:caps w:val="0"/>
          <w:color w:val="auto"/>
          <w:spacing w:val="0"/>
          <w:w w:val="100"/>
          <w:sz w:val="21"/>
          <w:highlight w:val="none"/>
        </w:rPr>
        <w:t>签约日期：</w:t>
      </w:r>
      <w:bookmarkStart w:id="140" w:name="设计变更通知单"/>
      <w:bookmarkEnd w:id="140"/>
      <w:bookmarkStart w:id="141" w:name="现场签证通知单"/>
      <w:bookmarkEnd w:id="141"/>
      <w:r>
        <w:rPr>
          <w:rFonts w:hint="eastAsia" w:ascii="宋体" w:hAnsi="宋体" w:eastAsia="宋体" w:cs="宋体"/>
          <w:b w:val="0"/>
          <w:i w:val="0"/>
          <w:caps w:val="0"/>
          <w:color w:val="auto"/>
          <w:spacing w:val="0"/>
          <w:w w:val="100"/>
          <w:sz w:val="21"/>
          <w:highlight w:val="none"/>
          <w:u w:val="single"/>
        </w:rPr>
        <w:t xml:space="preserve"> </w:t>
      </w:r>
      <w:r>
        <w:rPr>
          <w:rFonts w:hint="eastAsia" w:ascii="宋体" w:hAnsi="宋体" w:eastAsia="宋体" w:cs="宋体"/>
          <w:b w:val="0"/>
          <w:i w:val="0"/>
          <w:caps w:val="0"/>
          <w:color w:val="auto"/>
          <w:spacing w:val="0"/>
          <w:w w:val="100"/>
          <w:sz w:val="21"/>
          <w:highlight w:val="none"/>
          <w:u w:val="single"/>
          <w:lang w:val="en-US" w:eastAsia="zh-CN"/>
        </w:rPr>
        <w:t xml:space="preserve">  </w:t>
      </w:r>
      <w:r>
        <w:rPr>
          <w:rFonts w:hint="eastAsia" w:ascii="宋体" w:hAnsi="宋体" w:eastAsia="宋体" w:cs="宋体"/>
          <w:b w:val="0"/>
          <w:i w:val="0"/>
          <w:caps w:val="0"/>
          <w:color w:val="auto"/>
          <w:spacing w:val="0"/>
          <w:w w:val="100"/>
          <w:sz w:val="21"/>
          <w:highlight w:val="none"/>
          <w:u w:val="single"/>
        </w:rPr>
        <w:t xml:space="preserve"> 年  月  日</w:t>
      </w:r>
      <w:r>
        <w:rPr>
          <w:rFonts w:hint="eastAsia" w:ascii="宋体" w:hAnsi="宋体" w:eastAsia="宋体" w:cs="宋体"/>
          <w:b w:val="0"/>
          <w:i w:val="0"/>
          <w:caps w:val="0"/>
          <w:color w:val="auto"/>
          <w:spacing w:val="0"/>
          <w:w w:val="100"/>
          <w:sz w:val="21"/>
          <w:highlight w:val="none"/>
        </w:rPr>
        <w:tab/>
      </w:r>
      <w:r>
        <w:rPr>
          <w:rFonts w:hint="eastAsia" w:ascii="宋体" w:hAnsi="宋体" w:eastAsia="宋体" w:cs="宋体"/>
          <w:b w:val="0"/>
          <w:i w:val="0"/>
          <w:caps w:val="0"/>
          <w:color w:val="auto"/>
          <w:spacing w:val="0"/>
          <w:w w:val="100"/>
          <w:sz w:val="21"/>
          <w:highlight w:val="none"/>
        </w:rPr>
        <w:t xml:space="preserve">              签约日期：</w:t>
      </w:r>
      <w:r>
        <w:rPr>
          <w:rFonts w:hint="eastAsia" w:ascii="宋体" w:hAnsi="宋体" w:eastAsia="宋体" w:cs="宋体"/>
          <w:b w:val="0"/>
          <w:i w:val="0"/>
          <w:caps w:val="0"/>
          <w:color w:val="auto"/>
          <w:spacing w:val="0"/>
          <w:w w:val="100"/>
          <w:sz w:val="21"/>
          <w:highlight w:val="none"/>
          <w:u w:val="single"/>
          <w:lang w:val="en-US" w:eastAsia="zh-CN"/>
        </w:rPr>
        <w:t xml:space="preserve">   </w:t>
      </w:r>
      <w:r>
        <w:rPr>
          <w:rFonts w:hint="eastAsia" w:ascii="宋体" w:hAnsi="宋体" w:eastAsia="宋体" w:cs="宋体"/>
          <w:b w:val="0"/>
          <w:i w:val="0"/>
          <w:caps w:val="0"/>
          <w:color w:val="auto"/>
          <w:spacing w:val="0"/>
          <w:w w:val="100"/>
          <w:sz w:val="21"/>
          <w:highlight w:val="none"/>
          <w:u w:val="single"/>
        </w:rPr>
        <w:t>年  月   日</w:t>
      </w:r>
    </w:p>
    <w:p w14:paraId="7CFC08B1">
      <w:pPr>
        <w:rPr>
          <w:rFonts w:hint="eastAsia" w:ascii="宋体" w:hAnsi="宋体" w:eastAsia="宋体" w:cs="宋体"/>
          <w:color w:val="auto"/>
          <w:sz w:val="21"/>
          <w:szCs w:val="21"/>
          <w:highlight w:val="none"/>
        </w:rPr>
      </w:pPr>
    </w:p>
    <w:p w14:paraId="63D1A2CD">
      <w:pPr>
        <w:bidi w:val="0"/>
        <w:rPr>
          <w:rFonts w:hint="eastAsia" w:ascii="宋体" w:hAnsi="宋体" w:eastAsia="宋体" w:cs="宋体"/>
          <w:color w:val="auto"/>
          <w:highlight w:val="none"/>
        </w:rPr>
      </w:pPr>
    </w:p>
    <w:p w14:paraId="2E443FE2">
      <w:pPr>
        <w:bidi w:val="0"/>
        <w:rPr>
          <w:rFonts w:hint="eastAsia" w:ascii="宋体" w:hAnsi="宋体" w:eastAsia="宋体" w:cs="宋体"/>
          <w:color w:val="auto"/>
          <w:highlight w:val="none"/>
        </w:rPr>
      </w:pPr>
    </w:p>
    <w:p w14:paraId="46E9D947">
      <w:pPr>
        <w:bidi w:val="0"/>
        <w:rPr>
          <w:rFonts w:hint="eastAsia" w:ascii="宋体" w:hAnsi="宋体" w:eastAsia="宋体" w:cs="宋体"/>
          <w:color w:val="auto"/>
          <w:highlight w:val="none"/>
        </w:rPr>
      </w:pPr>
    </w:p>
    <w:p w14:paraId="1FAB1868">
      <w:pPr>
        <w:bidi w:val="0"/>
        <w:rPr>
          <w:rFonts w:hint="eastAsia" w:ascii="宋体" w:hAnsi="宋体" w:eastAsia="宋体" w:cs="宋体"/>
          <w:color w:val="auto"/>
          <w:highlight w:val="none"/>
        </w:rPr>
      </w:pPr>
    </w:p>
    <w:p w14:paraId="5F9DF808">
      <w:pPr>
        <w:bidi w:val="0"/>
        <w:rPr>
          <w:rFonts w:hint="eastAsia" w:ascii="宋体" w:hAnsi="宋体" w:eastAsia="宋体" w:cs="宋体"/>
          <w:color w:val="auto"/>
          <w:highlight w:val="none"/>
        </w:rPr>
      </w:pPr>
    </w:p>
    <w:p w14:paraId="7ABA9DCD">
      <w:pPr>
        <w:bidi w:val="0"/>
        <w:rPr>
          <w:rFonts w:hint="eastAsia" w:ascii="宋体" w:hAnsi="宋体" w:eastAsia="宋体" w:cs="宋体"/>
          <w:color w:val="auto"/>
          <w:highlight w:val="none"/>
        </w:rPr>
      </w:pPr>
    </w:p>
    <w:p w14:paraId="1C53F228">
      <w:pPr>
        <w:bidi w:val="0"/>
        <w:rPr>
          <w:rFonts w:hint="eastAsia" w:ascii="宋体" w:hAnsi="宋体" w:eastAsia="宋体" w:cs="宋体"/>
          <w:color w:val="auto"/>
          <w:highlight w:val="none"/>
        </w:rPr>
      </w:pPr>
      <w:bookmarkStart w:id="142" w:name="_Toc17124"/>
    </w:p>
    <w:p w14:paraId="23952151">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3DAEA568">
      <w:pPr>
        <w:pStyle w:val="3"/>
        <w:spacing w:before="0" w:after="0"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第六部分附件－投标文件格式</w:t>
      </w:r>
      <w:bookmarkEnd w:id="142"/>
    </w:p>
    <w:p w14:paraId="7216E99B">
      <w:pPr>
        <w:rPr>
          <w:rFonts w:hint="eastAsia" w:ascii="宋体" w:hAnsi="宋体" w:eastAsia="宋体" w:cs="宋体"/>
          <w:color w:val="auto"/>
          <w:highlight w:val="none"/>
        </w:rPr>
      </w:pPr>
    </w:p>
    <w:p w14:paraId="1853D293">
      <w:pPr>
        <w:pStyle w:val="5"/>
        <w:widowControl w:val="0"/>
        <w:overflowPunct w:val="0"/>
        <w:spacing w:line="240" w:lineRule="auto"/>
        <w:rPr>
          <w:rFonts w:hint="eastAsia" w:ascii="宋体" w:hAnsi="宋体" w:eastAsia="宋体" w:cs="宋体"/>
          <w:color w:val="auto"/>
          <w:sz w:val="21"/>
          <w:szCs w:val="21"/>
          <w:highlight w:val="none"/>
        </w:rPr>
      </w:pPr>
      <w:bookmarkStart w:id="143" w:name="_Toc25786"/>
      <w:r>
        <w:rPr>
          <w:rFonts w:hint="eastAsia" w:ascii="宋体" w:hAnsi="宋体" w:eastAsia="宋体" w:cs="宋体"/>
          <w:color w:val="auto"/>
          <w:sz w:val="21"/>
          <w:szCs w:val="21"/>
          <w:highlight w:val="none"/>
        </w:rPr>
        <w:t>投标文件目录</w:t>
      </w:r>
      <w:bookmarkEnd w:id="143"/>
    </w:p>
    <w:p w14:paraId="3898F7C9">
      <w:pPr>
        <w:jc w:val="center"/>
        <w:rPr>
          <w:rFonts w:hint="eastAsia" w:ascii="宋体" w:hAnsi="宋体" w:eastAsia="宋体" w:cs="宋体"/>
          <w:color w:val="auto"/>
          <w:sz w:val="32"/>
          <w:szCs w:val="32"/>
          <w:highlight w:val="none"/>
        </w:rPr>
      </w:pPr>
    </w:p>
    <w:p w14:paraId="3FA33A86">
      <w:pPr>
        <w:adjustRightInd/>
        <w:snapToGrid/>
        <w:spacing w:line="276"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目录</w:t>
      </w:r>
    </w:p>
    <w:p w14:paraId="59AC4DDB">
      <w:pPr>
        <w:adjustRightInd/>
        <w:snapToGrid/>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格式自理。</w:t>
      </w:r>
    </w:p>
    <w:p w14:paraId="0DDC72DA">
      <w:pPr>
        <w:adjustRightInd/>
        <w:snapToGrid/>
        <w:spacing w:line="276" w:lineRule="auto"/>
        <w:rPr>
          <w:rFonts w:hint="eastAsia" w:ascii="宋体" w:hAnsi="宋体" w:eastAsia="宋体" w:cs="宋体"/>
          <w:color w:val="auto"/>
          <w:szCs w:val="21"/>
          <w:highlight w:val="none"/>
        </w:rPr>
      </w:pPr>
    </w:p>
    <w:p w14:paraId="64380CF3">
      <w:pPr>
        <w:adjustRightInd/>
        <w:snapToGrid/>
        <w:spacing w:line="276" w:lineRule="auto"/>
        <w:rPr>
          <w:rFonts w:hint="eastAsia" w:ascii="宋体" w:hAnsi="宋体" w:eastAsia="宋体" w:cs="宋体"/>
          <w:color w:val="auto"/>
          <w:szCs w:val="21"/>
          <w:highlight w:val="none"/>
        </w:rPr>
      </w:pPr>
    </w:p>
    <w:p w14:paraId="25DBBABB">
      <w:pPr>
        <w:adjustRightInd/>
        <w:snapToGrid/>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6DDCEE96">
      <w:pPr>
        <w:adjustRightInd/>
        <w:snapToGrid/>
        <w:spacing w:line="276" w:lineRule="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1、投标人制作的投标文件应当具备目录。</w:t>
      </w:r>
      <w:r>
        <w:rPr>
          <w:rFonts w:hint="eastAsia" w:ascii="宋体" w:hAnsi="宋体" w:eastAsia="宋体" w:cs="宋体"/>
          <w:color w:val="auto"/>
          <w:szCs w:val="21"/>
          <w:highlight w:val="none"/>
        </w:rPr>
        <w:br w:type="page"/>
      </w:r>
    </w:p>
    <w:p w14:paraId="411915DC">
      <w:pPr>
        <w:pStyle w:val="5"/>
        <w:widowControl w:val="0"/>
        <w:overflowPunct w:val="0"/>
        <w:spacing w:line="240" w:lineRule="auto"/>
        <w:rPr>
          <w:rFonts w:hint="eastAsia" w:ascii="宋体" w:hAnsi="宋体" w:eastAsia="宋体" w:cs="宋体"/>
          <w:color w:val="auto"/>
          <w:sz w:val="21"/>
          <w:szCs w:val="21"/>
          <w:highlight w:val="none"/>
        </w:rPr>
      </w:pPr>
      <w:bookmarkStart w:id="144" w:name="_Toc18792"/>
      <w:r>
        <w:rPr>
          <w:rFonts w:hint="eastAsia" w:ascii="宋体" w:hAnsi="宋体" w:eastAsia="宋体" w:cs="宋体"/>
          <w:color w:val="auto"/>
          <w:sz w:val="21"/>
          <w:szCs w:val="21"/>
          <w:highlight w:val="none"/>
        </w:rPr>
        <w:t>附件1.评分标准索引表</w:t>
      </w:r>
      <w:bookmarkEnd w:id="144"/>
    </w:p>
    <w:p w14:paraId="5CC0CF2F">
      <w:pPr>
        <w:adjustRightInd/>
        <w:snapToGrid/>
        <w:spacing w:line="276" w:lineRule="auto"/>
        <w:rPr>
          <w:rFonts w:hint="eastAsia" w:ascii="宋体" w:hAnsi="宋体" w:eastAsia="宋体" w:cs="宋体"/>
          <w:color w:val="auto"/>
          <w:szCs w:val="21"/>
          <w:highlight w:val="none"/>
        </w:rPr>
      </w:pPr>
    </w:p>
    <w:p w14:paraId="2E0C079C">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评分标准索引表</w:t>
      </w:r>
    </w:p>
    <w:tbl>
      <w:tblPr>
        <w:tblStyle w:val="3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14:paraId="2A570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4" w:type="dxa"/>
            <w:vAlign w:val="center"/>
          </w:tcPr>
          <w:p w14:paraId="0A19F6C5">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704" w:type="dxa"/>
            <w:vAlign w:val="center"/>
          </w:tcPr>
          <w:p w14:paraId="67D9B6BD">
            <w:pPr>
              <w:jc w:val="center"/>
              <w:rPr>
                <w:rFonts w:hint="eastAsia" w:ascii="宋体" w:hAnsi="宋体" w:eastAsia="宋体" w:cs="宋体"/>
                <w:color w:val="auto"/>
                <w:highlight w:val="none"/>
              </w:rPr>
            </w:pPr>
            <w:r>
              <w:rPr>
                <w:rFonts w:hint="eastAsia" w:ascii="宋体" w:hAnsi="宋体" w:eastAsia="宋体" w:cs="宋体"/>
                <w:color w:val="auto"/>
                <w:highlight w:val="none"/>
              </w:rPr>
              <w:t>评审项目</w:t>
            </w:r>
          </w:p>
        </w:tc>
        <w:tc>
          <w:tcPr>
            <w:tcW w:w="1704" w:type="dxa"/>
            <w:vAlign w:val="center"/>
          </w:tcPr>
          <w:p w14:paraId="05A5FF90">
            <w:pPr>
              <w:jc w:val="center"/>
              <w:rPr>
                <w:rFonts w:hint="eastAsia" w:ascii="宋体" w:hAnsi="宋体" w:eastAsia="宋体" w:cs="宋体"/>
                <w:color w:val="auto"/>
                <w:highlight w:val="none"/>
              </w:rPr>
            </w:pPr>
            <w:r>
              <w:rPr>
                <w:rFonts w:hint="eastAsia" w:ascii="宋体" w:hAnsi="宋体" w:eastAsia="宋体" w:cs="宋体"/>
                <w:color w:val="auto"/>
                <w:highlight w:val="none"/>
              </w:rPr>
              <w:t>评审细则</w:t>
            </w:r>
          </w:p>
        </w:tc>
        <w:tc>
          <w:tcPr>
            <w:tcW w:w="1705" w:type="dxa"/>
            <w:vAlign w:val="center"/>
          </w:tcPr>
          <w:p w14:paraId="35180A12">
            <w:pPr>
              <w:jc w:val="center"/>
              <w:rPr>
                <w:rFonts w:hint="eastAsia" w:ascii="宋体" w:hAnsi="宋体" w:eastAsia="宋体" w:cs="宋体"/>
                <w:color w:val="auto"/>
                <w:highlight w:val="none"/>
              </w:rPr>
            </w:pPr>
            <w:r>
              <w:rPr>
                <w:rFonts w:hint="eastAsia" w:ascii="宋体" w:hAnsi="宋体" w:eastAsia="宋体" w:cs="宋体"/>
                <w:color w:val="auto"/>
                <w:highlight w:val="none"/>
              </w:rPr>
              <w:t>分值</w:t>
            </w:r>
          </w:p>
        </w:tc>
        <w:tc>
          <w:tcPr>
            <w:tcW w:w="1705" w:type="dxa"/>
            <w:vAlign w:val="center"/>
          </w:tcPr>
          <w:p w14:paraId="406A8145">
            <w:pPr>
              <w:jc w:val="center"/>
              <w:rPr>
                <w:rFonts w:hint="eastAsia" w:ascii="宋体" w:hAnsi="宋体" w:eastAsia="宋体" w:cs="宋体"/>
                <w:color w:val="auto"/>
                <w:highlight w:val="none"/>
              </w:rPr>
            </w:pPr>
            <w:r>
              <w:rPr>
                <w:rFonts w:hint="eastAsia" w:ascii="宋体" w:hAnsi="宋体" w:eastAsia="宋体" w:cs="宋体"/>
                <w:color w:val="auto"/>
                <w:highlight w:val="none"/>
              </w:rPr>
              <w:t>页码范围</w:t>
            </w:r>
          </w:p>
        </w:tc>
      </w:tr>
      <w:tr w14:paraId="536E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14:paraId="6422DBBD">
            <w:pPr>
              <w:rPr>
                <w:rFonts w:hint="eastAsia" w:ascii="宋体" w:hAnsi="宋体" w:eastAsia="宋体" w:cs="宋体"/>
                <w:color w:val="auto"/>
                <w:highlight w:val="none"/>
              </w:rPr>
            </w:pPr>
            <w:r>
              <w:rPr>
                <w:rFonts w:hint="eastAsia" w:ascii="宋体" w:hAnsi="宋体" w:eastAsia="宋体" w:cs="宋体"/>
                <w:color w:val="auto"/>
                <w:highlight w:val="none"/>
              </w:rPr>
              <w:t>商务评审</w:t>
            </w:r>
          </w:p>
        </w:tc>
      </w:tr>
      <w:tr w14:paraId="0E4A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64416494">
            <w:pPr>
              <w:jc w:val="center"/>
              <w:rPr>
                <w:rFonts w:hint="eastAsia" w:ascii="宋体" w:hAnsi="宋体" w:eastAsia="宋体" w:cs="宋体"/>
                <w:color w:val="auto"/>
                <w:highlight w:val="none"/>
              </w:rPr>
            </w:pPr>
          </w:p>
        </w:tc>
        <w:tc>
          <w:tcPr>
            <w:tcW w:w="1704" w:type="dxa"/>
            <w:vAlign w:val="center"/>
          </w:tcPr>
          <w:p w14:paraId="1CBB97B5">
            <w:pPr>
              <w:jc w:val="center"/>
              <w:rPr>
                <w:rFonts w:hint="eastAsia" w:ascii="宋体" w:hAnsi="宋体" w:eastAsia="宋体" w:cs="宋体"/>
                <w:color w:val="auto"/>
                <w:highlight w:val="none"/>
              </w:rPr>
            </w:pPr>
          </w:p>
        </w:tc>
        <w:tc>
          <w:tcPr>
            <w:tcW w:w="1704" w:type="dxa"/>
            <w:vAlign w:val="center"/>
          </w:tcPr>
          <w:p w14:paraId="136413BA">
            <w:pPr>
              <w:jc w:val="center"/>
              <w:rPr>
                <w:rFonts w:hint="eastAsia" w:ascii="宋体" w:hAnsi="宋体" w:eastAsia="宋体" w:cs="宋体"/>
                <w:color w:val="auto"/>
                <w:highlight w:val="none"/>
              </w:rPr>
            </w:pPr>
          </w:p>
        </w:tc>
        <w:tc>
          <w:tcPr>
            <w:tcW w:w="1705" w:type="dxa"/>
            <w:vAlign w:val="center"/>
          </w:tcPr>
          <w:p w14:paraId="68CBE664">
            <w:pPr>
              <w:jc w:val="center"/>
              <w:rPr>
                <w:rFonts w:hint="eastAsia" w:ascii="宋体" w:hAnsi="宋体" w:eastAsia="宋体" w:cs="宋体"/>
                <w:color w:val="auto"/>
                <w:highlight w:val="none"/>
              </w:rPr>
            </w:pPr>
          </w:p>
        </w:tc>
        <w:tc>
          <w:tcPr>
            <w:tcW w:w="1705" w:type="dxa"/>
            <w:vAlign w:val="center"/>
          </w:tcPr>
          <w:p w14:paraId="41C33C65">
            <w:pPr>
              <w:jc w:val="center"/>
              <w:rPr>
                <w:rFonts w:hint="eastAsia" w:ascii="宋体" w:hAnsi="宋体" w:eastAsia="宋体" w:cs="宋体"/>
                <w:color w:val="auto"/>
                <w:highlight w:val="none"/>
              </w:rPr>
            </w:pPr>
          </w:p>
        </w:tc>
      </w:tr>
      <w:tr w14:paraId="71DB2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6D052E57">
            <w:pPr>
              <w:jc w:val="center"/>
              <w:rPr>
                <w:rFonts w:hint="eastAsia" w:ascii="宋体" w:hAnsi="宋体" w:eastAsia="宋体" w:cs="宋体"/>
                <w:color w:val="auto"/>
                <w:highlight w:val="none"/>
              </w:rPr>
            </w:pPr>
          </w:p>
        </w:tc>
        <w:tc>
          <w:tcPr>
            <w:tcW w:w="1704" w:type="dxa"/>
            <w:vAlign w:val="center"/>
          </w:tcPr>
          <w:p w14:paraId="519941B3">
            <w:pPr>
              <w:jc w:val="center"/>
              <w:rPr>
                <w:rFonts w:hint="eastAsia" w:ascii="宋体" w:hAnsi="宋体" w:eastAsia="宋体" w:cs="宋体"/>
                <w:color w:val="auto"/>
                <w:highlight w:val="none"/>
              </w:rPr>
            </w:pPr>
          </w:p>
        </w:tc>
        <w:tc>
          <w:tcPr>
            <w:tcW w:w="1704" w:type="dxa"/>
            <w:vAlign w:val="center"/>
          </w:tcPr>
          <w:p w14:paraId="73626CB0">
            <w:pPr>
              <w:jc w:val="center"/>
              <w:rPr>
                <w:rFonts w:hint="eastAsia" w:ascii="宋体" w:hAnsi="宋体" w:eastAsia="宋体" w:cs="宋体"/>
                <w:color w:val="auto"/>
                <w:highlight w:val="none"/>
              </w:rPr>
            </w:pPr>
          </w:p>
        </w:tc>
        <w:tc>
          <w:tcPr>
            <w:tcW w:w="1705" w:type="dxa"/>
            <w:vAlign w:val="center"/>
          </w:tcPr>
          <w:p w14:paraId="0E1AAB2C">
            <w:pPr>
              <w:jc w:val="center"/>
              <w:rPr>
                <w:rFonts w:hint="eastAsia" w:ascii="宋体" w:hAnsi="宋体" w:eastAsia="宋体" w:cs="宋体"/>
                <w:color w:val="auto"/>
                <w:highlight w:val="none"/>
              </w:rPr>
            </w:pPr>
          </w:p>
        </w:tc>
        <w:tc>
          <w:tcPr>
            <w:tcW w:w="1705" w:type="dxa"/>
            <w:vAlign w:val="center"/>
          </w:tcPr>
          <w:p w14:paraId="4457553C">
            <w:pPr>
              <w:jc w:val="center"/>
              <w:rPr>
                <w:rFonts w:hint="eastAsia" w:ascii="宋体" w:hAnsi="宋体" w:eastAsia="宋体" w:cs="宋体"/>
                <w:color w:val="auto"/>
                <w:highlight w:val="none"/>
              </w:rPr>
            </w:pPr>
          </w:p>
        </w:tc>
      </w:tr>
      <w:tr w14:paraId="4AC8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09C1007B">
            <w:pPr>
              <w:jc w:val="center"/>
              <w:rPr>
                <w:rFonts w:hint="eastAsia" w:ascii="宋体" w:hAnsi="宋体" w:eastAsia="宋体" w:cs="宋体"/>
                <w:color w:val="auto"/>
                <w:highlight w:val="none"/>
              </w:rPr>
            </w:pPr>
          </w:p>
        </w:tc>
        <w:tc>
          <w:tcPr>
            <w:tcW w:w="1704" w:type="dxa"/>
            <w:vAlign w:val="center"/>
          </w:tcPr>
          <w:p w14:paraId="7EF3AFDF">
            <w:pPr>
              <w:jc w:val="center"/>
              <w:rPr>
                <w:rFonts w:hint="eastAsia" w:ascii="宋体" w:hAnsi="宋体" w:eastAsia="宋体" w:cs="宋体"/>
                <w:color w:val="auto"/>
                <w:highlight w:val="none"/>
              </w:rPr>
            </w:pPr>
          </w:p>
        </w:tc>
        <w:tc>
          <w:tcPr>
            <w:tcW w:w="1704" w:type="dxa"/>
            <w:vAlign w:val="center"/>
          </w:tcPr>
          <w:p w14:paraId="0DB225A0">
            <w:pPr>
              <w:jc w:val="center"/>
              <w:rPr>
                <w:rFonts w:hint="eastAsia" w:ascii="宋体" w:hAnsi="宋体" w:eastAsia="宋体" w:cs="宋体"/>
                <w:color w:val="auto"/>
                <w:highlight w:val="none"/>
              </w:rPr>
            </w:pPr>
          </w:p>
        </w:tc>
        <w:tc>
          <w:tcPr>
            <w:tcW w:w="1705" w:type="dxa"/>
            <w:vAlign w:val="center"/>
          </w:tcPr>
          <w:p w14:paraId="52A43E30">
            <w:pPr>
              <w:jc w:val="center"/>
              <w:rPr>
                <w:rFonts w:hint="eastAsia" w:ascii="宋体" w:hAnsi="宋体" w:eastAsia="宋体" w:cs="宋体"/>
                <w:color w:val="auto"/>
                <w:highlight w:val="none"/>
              </w:rPr>
            </w:pPr>
          </w:p>
        </w:tc>
        <w:tc>
          <w:tcPr>
            <w:tcW w:w="1705" w:type="dxa"/>
            <w:vAlign w:val="center"/>
          </w:tcPr>
          <w:p w14:paraId="537D8580">
            <w:pPr>
              <w:jc w:val="center"/>
              <w:rPr>
                <w:rFonts w:hint="eastAsia" w:ascii="宋体" w:hAnsi="宋体" w:eastAsia="宋体" w:cs="宋体"/>
                <w:color w:val="auto"/>
                <w:highlight w:val="none"/>
              </w:rPr>
            </w:pPr>
          </w:p>
        </w:tc>
      </w:tr>
      <w:tr w14:paraId="0CA8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14:paraId="56D29AED">
            <w:pPr>
              <w:rPr>
                <w:rFonts w:hint="eastAsia" w:ascii="宋体" w:hAnsi="宋体" w:eastAsia="宋体" w:cs="宋体"/>
                <w:color w:val="auto"/>
                <w:highlight w:val="none"/>
              </w:rPr>
            </w:pPr>
            <w:r>
              <w:rPr>
                <w:rFonts w:hint="eastAsia" w:ascii="宋体" w:hAnsi="宋体" w:eastAsia="宋体" w:cs="宋体"/>
                <w:color w:val="auto"/>
                <w:highlight w:val="none"/>
              </w:rPr>
              <w:t>技术评审</w:t>
            </w:r>
          </w:p>
        </w:tc>
      </w:tr>
      <w:tr w14:paraId="7D354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1E2FE0BD">
            <w:pPr>
              <w:jc w:val="center"/>
              <w:rPr>
                <w:rFonts w:hint="eastAsia" w:ascii="宋体" w:hAnsi="宋体" w:eastAsia="宋体" w:cs="宋体"/>
                <w:color w:val="auto"/>
                <w:highlight w:val="none"/>
              </w:rPr>
            </w:pPr>
          </w:p>
        </w:tc>
        <w:tc>
          <w:tcPr>
            <w:tcW w:w="1704" w:type="dxa"/>
            <w:vAlign w:val="center"/>
          </w:tcPr>
          <w:p w14:paraId="32D75BF3">
            <w:pPr>
              <w:jc w:val="center"/>
              <w:rPr>
                <w:rFonts w:hint="eastAsia" w:ascii="宋体" w:hAnsi="宋体" w:eastAsia="宋体" w:cs="宋体"/>
                <w:color w:val="auto"/>
                <w:highlight w:val="none"/>
              </w:rPr>
            </w:pPr>
          </w:p>
        </w:tc>
        <w:tc>
          <w:tcPr>
            <w:tcW w:w="1704" w:type="dxa"/>
            <w:vAlign w:val="center"/>
          </w:tcPr>
          <w:p w14:paraId="4985E580">
            <w:pPr>
              <w:jc w:val="center"/>
              <w:rPr>
                <w:rFonts w:hint="eastAsia" w:ascii="宋体" w:hAnsi="宋体" w:eastAsia="宋体" w:cs="宋体"/>
                <w:color w:val="auto"/>
                <w:highlight w:val="none"/>
              </w:rPr>
            </w:pPr>
          </w:p>
        </w:tc>
        <w:tc>
          <w:tcPr>
            <w:tcW w:w="1705" w:type="dxa"/>
            <w:vAlign w:val="center"/>
          </w:tcPr>
          <w:p w14:paraId="68FE5343">
            <w:pPr>
              <w:jc w:val="center"/>
              <w:rPr>
                <w:rFonts w:hint="eastAsia" w:ascii="宋体" w:hAnsi="宋体" w:eastAsia="宋体" w:cs="宋体"/>
                <w:color w:val="auto"/>
                <w:highlight w:val="none"/>
              </w:rPr>
            </w:pPr>
          </w:p>
        </w:tc>
        <w:tc>
          <w:tcPr>
            <w:tcW w:w="1705" w:type="dxa"/>
            <w:vAlign w:val="center"/>
          </w:tcPr>
          <w:p w14:paraId="269ECE8F">
            <w:pPr>
              <w:jc w:val="center"/>
              <w:rPr>
                <w:rFonts w:hint="eastAsia" w:ascii="宋体" w:hAnsi="宋体" w:eastAsia="宋体" w:cs="宋体"/>
                <w:color w:val="auto"/>
                <w:highlight w:val="none"/>
              </w:rPr>
            </w:pPr>
          </w:p>
        </w:tc>
      </w:tr>
      <w:tr w14:paraId="4267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1EFD7F5E">
            <w:pPr>
              <w:jc w:val="center"/>
              <w:rPr>
                <w:rFonts w:hint="eastAsia" w:ascii="宋体" w:hAnsi="宋体" w:eastAsia="宋体" w:cs="宋体"/>
                <w:color w:val="auto"/>
                <w:highlight w:val="none"/>
              </w:rPr>
            </w:pPr>
          </w:p>
        </w:tc>
        <w:tc>
          <w:tcPr>
            <w:tcW w:w="1704" w:type="dxa"/>
            <w:vAlign w:val="center"/>
          </w:tcPr>
          <w:p w14:paraId="42A12F1C">
            <w:pPr>
              <w:jc w:val="center"/>
              <w:rPr>
                <w:rFonts w:hint="eastAsia" w:ascii="宋体" w:hAnsi="宋体" w:eastAsia="宋体" w:cs="宋体"/>
                <w:color w:val="auto"/>
                <w:highlight w:val="none"/>
              </w:rPr>
            </w:pPr>
          </w:p>
        </w:tc>
        <w:tc>
          <w:tcPr>
            <w:tcW w:w="1704" w:type="dxa"/>
            <w:vAlign w:val="center"/>
          </w:tcPr>
          <w:p w14:paraId="3E121D2B">
            <w:pPr>
              <w:jc w:val="center"/>
              <w:rPr>
                <w:rFonts w:hint="eastAsia" w:ascii="宋体" w:hAnsi="宋体" w:eastAsia="宋体" w:cs="宋体"/>
                <w:color w:val="auto"/>
                <w:highlight w:val="none"/>
              </w:rPr>
            </w:pPr>
          </w:p>
        </w:tc>
        <w:tc>
          <w:tcPr>
            <w:tcW w:w="1705" w:type="dxa"/>
            <w:vAlign w:val="center"/>
          </w:tcPr>
          <w:p w14:paraId="7F46C490">
            <w:pPr>
              <w:jc w:val="center"/>
              <w:rPr>
                <w:rFonts w:hint="eastAsia" w:ascii="宋体" w:hAnsi="宋体" w:eastAsia="宋体" w:cs="宋体"/>
                <w:color w:val="auto"/>
                <w:highlight w:val="none"/>
              </w:rPr>
            </w:pPr>
          </w:p>
        </w:tc>
        <w:tc>
          <w:tcPr>
            <w:tcW w:w="1705" w:type="dxa"/>
            <w:vAlign w:val="center"/>
          </w:tcPr>
          <w:p w14:paraId="5CA094E7">
            <w:pPr>
              <w:jc w:val="center"/>
              <w:rPr>
                <w:rFonts w:hint="eastAsia" w:ascii="宋体" w:hAnsi="宋体" w:eastAsia="宋体" w:cs="宋体"/>
                <w:color w:val="auto"/>
                <w:highlight w:val="none"/>
              </w:rPr>
            </w:pPr>
          </w:p>
        </w:tc>
      </w:tr>
      <w:tr w14:paraId="15D3B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345EC1A5">
            <w:pPr>
              <w:jc w:val="center"/>
              <w:rPr>
                <w:rFonts w:hint="eastAsia" w:ascii="宋体" w:hAnsi="宋体" w:eastAsia="宋体" w:cs="宋体"/>
                <w:color w:val="auto"/>
                <w:highlight w:val="none"/>
              </w:rPr>
            </w:pPr>
          </w:p>
        </w:tc>
        <w:tc>
          <w:tcPr>
            <w:tcW w:w="1704" w:type="dxa"/>
            <w:vAlign w:val="center"/>
          </w:tcPr>
          <w:p w14:paraId="06F1A61E">
            <w:pPr>
              <w:jc w:val="center"/>
              <w:rPr>
                <w:rFonts w:hint="eastAsia" w:ascii="宋体" w:hAnsi="宋体" w:eastAsia="宋体" w:cs="宋体"/>
                <w:color w:val="auto"/>
                <w:highlight w:val="none"/>
              </w:rPr>
            </w:pPr>
          </w:p>
        </w:tc>
        <w:tc>
          <w:tcPr>
            <w:tcW w:w="1704" w:type="dxa"/>
            <w:vAlign w:val="center"/>
          </w:tcPr>
          <w:p w14:paraId="03CE74FD">
            <w:pPr>
              <w:jc w:val="center"/>
              <w:rPr>
                <w:rFonts w:hint="eastAsia" w:ascii="宋体" w:hAnsi="宋体" w:eastAsia="宋体" w:cs="宋体"/>
                <w:color w:val="auto"/>
                <w:highlight w:val="none"/>
              </w:rPr>
            </w:pPr>
          </w:p>
        </w:tc>
        <w:tc>
          <w:tcPr>
            <w:tcW w:w="1705" w:type="dxa"/>
            <w:vAlign w:val="center"/>
          </w:tcPr>
          <w:p w14:paraId="11237066">
            <w:pPr>
              <w:jc w:val="center"/>
              <w:rPr>
                <w:rFonts w:hint="eastAsia" w:ascii="宋体" w:hAnsi="宋体" w:eastAsia="宋体" w:cs="宋体"/>
                <w:color w:val="auto"/>
                <w:highlight w:val="none"/>
              </w:rPr>
            </w:pPr>
          </w:p>
        </w:tc>
        <w:tc>
          <w:tcPr>
            <w:tcW w:w="1705" w:type="dxa"/>
            <w:vAlign w:val="center"/>
          </w:tcPr>
          <w:p w14:paraId="76D7C366">
            <w:pPr>
              <w:jc w:val="center"/>
              <w:rPr>
                <w:rFonts w:hint="eastAsia" w:ascii="宋体" w:hAnsi="宋体" w:eastAsia="宋体" w:cs="宋体"/>
                <w:color w:val="auto"/>
                <w:highlight w:val="none"/>
              </w:rPr>
            </w:pPr>
          </w:p>
        </w:tc>
      </w:tr>
    </w:tbl>
    <w:p w14:paraId="7C8DB929">
      <w:pPr>
        <w:rPr>
          <w:rFonts w:hint="eastAsia" w:ascii="宋体" w:hAnsi="宋体" w:eastAsia="宋体" w:cs="宋体"/>
          <w:color w:val="auto"/>
          <w:szCs w:val="21"/>
          <w:highlight w:val="none"/>
        </w:rPr>
      </w:pPr>
    </w:p>
    <w:p w14:paraId="36E28EC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088944A4">
      <w:pPr>
        <w:numPr>
          <w:ilvl w:val="0"/>
          <w:numId w:val="14"/>
        </w:num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该表格为参考格式，投标人可按实际情况自行制订评分标准索引表。</w:t>
      </w:r>
    </w:p>
    <w:p w14:paraId="53B081CD">
      <w:pPr>
        <w:pStyle w:val="13"/>
        <w:spacing w:before="0"/>
        <w:ind w:left="0"/>
        <w:rPr>
          <w:rFonts w:hint="eastAsia" w:ascii="宋体" w:hAnsi="宋体" w:eastAsia="宋体" w:cs="宋体"/>
          <w:color w:val="auto"/>
          <w:highlight w:val="none"/>
        </w:rPr>
      </w:pPr>
    </w:p>
    <w:p w14:paraId="3972CDDA">
      <w:pPr>
        <w:adjustRightInd/>
        <w:snapToGrid/>
        <w:spacing w:line="276" w:lineRule="auto"/>
        <w:rPr>
          <w:rFonts w:hint="eastAsia" w:ascii="宋体" w:hAnsi="宋体" w:eastAsia="宋体" w:cs="宋体"/>
          <w:color w:val="auto"/>
          <w:szCs w:val="21"/>
          <w:highlight w:val="none"/>
        </w:rPr>
      </w:pPr>
    </w:p>
    <w:p w14:paraId="31EA6438">
      <w:pPr>
        <w:adjustRightInd/>
        <w:snapToGrid/>
        <w:spacing w:line="276" w:lineRule="auto"/>
        <w:rPr>
          <w:rFonts w:hint="eastAsia" w:ascii="宋体" w:hAnsi="宋体" w:eastAsia="宋体" w:cs="宋体"/>
          <w:color w:val="auto"/>
          <w:szCs w:val="21"/>
          <w:highlight w:val="none"/>
        </w:rPr>
      </w:pPr>
    </w:p>
    <w:p w14:paraId="04DEF5C5">
      <w:pPr>
        <w:adjustRightInd/>
        <w:snapToGrid/>
        <w:spacing w:line="276" w:lineRule="auto"/>
        <w:rPr>
          <w:rFonts w:hint="eastAsia" w:ascii="宋体" w:hAnsi="宋体" w:eastAsia="宋体" w:cs="宋体"/>
          <w:color w:val="auto"/>
          <w:szCs w:val="21"/>
          <w:highlight w:val="none"/>
        </w:rPr>
      </w:pPr>
    </w:p>
    <w:p w14:paraId="0B3E2E51">
      <w:pPr>
        <w:adjustRightInd/>
        <w:snapToGrid/>
        <w:spacing w:line="276" w:lineRule="auto"/>
        <w:rPr>
          <w:rFonts w:hint="eastAsia" w:ascii="宋体" w:hAnsi="宋体" w:eastAsia="宋体" w:cs="宋体"/>
          <w:color w:val="auto"/>
          <w:szCs w:val="21"/>
          <w:highlight w:val="none"/>
        </w:rPr>
      </w:pPr>
    </w:p>
    <w:p w14:paraId="07502104">
      <w:pPr>
        <w:adjustRightInd/>
        <w:snapToGrid/>
        <w:spacing w:line="276" w:lineRule="auto"/>
        <w:rPr>
          <w:rFonts w:hint="eastAsia" w:ascii="宋体" w:hAnsi="宋体" w:eastAsia="宋体" w:cs="宋体"/>
          <w:color w:val="auto"/>
          <w:szCs w:val="21"/>
          <w:highlight w:val="none"/>
        </w:rPr>
      </w:pPr>
    </w:p>
    <w:p w14:paraId="1E78F7C7">
      <w:pPr>
        <w:adjustRightInd/>
        <w:snapToGrid/>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22CCF3D7">
      <w:pPr>
        <w:jc w:val="center"/>
        <w:rPr>
          <w:rFonts w:hint="eastAsia" w:ascii="宋体" w:hAnsi="宋体" w:eastAsia="宋体" w:cs="宋体"/>
          <w:color w:val="auto"/>
          <w:sz w:val="52"/>
          <w:szCs w:val="52"/>
          <w:highlight w:val="none"/>
        </w:rPr>
      </w:pPr>
      <w:bookmarkStart w:id="145" w:name="_Toc30918"/>
      <w:bookmarkStart w:id="146" w:name="_Toc18450"/>
      <w:bookmarkStart w:id="147" w:name="_Toc28154"/>
      <w:bookmarkStart w:id="148" w:name="_Toc20335"/>
      <w:bookmarkStart w:id="149" w:name="_Toc21746"/>
    </w:p>
    <w:p w14:paraId="358A87DE">
      <w:pPr>
        <w:pStyle w:val="3"/>
        <w:spacing w:before="0" w:after="0" w:line="360" w:lineRule="auto"/>
        <w:jc w:val="center"/>
        <w:rPr>
          <w:rFonts w:hint="eastAsia" w:ascii="宋体" w:hAnsi="宋体" w:eastAsia="宋体" w:cs="宋体"/>
          <w:color w:val="auto"/>
          <w:sz w:val="72"/>
          <w:szCs w:val="72"/>
          <w:highlight w:val="none"/>
        </w:rPr>
      </w:pPr>
      <w:bookmarkStart w:id="150" w:name="_Toc9213"/>
      <w:r>
        <w:rPr>
          <w:rFonts w:hint="eastAsia" w:ascii="宋体" w:hAnsi="宋体" w:eastAsia="宋体" w:cs="宋体"/>
          <w:color w:val="auto"/>
          <w:sz w:val="72"/>
          <w:szCs w:val="72"/>
          <w:highlight w:val="none"/>
        </w:rPr>
        <w:t>价格文件</w:t>
      </w:r>
      <w:bookmarkEnd w:id="145"/>
      <w:bookmarkEnd w:id="146"/>
      <w:bookmarkEnd w:id="150"/>
      <w:bookmarkStart w:id="151" w:name="_Hlt10456397"/>
      <w:bookmarkEnd w:id="151"/>
      <w:bookmarkStart w:id="152" w:name="_Hlt10519799"/>
      <w:bookmarkEnd w:id="152"/>
    </w:p>
    <w:p w14:paraId="42724887">
      <w:pPr>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（单独装订成册）</w:t>
      </w:r>
      <w:bookmarkEnd w:id="147"/>
      <w:bookmarkEnd w:id="148"/>
      <w:bookmarkEnd w:id="149"/>
    </w:p>
    <w:p w14:paraId="7C4F556D">
      <w:pPr>
        <w:rPr>
          <w:rFonts w:hint="eastAsia" w:ascii="宋体" w:hAnsi="宋体" w:eastAsia="宋体" w:cs="宋体"/>
          <w:color w:val="auto"/>
          <w:highlight w:val="none"/>
        </w:rPr>
      </w:pPr>
    </w:p>
    <w:p w14:paraId="1ADC1BB0">
      <w:pPr>
        <w:pStyle w:val="13"/>
        <w:rPr>
          <w:rFonts w:hint="eastAsia" w:ascii="宋体" w:hAnsi="宋体" w:eastAsia="宋体" w:cs="宋体"/>
          <w:color w:val="auto"/>
          <w:highlight w:val="none"/>
        </w:rPr>
      </w:pPr>
    </w:p>
    <w:p w14:paraId="2BDB5FDC">
      <w:pPr>
        <w:pStyle w:val="34"/>
        <w:spacing w:before="0" w:after="0"/>
        <w:ind w:left="0" w:firstLine="240"/>
        <w:rPr>
          <w:rFonts w:hint="eastAsia" w:ascii="宋体" w:hAnsi="宋体" w:eastAsia="宋体" w:cs="宋体"/>
          <w:color w:val="auto"/>
          <w:highlight w:val="none"/>
        </w:rPr>
      </w:pPr>
    </w:p>
    <w:p w14:paraId="6098AEE9">
      <w:pPr>
        <w:rPr>
          <w:rFonts w:hint="eastAsia" w:ascii="宋体" w:hAnsi="宋体" w:eastAsia="宋体" w:cs="宋体"/>
          <w:b/>
          <w:bCs/>
          <w:color w:val="auto"/>
          <w:spacing w:val="-6"/>
          <w:sz w:val="32"/>
          <w:szCs w:val="32"/>
          <w:highlight w:val="none"/>
        </w:rPr>
      </w:pPr>
      <w:r>
        <w:rPr>
          <w:rFonts w:hint="eastAsia" w:ascii="宋体" w:hAnsi="宋体" w:eastAsia="宋体" w:cs="宋体"/>
          <w:b/>
          <w:bCs/>
          <w:color w:val="auto"/>
          <w:spacing w:val="53"/>
          <w:kern w:val="0"/>
          <w:sz w:val="32"/>
          <w:szCs w:val="32"/>
          <w:highlight w:val="none"/>
          <w:fitText w:val="1600" w:id="1883717649"/>
        </w:rPr>
        <w:t>项目名</w:t>
      </w:r>
      <w:r>
        <w:rPr>
          <w:rFonts w:hint="eastAsia" w:ascii="宋体" w:hAnsi="宋体" w:eastAsia="宋体" w:cs="宋体"/>
          <w:b/>
          <w:bCs/>
          <w:color w:val="auto"/>
          <w:spacing w:val="1"/>
          <w:kern w:val="0"/>
          <w:sz w:val="32"/>
          <w:szCs w:val="32"/>
          <w:highlight w:val="none"/>
          <w:fitText w:val="1600" w:id="1883717649"/>
        </w:rPr>
        <w:t>称</w:t>
      </w:r>
      <w:r>
        <w:rPr>
          <w:rFonts w:hint="eastAsia" w:ascii="宋体" w:hAnsi="宋体" w:eastAsia="宋体" w:cs="宋体"/>
          <w:b/>
          <w:bCs/>
          <w:color w:val="auto"/>
          <w:spacing w:val="-6"/>
          <w:sz w:val="32"/>
          <w:szCs w:val="32"/>
          <w:highlight w:val="none"/>
        </w:rPr>
        <w:t>：</w:t>
      </w:r>
    </w:p>
    <w:p w14:paraId="6F7841DC">
      <w:pPr>
        <w:rPr>
          <w:rFonts w:hint="eastAsia" w:ascii="宋体" w:hAnsi="宋体" w:eastAsia="宋体" w:cs="宋体"/>
          <w:b/>
          <w:bCs/>
          <w:color w:val="auto"/>
          <w:sz w:val="32"/>
          <w:szCs w:val="32"/>
          <w:highlight w:val="none"/>
        </w:rPr>
      </w:pPr>
      <w:r>
        <w:rPr>
          <w:rFonts w:hint="eastAsia" w:ascii="宋体" w:hAnsi="宋体" w:eastAsia="宋体" w:cs="宋体"/>
          <w:b/>
          <w:bCs/>
          <w:color w:val="auto"/>
          <w:spacing w:val="53"/>
          <w:kern w:val="0"/>
          <w:sz w:val="32"/>
          <w:szCs w:val="32"/>
          <w:highlight w:val="none"/>
          <w:fitText w:val="1600" w:id="1"/>
        </w:rPr>
        <w:t>项目编</w:t>
      </w:r>
      <w:r>
        <w:rPr>
          <w:rFonts w:hint="eastAsia" w:ascii="宋体" w:hAnsi="宋体" w:eastAsia="宋体" w:cs="宋体"/>
          <w:b/>
          <w:bCs/>
          <w:color w:val="auto"/>
          <w:spacing w:val="1"/>
          <w:kern w:val="0"/>
          <w:sz w:val="32"/>
          <w:szCs w:val="32"/>
          <w:highlight w:val="none"/>
          <w:fitText w:val="1600" w:id="1"/>
        </w:rPr>
        <w:t>号</w:t>
      </w:r>
      <w:r>
        <w:rPr>
          <w:rFonts w:hint="eastAsia" w:ascii="宋体" w:hAnsi="宋体" w:eastAsia="宋体" w:cs="宋体"/>
          <w:b/>
          <w:bCs/>
          <w:color w:val="auto"/>
          <w:sz w:val="32"/>
          <w:szCs w:val="32"/>
          <w:highlight w:val="none"/>
        </w:rPr>
        <w:t>：</w:t>
      </w:r>
    </w:p>
    <w:p w14:paraId="141D05C2">
      <w:pPr>
        <w:pStyle w:val="32"/>
        <w:widowControl/>
        <w:adjustRightInd w:val="0"/>
        <w:snapToGrid w:val="0"/>
        <w:jc w:val="left"/>
        <w:rPr>
          <w:rFonts w:hint="eastAsia" w:ascii="宋体" w:hAnsi="宋体" w:eastAsia="宋体" w:cs="宋体"/>
          <w:b/>
          <w:color w:val="auto"/>
          <w:spacing w:val="1280"/>
          <w:kern w:val="0"/>
          <w:sz w:val="32"/>
          <w:szCs w:val="32"/>
          <w:highlight w:val="none"/>
        </w:rPr>
      </w:pPr>
      <w:r>
        <w:rPr>
          <w:rFonts w:hint="eastAsia" w:ascii="宋体" w:hAnsi="宋体" w:eastAsia="宋体" w:cs="宋体"/>
          <w:b/>
          <w:color w:val="auto"/>
          <w:spacing w:val="106"/>
          <w:kern w:val="0"/>
          <w:sz w:val="32"/>
          <w:szCs w:val="32"/>
          <w:highlight w:val="none"/>
          <w:lang w:bidi="ar"/>
        </w:rPr>
        <w:t>包组号（如有）：</w:t>
      </w:r>
    </w:p>
    <w:p w14:paraId="4B203B1C">
      <w:pPr>
        <w:rPr>
          <w:rFonts w:hint="eastAsia" w:ascii="宋体" w:hAnsi="宋体" w:eastAsia="宋体" w:cs="宋体"/>
          <w:b/>
          <w:color w:val="auto"/>
          <w:sz w:val="32"/>
          <w:szCs w:val="32"/>
          <w:highlight w:val="none"/>
        </w:rPr>
      </w:pPr>
      <w:r>
        <w:rPr>
          <w:rFonts w:hint="eastAsia" w:ascii="宋体" w:hAnsi="宋体" w:eastAsia="宋体" w:cs="宋体"/>
          <w:b/>
          <w:color w:val="auto"/>
          <w:spacing w:val="0"/>
          <w:kern w:val="0"/>
          <w:sz w:val="32"/>
          <w:szCs w:val="32"/>
          <w:highlight w:val="none"/>
          <w:fitText w:val="1600" w:id="2"/>
        </w:rPr>
        <w:t>投标人名称</w:t>
      </w:r>
      <w:r>
        <w:rPr>
          <w:rFonts w:hint="eastAsia" w:ascii="宋体" w:hAnsi="宋体" w:eastAsia="宋体" w:cs="宋体"/>
          <w:b/>
          <w:color w:val="auto"/>
          <w:sz w:val="32"/>
          <w:szCs w:val="32"/>
          <w:highlight w:val="none"/>
        </w:rPr>
        <w:t>：</w:t>
      </w:r>
    </w:p>
    <w:p w14:paraId="44767B0E">
      <w:pPr>
        <w:rPr>
          <w:rFonts w:hint="eastAsia" w:ascii="宋体" w:hAnsi="宋体" w:eastAsia="宋体" w:cs="宋体"/>
          <w:b/>
          <w:color w:val="auto"/>
          <w:sz w:val="32"/>
          <w:szCs w:val="32"/>
          <w:highlight w:val="none"/>
        </w:rPr>
      </w:pPr>
      <w:r>
        <w:rPr>
          <w:rFonts w:hint="eastAsia" w:ascii="宋体" w:hAnsi="宋体" w:eastAsia="宋体" w:cs="宋体"/>
          <w:b/>
          <w:color w:val="auto"/>
          <w:spacing w:val="32"/>
          <w:kern w:val="0"/>
          <w:sz w:val="32"/>
          <w:szCs w:val="32"/>
          <w:highlight w:val="none"/>
          <w:fitText w:val="1600" w:id="3"/>
        </w:rPr>
        <w:t xml:space="preserve">日    </w:t>
      </w:r>
      <w:r>
        <w:rPr>
          <w:rFonts w:hint="eastAsia" w:ascii="宋体" w:hAnsi="宋体" w:eastAsia="宋体" w:cs="宋体"/>
          <w:b/>
          <w:color w:val="auto"/>
          <w:spacing w:val="0"/>
          <w:kern w:val="0"/>
          <w:sz w:val="32"/>
          <w:szCs w:val="32"/>
          <w:highlight w:val="none"/>
          <w:fitText w:val="1600" w:id="3"/>
        </w:rPr>
        <w:t>期</w:t>
      </w:r>
      <w:r>
        <w:rPr>
          <w:rFonts w:hint="eastAsia" w:ascii="宋体" w:hAnsi="宋体" w:eastAsia="宋体" w:cs="宋体"/>
          <w:b/>
          <w:color w:val="auto"/>
          <w:sz w:val="32"/>
          <w:szCs w:val="32"/>
          <w:highlight w:val="none"/>
        </w:rPr>
        <w:t>：</w:t>
      </w:r>
    </w:p>
    <w:p w14:paraId="3E5DE066">
      <w:pPr>
        <w:rPr>
          <w:rFonts w:hint="eastAsia" w:ascii="宋体" w:hAnsi="宋体" w:eastAsia="宋体" w:cs="宋体"/>
          <w:color w:val="auto"/>
          <w:highlight w:val="none"/>
        </w:rPr>
      </w:pPr>
    </w:p>
    <w:p w14:paraId="2BC0FBF2">
      <w:pPr>
        <w:pStyle w:val="13"/>
        <w:rPr>
          <w:rFonts w:hint="eastAsia" w:ascii="宋体" w:hAnsi="宋体" w:eastAsia="宋体" w:cs="宋体"/>
          <w:color w:val="auto"/>
          <w:highlight w:val="none"/>
        </w:rPr>
      </w:pPr>
    </w:p>
    <w:p w14:paraId="60EF0DAF">
      <w:pPr>
        <w:pStyle w:val="34"/>
        <w:ind w:firstLine="240"/>
        <w:rPr>
          <w:rFonts w:hint="eastAsia" w:ascii="宋体" w:hAnsi="宋体" w:eastAsia="宋体" w:cs="宋体"/>
          <w:color w:val="auto"/>
          <w:highlight w:val="none"/>
        </w:rPr>
      </w:pPr>
    </w:p>
    <w:p w14:paraId="0FF9AEFB">
      <w:pPr>
        <w:pStyle w:val="28"/>
        <w:rPr>
          <w:rFonts w:hint="eastAsia" w:ascii="宋体" w:hAnsi="宋体" w:eastAsia="宋体" w:cs="宋体"/>
          <w:color w:val="auto"/>
          <w:highlight w:val="none"/>
        </w:rPr>
      </w:pPr>
    </w:p>
    <w:p w14:paraId="5EA88B44">
      <w:pPr>
        <w:rPr>
          <w:rFonts w:hint="eastAsia" w:ascii="宋体" w:hAnsi="宋体" w:eastAsia="宋体" w:cs="宋体"/>
          <w:color w:val="auto"/>
          <w:highlight w:val="none"/>
        </w:rPr>
      </w:pPr>
    </w:p>
    <w:p w14:paraId="2F6E5706">
      <w:pPr>
        <w:pStyle w:val="13"/>
        <w:rPr>
          <w:rFonts w:hint="eastAsia" w:ascii="宋体" w:hAnsi="宋体" w:eastAsia="宋体" w:cs="宋体"/>
          <w:color w:val="auto"/>
          <w:highlight w:val="none"/>
        </w:rPr>
      </w:pPr>
    </w:p>
    <w:p w14:paraId="3E9F1C98">
      <w:pPr>
        <w:pStyle w:val="34"/>
        <w:ind w:firstLine="240"/>
        <w:rPr>
          <w:rFonts w:hint="eastAsia" w:ascii="宋体" w:hAnsi="宋体" w:eastAsia="宋体" w:cs="宋体"/>
          <w:color w:val="auto"/>
          <w:highlight w:val="none"/>
        </w:rPr>
      </w:pPr>
    </w:p>
    <w:p w14:paraId="44636454">
      <w:pPr>
        <w:pStyle w:val="28"/>
        <w:rPr>
          <w:rFonts w:hint="eastAsia" w:ascii="宋体" w:hAnsi="宋体" w:eastAsia="宋体" w:cs="宋体"/>
          <w:color w:val="auto"/>
          <w:highlight w:val="none"/>
        </w:rPr>
      </w:pPr>
    </w:p>
    <w:p w14:paraId="2C99FBF7">
      <w:pPr>
        <w:pStyle w:val="28"/>
        <w:ind w:left="0"/>
        <w:rPr>
          <w:rFonts w:hint="eastAsia" w:ascii="宋体" w:hAnsi="宋体" w:eastAsia="宋体" w:cs="宋体"/>
          <w:color w:val="auto"/>
          <w:highlight w:val="none"/>
        </w:rPr>
      </w:pPr>
    </w:p>
    <w:p w14:paraId="3CC5131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07B8E4EF">
      <w:pPr>
        <w:pStyle w:val="5"/>
        <w:widowControl w:val="0"/>
        <w:overflowPunct w:val="0"/>
        <w:spacing w:line="240" w:lineRule="auto"/>
        <w:rPr>
          <w:rFonts w:hint="eastAsia" w:ascii="宋体" w:hAnsi="宋体" w:eastAsia="宋体" w:cs="宋体"/>
          <w:color w:val="auto"/>
          <w:sz w:val="21"/>
          <w:szCs w:val="21"/>
          <w:highlight w:val="none"/>
        </w:rPr>
      </w:pPr>
      <w:bookmarkStart w:id="153" w:name="_Toc1232"/>
      <w:r>
        <w:rPr>
          <w:rFonts w:hint="eastAsia" w:ascii="宋体" w:hAnsi="宋体" w:eastAsia="宋体" w:cs="宋体"/>
          <w:color w:val="auto"/>
          <w:sz w:val="21"/>
          <w:szCs w:val="21"/>
          <w:highlight w:val="none"/>
        </w:rPr>
        <w:t>附件2.开标一览表格式</w:t>
      </w:r>
      <w:bookmarkEnd w:id="153"/>
    </w:p>
    <w:p w14:paraId="090788CA">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开标一览表</w:t>
      </w:r>
    </w:p>
    <w:p w14:paraId="100527C8">
      <w:pPr>
        <w:rPr>
          <w:rFonts w:hint="eastAsia" w:ascii="宋体" w:hAnsi="宋体" w:eastAsia="宋体" w:cs="宋体"/>
          <w:color w:val="auto"/>
          <w:highlight w:val="none"/>
        </w:rPr>
      </w:pPr>
    </w:p>
    <w:p w14:paraId="7DCCAF8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p w14:paraId="6C140678">
      <w:pPr>
        <w:rPr>
          <w:rFonts w:hint="eastAsia" w:ascii="宋体" w:hAnsi="宋体" w:eastAsia="宋体" w:cs="宋体"/>
          <w:color w:val="auto"/>
          <w:highlight w:val="none"/>
        </w:rPr>
      </w:pPr>
      <w:r>
        <w:rPr>
          <w:rFonts w:hint="eastAsia" w:ascii="宋体" w:hAnsi="宋体" w:eastAsia="宋体" w:cs="宋体"/>
          <w:color w:val="auto"/>
          <w:szCs w:val="21"/>
          <w:highlight w:val="none"/>
        </w:rPr>
        <w:t>采购项目编号：</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1823"/>
        <w:gridCol w:w="1154"/>
        <w:gridCol w:w="2623"/>
      </w:tblGrid>
      <w:tr w14:paraId="06684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exact"/>
          <w:jc w:val="center"/>
        </w:trPr>
        <w:tc>
          <w:tcPr>
            <w:tcW w:w="2497" w:type="dxa"/>
            <w:noWrap w:val="0"/>
            <w:vAlign w:val="center"/>
          </w:tcPr>
          <w:p w14:paraId="1AFA10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1823" w:type="dxa"/>
            <w:noWrap w:val="0"/>
            <w:vAlign w:val="center"/>
          </w:tcPr>
          <w:p w14:paraId="0A600ED9">
            <w:pPr>
              <w:jc w:val="center"/>
              <w:rPr>
                <w:rFonts w:hint="eastAsia" w:ascii="宋体" w:hAnsi="宋体" w:eastAsia="宋体" w:cs="宋体"/>
                <w:bCs/>
                <w:color w:val="auto"/>
                <w:kern w:val="2"/>
                <w:sz w:val="21"/>
                <w:szCs w:val="21"/>
                <w:highlight w:val="none"/>
                <w:lang w:eastAsia="zh-CN" w:bidi="ar"/>
              </w:rPr>
            </w:pPr>
            <w:r>
              <w:rPr>
                <w:rFonts w:hint="eastAsia" w:ascii="宋体" w:hAnsi="宋体" w:eastAsia="宋体" w:cs="宋体"/>
                <w:color w:val="auto"/>
                <w:sz w:val="21"/>
                <w:szCs w:val="21"/>
                <w:highlight w:val="none"/>
                <w:lang w:eastAsia="zh-CN"/>
              </w:rPr>
              <w:t>投标报价</w:t>
            </w:r>
          </w:p>
        </w:tc>
        <w:tc>
          <w:tcPr>
            <w:tcW w:w="1154" w:type="dxa"/>
            <w:noWrap w:val="0"/>
            <w:vAlign w:val="center"/>
          </w:tcPr>
          <w:p w14:paraId="5C1E71CD">
            <w:pPr>
              <w:jc w:val="center"/>
              <w:rPr>
                <w:rFonts w:hint="eastAsia" w:ascii="宋体" w:hAnsi="宋体" w:eastAsia="宋体" w:cs="宋体"/>
                <w:bCs/>
                <w:color w:val="auto"/>
                <w:kern w:val="2"/>
                <w:sz w:val="21"/>
                <w:szCs w:val="21"/>
                <w:highlight w:val="none"/>
                <w:lang w:bidi="ar"/>
              </w:rPr>
            </w:pPr>
            <w:r>
              <w:rPr>
                <w:rFonts w:hint="eastAsia" w:ascii="宋体" w:hAnsi="宋体" w:eastAsia="宋体" w:cs="宋体"/>
                <w:bCs/>
                <w:color w:val="auto"/>
                <w:kern w:val="2"/>
                <w:sz w:val="21"/>
                <w:szCs w:val="21"/>
                <w:highlight w:val="none"/>
                <w:lang w:bidi="ar"/>
              </w:rPr>
              <w:t>税率</w:t>
            </w:r>
          </w:p>
        </w:tc>
        <w:tc>
          <w:tcPr>
            <w:tcW w:w="2623" w:type="dxa"/>
            <w:noWrap w:val="0"/>
            <w:vAlign w:val="center"/>
          </w:tcPr>
          <w:p w14:paraId="652DFA3D">
            <w:pPr>
              <w:jc w:val="center"/>
              <w:rPr>
                <w:rFonts w:hint="eastAsia" w:ascii="宋体" w:hAnsi="宋体" w:eastAsia="宋体" w:cs="宋体"/>
                <w:bCs/>
                <w:color w:val="auto"/>
                <w:kern w:val="2"/>
                <w:sz w:val="21"/>
                <w:szCs w:val="21"/>
                <w:highlight w:val="none"/>
                <w:lang w:bidi="ar"/>
              </w:rPr>
            </w:pPr>
            <w:r>
              <w:rPr>
                <w:rFonts w:hint="eastAsia" w:ascii="宋体" w:hAnsi="宋体" w:eastAsia="宋体" w:cs="宋体"/>
                <w:bCs/>
                <w:color w:val="auto"/>
                <w:kern w:val="2"/>
                <w:sz w:val="21"/>
                <w:szCs w:val="21"/>
                <w:highlight w:val="none"/>
                <w:lang w:bidi="ar"/>
              </w:rPr>
              <w:t>备注</w:t>
            </w:r>
          </w:p>
        </w:tc>
      </w:tr>
      <w:tr w14:paraId="6ECE5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exact"/>
          <w:jc w:val="center"/>
        </w:trPr>
        <w:tc>
          <w:tcPr>
            <w:tcW w:w="2497" w:type="dxa"/>
            <w:noWrap w:val="0"/>
            <w:vAlign w:val="center"/>
          </w:tcPr>
          <w:p w14:paraId="4718D88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阳江开能5-8#AOD余热锅炉技术改造项目施工</w:t>
            </w:r>
          </w:p>
        </w:tc>
        <w:tc>
          <w:tcPr>
            <w:tcW w:w="1823" w:type="dxa"/>
            <w:noWrap w:val="0"/>
            <w:vAlign w:val="center"/>
          </w:tcPr>
          <w:p w14:paraId="0E72096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p>
          <w:p w14:paraId="1A1B6F73">
            <w:pPr>
              <w:pStyle w:val="3"/>
              <w:rPr>
                <w:rFonts w:hint="eastAsia" w:ascii="宋体" w:hAnsi="宋体" w:eastAsia="宋体" w:cs="宋体"/>
                <w:b w:val="0"/>
                <w:color w:val="auto"/>
                <w:sz w:val="21"/>
                <w:szCs w:val="21"/>
                <w:highlight w:val="none"/>
              </w:rPr>
            </w:pPr>
            <w:bookmarkStart w:id="154" w:name="_Toc11207"/>
            <w:bookmarkStart w:id="155" w:name="_Toc1814"/>
            <w:bookmarkStart w:id="156" w:name="_Toc11579"/>
            <w:bookmarkStart w:id="157" w:name="_Toc5250"/>
            <w:r>
              <w:rPr>
                <w:rFonts w:hint="eastAsia" w:ascii="宋体" w:hAnsi="宋体" w:eastAsia="宋体" w:cs="宋体"/>
                <w:b w:val="0"/>
                <w:color w:val="auto"/>
                <w:sz w:val="21"/>
                <w:szCs w:val="21"/>
                <w:highlight w:val="none"/>
              </w:rPr>
              <w:t>小写：</w:t>
            </w:r>
            <w:bookmarkEnd w:id="154"/>
            <w:bookmarkEnd w:id="155"/>
            <w:bookmarkEnd w:id="156"/>
            <w:bookmarkEnd w:id="157"/>
            <w:r>
              <w:rPr>
                <w:rFonts w:hint="eastAsia" w:ascii="宋体" w:hAnsi="宋体" w:eastAsia="宋体" w:cs="宋体"/>
                <w:b w:val="0"/>
                <w:color w:val="auto"/>
                <w:sz w:val="21"/>
                <w:szCs w:val="21"/>
                <w:highlight w:val="none"/>
                <w:u w:val="single"/>
              </w:rPr>
              <w:t xml:space="preserve">         </w:t>
            </w:r>
          </w:p>
        </w:tc>
        <w:tc>
          <w:tcPr>
            <w:tcW w:w="1154" w:type="dxa"/>
            <w:noWrap w:val="0"/>
            <w:vAlign w:val="center"/>
          </w:tcPr>
          <w:p w14:paraId="78099F45">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c>
          <w:tcPr>
            <w:tcW w:w="2623" w:type="dxa"/>
            <w:noWrap w:val="0"/>
            <w:vAlign w:val="center"/>
          </w:tcPr>
          <w:p w14:paraId="1928033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r>
    </w:tbl>
    <w:p w14:paraId="5B03C3FC">
      <w:pPr>
        <w:rPr>
          <w:rFonts w:hint="eastAsia" w:ascii="宋体" w:hAnsi="宋体" w:eastAsia="宋体" w:cs="宋体"/>
          <w:color w:val="auto"/>
          <w:szCs w:val="21"/>
          <w:highlight w:val="none"/>
        </w:rPr>
      </w:pPr>
    </w:p>
    <w:p w14:paraId="2F07EAFB">
      <w:pPr>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投标人代表签字：</w:t>
      </w:r>
    </w:p>
    <w:p w14:paraId="3EE1FBAE">
      <w:pPr>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投标人盖章：</w:t>
      </w:r>
    </w:p>
    <w:p w14:paraId="2FE06634">
      <w:pPr>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668723F5">
      <w:pPr>
        <w:ind w:firstLine="359" w:firstLineChars="171"/>
        <w:rPr>
          <w:rFonts w:hint="eastAsia" w:ascii="宋体" w:hAnsi="宋体" w:eastAsia="宋体" w:cs="宋体"/>
          <w:color w:val="auto"/>
          <w:szCs w:val="21"/>
          <w:highlight w:val="none"/>
        </w:rPr>
      </w:pPr>
    </w:p>
    <w:p w14:paraId="66B9DCA9">
      <w:pPr>
        <w:ind w:left="407" w:leftChars="194" w:firstLine="27" w:firstLineChars="13"/>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注：</w:t>
      </w:r>
    </w:p>
    <w:p w14:paraId="01FEF39C">
      <w:pPr>
        <w:tabs>
          <w:tab w:val="left" w:pos="3240"/>
        </w:tabs>
        <w:spacing w:line="360" w:lineRule="auto"/>
        <w:ind w:left="4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1、投标总报价包括采购文件要求全部货物及服务所需的费用、履行合同所有相关内容所需的费用、国家规定的所有税费及其他一切隐含或不可预见的费用。</w:t>
      </w:r>
    </w:p>
    <w:p w14:paraId="3D7D09F5">
      <w:pPr>
        <w:tabs>
          <w:tab w:val="left" w:pos="3240"/>
        </w:tabs>
        <w:spacing w:line="360" w:lineRule="auto"/>
        <w:ind w:left="4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2、投标人自行对本服务项目范围内的现场及周边环境进行踏勘，收集相关资料，并承担由此所发生的费用以及责任、风险。</w:t>
      </w:r>
    </w:p>
    <w:p w14:paraId="5A3A8CDB">
      <w:pPr>
        <w:ind w:firstLine="840" w:firstLineChars="4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3、本表格中的投标报价应等于“投标分项报价表”中的总报价。</w:t>
      </w:r>
    </w:p>
    <w:p w14:paraId="4DEAD6B9">
      <w:pPr>
        <w:ind w:firstLine="840" w:firstLineChars="400"/>
        <w:jc w:val="both"/>
        <w:rPr>
          <w:rFonts w:hint="eastAsia" w:ascii="宋体" w:hAnsi="宋体" w:eastAsia="宋体" w:cs="宋体"/>
          <w:color w:val="auto"/>
          <w:sz w:val="21"/>
          <w:szCs w:val="21"/>
          <w:highlight w:val="none"/>
        </w:rPr>
      </w:pPr>
    </w:p>
    <w:p w14:paraId="7F8D840A">
      <w:pPr>
        <w:ind w:firstLine="0" w:firstLineChars="0"/>
        <w:jc w:val="both"/>
        <w:rPr>
          <w:rFonts w:hint="eastAsia" w:ascii="宋体" w:hAnsi="宋体" w:eastAsia="宋体" w:cs="宋体"/>
          <w:color w:val="auto"/>
          <w:sz w:val="21"/>
          <w:szCs w:val="21"/>
          <w:highlight w:val="none"/>
        </w:rPr>
      </w:pPr>
    </w:p>
    <w:p w14:paraId="4AAA66D4">
      <w:pPr>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7991599F">
      <w:pPr>
        <w:pStyle w:val="5"/>
        <w:widowControl w:val="0"/>
        <w:overflowPunct w:val="0"/>
        <w:spacing w:line="240" w:lineRule="auto"/>
        <w:rPr>
          <w:rFonts w:ascii="宋体" w:hAnsi="宋体" w:cs="宋体"/>
          <w:color w:val="auto"/>
          <w:sz w:val="21"/>
          <w:szCs w:val="21"/>
          <w:highlight w:val="none"/>
        </w:rPr>
      </w:pPr>
      <w:bookmarkStart w:id="158" w:name="_Toc30487"/>
      <w:r>
        <w:rPr>
          <w:rFonts w:hint="eastAsia" w:ascii="宋体" w:hAnsi="宋体" w:cs="宋体"/>
          <w:color w:val="auto"/>
          <w:sz w:val="21"/>
          <w:szCs w:val="21"/>
          <w:highlight w:val="none"/>
        </w:rPr>
        <w:t>附件3.报价明细表格式</w:t>
      </w:r>
      <w:bookmarkEnd w:id="158"/>
    </w:p>
    <w:p w14:paraId="5833DEB4">
      <w:pPr>
        <w:jc w:val="center"/>
        <w:rPr>
          <w:rFonts w:ascii="宋体" w:hAnsi="宋体" w:cs="宋体"/>
          <w:color w:val="auto"/>
          <w:sz w:val="32"/>
          <w:szCs w:val="32"/>
          <w:highlight w:val="none"/>
        </w:rPr>
      </w:pPr>
      <w:bookmarkStart w:id="159" w:name="_Toc31062"/>
      <w:bookmarkStart w:id="160" w:name="_Toc31172"/>
      <w:r>
        <w:rPr>
          <w:rFonts w:hint="eastAsia" w:ascii="宋体" w:hAnsi="宋体" w:cs="宋体"/>
          <w:color w:val="auto"/>
          <w:sz w:val="32"/>
          <w:szCs w:val="32"/>
          <w:highlight w:val="none"/>
        </w:rPr>
        <w:t>报价明细表</w:t>
      </w:r>
      <w:bookmarkEnd w:id="159"/>
      <w:bookmarkEnd w:id="160"/>
    </w:p>
    <w:p w14:paraId="00353F95">
      <w:pPr>
        <w:pStyle w:val="13"/>
        <w:spacing w:line="380" w:lineRule="exact"/>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r>
        <w:rPr>
          <w:rFonts w:hint="eastAsia" w:ascii="宋体" w:hAnsi="宋体" w:eastAsia="宋体" w:cs="宋体"/>
          <w:color w:val="auto"/>
          <w:sz w:val="22"/>
          <w:szCs w:val="22"/>
          <w:highlight w:val="none"/>
          <w:lang w:eastAsia="zh-CN"/>
        </w:rPr>
        <w:t>阳江开能5-8#AOD余热锅炉技术改造项目施工</w:t>
      </w:r>
    </w:p>
    <w:p w14:paraId="3FEDAAD3">
      <w:pPr>
        <w:pStyle w:val="13"/>
        <w:spacing w:line="380" w:lineRule="exact"/>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项目编号：</w:t>
      </w:r>
      <w:r>
        <w:rPr>
          <w:rFonts w:hint="eastAsia" w:ascii="宋体" w:hAnsi="宋体" w:eastAsia="宋体" w:cs="宋体"/>
          <w:color w:val="auto"/>
          <w:sz w:val="22"/>
          <w:szCs w:val="22"/>
          <w:highlight w:val="none"/>
          <w:lang w:eastAsia="zh-CN"/>
        </w:rPr>
        <w:t>GDZHCG24063</w:t>
      </w:r>
    </w:p>
    <w:tbl>
      <w:tblPr>
        <w:tblStyle w:val="36"/>
        <w:tblW w:w="1019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7"/>
        <w:gridCol w:w="1561"/>
        <w:gridCol w:w="3751"/>
        <w:gridCol w:w="760"/>
        <w:gridCol w:w="786"/>
        <w:gridCol w:w="760"/>
        <w:gridCol w:w="1351"/>
        <w:gridCol w:w="780"/>
      </w:tblGrid>
      <w:tr w14:paraId="10B26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448" w:type="dxa"/>
            <w:tcBorders>
              <w:top w:val="single" w:color="auto" w:sz="4" w:space="0"/>
              <w:left w:val="single" w:color="auto" w:sz="4" w:space="0"/>
              <w:bottom w:val="single" w:color="auto" w:sz="4" w:space="0"/>
              <w:right w:val="single" w:color="auto" w:sz="4" w:space="0"/>
            </w:tcBorders>
            <w:shd w:val="clear" w:color="auto" w:fill="auto"/>
            <w:vAlign w:val="center"/>
          </w:tcPr>
          <w:p w14:paraId="6EA2A19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612" w:type="dxa"/>
            <w:tcBorders>
              <w:top w:val="single" w:color="auto" w:sz="4" w:space="0"/>
              <w:left w:val="single" w:color="auto" w:sz="4" w:space="0"/>
              <w:bottom w:val="single" w:color="auto" w:sz="4" w:space="0"/>
              <w:right w:val="single" w:color="auto" w:sz="4" w:space="0"/>
            </w:tcBorders>
            <w:shd w:val="clear" w:color="auto" w:fill="auto"/>
            <w:vAlign w:val="center"/>
          </w:tcPr>
          <w:p w14:paraId="7C27496C">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名称</w:t>
            </w:r>
          </w:p>
        </w:tc>
        <w:tc>
          <w:tcPr>
            <w:tcW w:w="3867" w:type="dxa"/>
            <w:tcBorders>
              <w:top w:val="single" w:color="auto" w:sz="4" w:space="0"/>
              <w:left w:val="single" w:color="auto" w:sz="4" w:space="0"/>
              <w:bottom w:val="single" w:color="auto" w:sz="4" w:space="0"/>
              <w:right w:val="single" w:color="auto" w:sz="4" w:space="0"/>
            </w:tcBorders>
            <w:shd w:val="clear" w:color="auto" w:fill="auto"/>
            <w:vAlign w:val="center"/>
          </w:tcPr>
          <w:p w14:paraId="444F5E88">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相关要求及描述</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5C81F730">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549" w:type="dxa"/>
            <w:tcBorders>
              <w:top w:val="single" w:color="auto" w:sz="4" w:space="0"/>
              <w:left w:val="single" w:color="auto" w:sz="4" w:space="0"/>
              <w:bottom w:val="single" w:color="auto" w:sz="4" w:space="0"/>
              <w:right w:val="single" w:color="auto" w:sz="4" w:space="0"/>
            </w:tcBorders>
            <w:shd w:val="clear" w:color="auto" w:fill="FFFFFF"/>
            <w:vAlign w:val="center"/>
          </w:tcPr>
          <w:p w14:paraId="0F9AB404">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工程量</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489451F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单价</w:t>
            </w:r>
          </w:p>
        </w:tc>
        <w:tc>
          <w:tcPr>
            <w:tcW w:w="1380" w:type="dxa"/>
            <w:tcBorders>
              <w:top w:val="single" w:color="auto" w:sz="4" w:space="0"/>
              <w:left w:val="single" w:color="auto" w:sz="4" w:space="0"/>
              <w:bottom w:val="single" w:color="auto" w:sz="4" w:space="0"/>
              <w:right w:val="single" w:color="auto" w:sz="4" w:space="0"/>
            </w:tcBorders>
            <w:shd w:val="clear" w:color="auto" w:fill="FFFFFF"/>
            <w:vAlign w:val="center"/>
          </w:tcPr>
          <w:p w14:paraId="4EBBA3D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总价（元）</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A97E95">
            <w:pPr>
              <w:keepNext w:val="0"/>
              <w:keepLines w:val="0"/>
              <w:widowControl/>
              <w:suppressLineNumbers w:val="0"/>
              <w:jc w:val="center"/>
              <w:textAlignment w:val="center"/>
              <w:rPr>
                <w:rFonts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备注</w:t>
            </w:r>
          </w:p>
        </w:tc>
      </w:tr>
      <w:tr w14:paraId="39CC2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448" w:type="dxa"/>
            <w:tcBorders>
              <w:top w:val="single" w:color="auto" w:sz="4" w:space="0"/>
              <w:left w:val="single" w:color="auto" w:sz="4" w:space="0"/>
              <w:bottom w:val="single" w:color="auto" w:sz="4" w:space="0"/>
              <w:right w:val="single" w:color="auto" w:sz="4" w:space="0"/>
            </w:tcBorders>
            <w:shd w:val="clear" w:color="auto" w:fill="auto"/>
            <w:vAlign w:val="center"/>
          </w:tcPr>
          <w:p w14:paraId="08A71AF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w:t>
            </w:r>
          </w:p>
        </w:tc>
        <w:tc>
          <w:tcPr>
            <w:tcW w:w="1612" w:type="dxa"/>
            <w:tcBorders>
              <w:top w:val="single" w:color="auto" w:sz="4" w:space="0"/>
              <w:left w:val="single" w:color="auto" w:sz="4" w:space="0"/>
              <w:bottom w:val="single" w:color="auto" w:sz="4" w:space="0"/>
              <w:right w:val="single" w:color="auto" w:sz="4" w:space="0"/>
            </w:tcBorders>
            <w:shd w:val="clear" w:color="auto" w:fill="auto"/>
            <w:vAlign w:val="center"/>
          </w:tcPr>
          <w:p w14:paraId="1DACEF3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拆除工程</w:t>
            </w:r>
          </w:p>
        </w:tc>
        <w:tc>
          <w:tcPr>
            <w:tcW w:w="3867" w:type="dxa"/>
            <w:tcBorders>
              <w:top w:val="single" w:color="auto" w:sz="4" w:space="0"/>
              <w:left w:val="single" w:color="auto" w:sz="4" w:space="0"/>
              <w:bottom w:val="single" w:color="auto" w:sz="4" w:space="0"/>
              <w:right w:val="single" w:color="auto" w:sz="4" w:space="0"/>
            </w:tcBorders>
            <w:shd w:val="clear" w:color="auto" w:fill="auto"/>
            <w:vAlign w:val="center"/>
          </w:tcPr>
          <w:p w14:paraId="1E473231">
            <w:pPr>
              <w:jc w:val="left"/>
              <w:rPr>
                <w:rFonts w:hint="eastAsia" w:ascii="宋体" w:hAnsi="宋体" w:eastAsia="宋体" w:cs="宋体"/>
                <w:b/>
                <w:bCs/>
                <w:i w:val="0"/>
                <w:iCs w:val="0"/>
                <w:color w:val="auto"/>
                <w:sz w:val="21"/>
                <w:szCs w:val="21"/>
                <w:highlight w:val="none"/>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47C988A0">
            <w:pPr>
              <w:jc w:val="center"/>
              <w:rPr>
                <w:rFonts w:hint="eastAsia" w:ascii="宋体" w:hAnsi="宋体" w:eastAsia="宋体" w:cs="宋体"/>
                <w:b/>
                <w:bCs/>
                <w:i w:val="0"/>
                <w:iCs w:val="0"/>
                <w:color w:val="auto"/>
                <w:sz w:val="21"/>
                <w:szCs w:val="21"/>
                <w:highlight w:val="none"/>
                <w:u w:val="none"/>
              </w:rPr>
            </w:pPr>
          </w:p>
        </w:tc>
        <w:tc>
          <w:tcPr>
            <w:tcW w:w="549" w:type="dxa"/>
            <w:tcBorders>
              <w:top w:val="single" w:color="auto" w:sz="4" w:space="0"/>
              <w:left w:val="single" w:color="auto" w:sz="4" w:space="0"/>
              <w:bottom w:val="single" w:color="auto" w:sz="4" w:space="0"/>
              <w:right w:val="single" w:color="auto" w:sz="4" w:space="0"/>
            </w:tcBorders>
            <w:shd w:val="clear" w:color="auto" w:fill="auto"/>
            <w:vAlign w:val="center"/>
          </w:tcPr>
          <w:p w14:paraId="28605F74">
            <w:pPr>
              <w:jc w:val="center"/>
              <w:rPr>
                <w:rFonts w:hint="eastAsia" w:ascii="宋体" w:hAnsi="宋体" w:eastAsia="宋体" w:cs="宋体"/>
                <w:b/>
                <w:bCs/>
                <w:i w:val="0"/>
                <w:iCs w:val="0"/>
                <w:color w:val="auto"/>
                <w:sz w:val="21"/>
                <w:szCs w:val="21"/>
                <w:highlight w:val="none"/>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61177E6C">
            <w:pPr>
              <w:jc w:val="center"/>
              <w:rPr>
                <w:rFonts w:hint="eastAsia" w:ascii="宋体" w:hAnsi="宋体" w:eastAsia="宋体" w:cs="宋体"/>
                <w:b/>
                <w:bCs/>
                <w:i w:val="0"/>
                <w:iCs w:val="0"/>
                <w:color w:val="auto"/>
                <w:sz w:val="21"/>
                <w:szCs w:val="21"/>
                <w:highlight w:val="none"/>
                <w:u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043AAB8C">
            <w:pPr>
              <w:jc w:val="center"/>
              <w:rPr>
                <w:rFonts w:hint="eastAsia" w:ascii="宋体" w:hAnsi="宋体" w:eastAsia="宋体" w:cs="宋体"/>
                <w:b/>
                <w:bCs/>
                <w:i w:val="0"/>
                <w:iCs w:val="0"/>
                <w:color w:val="auto"/>
                <w:sz w:val="21"/>
                <w:szCs w:val="21"/>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3FB5F3B">
            <w:pPr>
              <w:jc w:val="center"/>
              <w:rPr>
                <w:rFonts w:hint="eastAsia" w:ascii="等线" w:hAnsi="等线" w:eastAsia="等线" w:cs="等线"/>
                <w:b/>
                <w:bCs/>
                <w:i w:val="0"/>
                <w:iCs w:val="0"/>
                <w:color w:val="auto"/>
                <w:sz w:val="22"/>
                <w:szCs w:val="22"/>
                <w:highlight w:val="none"/>
                <w:u w:val="none"/>
              </w:rPr>
            </w:pPr>
          </w:p>
        </w:tc>
      </w:tr>
      <w:tr w14:paraId="2EB09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7" w:hRule="atLeast"/>
        </w:trPr>
        <w:tc>
          <w:tcPr>
            <w:tcW w:w="448" w:type="dxa"/>
            <w:tcBorders>
              <w:top w:val="single" w:color="auto" w:sz="4" w:space="0"/>
              <w:left w:val="single" w:color="auto" w:sz="4" w:space="0"/>
              <w:bottom w:val="single" w:color="auto" w:sz="4" w:space="0"/>
              <w:right w:val="single" w:color="auto" w:sz="4" w:space="0"/>
            </w:tcBorders>
            <w:shd w:val="clear" w:color="auto" w:fill="auto"/>
            <w:vAlign w:val="center"/>
          </w:tcPr>
          <w:p w14:paraId="1723C1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612" w:type="dxa"/>
            <w:tcBorders>
              <w:top w:val="single" w:color="auto" w:sz="4" w:space="0"/>
              <w:left w:val="single" w:color="auto" w:sz="4" w:space="0"/>
              <w:bottom w:val="single" w:color="auto" w:sz="4" w:space="0"/>
              <w:right w:val="single" w:color="auto" w:sz="4" w:space="0"/>
            </w:tcBorders>
            <w:shd w:val="clear" w:color="auto" w:fill="auto"/>
            <w:vAlign w:val="center"/>
          </w:tcPr>
          <w:p w14:paraId="33857A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原一段烟道本体（总重约22T）</w:t>
            </w:r>
          </w:p>
        </w:tc>
        <w:tc>
          <w:tcPr>
            <w:tcW w:w="3867" w:type="dxa"/>
            <w:tcBorders>
              <w:top w:val="single" w:color="auto" w:sz="4" w:space="0"/>
              <w:left w:val="single" w:color="auto" w:sz="4" w:space="0"/>
              <w:bottom w:val="single" w:color="auto" w:sz="4" w:space="0"/>
              <w:right w:val="single" w:color="auto" w:sz="4" w:space="0"/>
            </w:tcBorders>
            <w:shd w:val="clear" w:color="auto" w:fill="auto"/>
            <w:vAlign w:val="center"/>
          </w:tcPr>
          <w:p w14:paraId="35D401D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单套包括一段烟道本体（含进出口联箱）及与此相连接的为完成本工程的上升管、下降管、氧枪口、下料口、支撑悬挂装置、相应保温材料及影响施工的（如：12.8m平台）所有工作内容。（整体保护性拆除）</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3A6000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22E2CBF">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DD3933B">
            <w:pPr>
              <w:jc w:val="center"/>
              <w:rPr>
                <w:rFonts w:hint="eastAsia" w:ascii="等线" w:hAnsi="等线" w:eastAsia="等线" w:cs="等线"/>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BAF56FE">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DA63067">
            <w:pPr>
              <w:jc w:val="center"/>
              <w:rPr>
                <w:rFonts w:hint="eastAsia" w:ascii="等线" w:hAnsi="等线" w:eastAsia="等线" w:cs="等线"/>
                <w:i w:val="0"/>
                <w:iCs w:val="0"/>
                <w:color w:val="auto"/>
                <w:sz w:val="22"/>
                <w:szCs w:val="22"/>
                <w:highlight w:val="none"/>
                <w:u w:val="none"/>
              </w:rPr>
            </w:pPr>
          </w:p>
        </w:tc>
      </w:tr>
      <w:tr w14:paraId="6294C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8" w:hRule="atLeast"/>
        </w:trPr>
        <w:tc>
          <w:tcPr>
            <w:tcW w:w="448" w:type="dxa"/>
            <w:tcBorders>
              <w:top w:val="single" w:color="auto" w:sz="4" w:space="0"/>
              <w:left w:val="single" w:color="auto" w:sz="4" w:space="0"/>
              <w:bottom w:val="single" w:color="auto" w:sz="4" w:space="0"/>
              <w:right w:val="single" w:color="auto" w:sz="4" w:space="0"/>
            </w:tcBorders>
            <w:shd w:val="clear" w:color="auto" w:fill="auto"/>
            <w:vAlign w:val="center"/>
          </w:tcPr>
          <w:p w14:paraId="778CDD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612" w:type="dxa"/>
            <w:tcBorders>
              <w:top w:val="single" w:color="auto" w:sz="4" w:space="0"/>
              <w:left w:val="single" w:color="auto" w:sz="4" w:space="0"/>
              <w:bottom w:val="single" w:color="auto" w:sz="4" w:space="0"/>
              <w:right w:val="single" w:color="auto" w:sz="4" w:space="0"/>
            </w:tcBorders>
            <w:shd w:val="clear" w:color="auto" w:fill="auto"/>
            <w:vAlign w:val="center"/>
          </w:tcPr>
          <w:p w14:paraId="3C1B46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放置及垃圾清运</w:t>
            </w:r>
          </w:p>
        </w:tc>
        <w:tc>
          <w:tcPr>
            <w:tcW w:w="3867" w:type="dxa"/>
            <w:tcBorders>
              <w:top w:val="single" w:color="auto" w:sz="4" w:space="0"/>
              <w:left w:val="single" w:color="auto" w:sz="4" w:space="0"/>
              <w:bottom w:val="single" w:color="auto" w:sz="4" w:space="0"/>
              <w:right w:val="single" w:color="auto" w:sz="4" w:space="0"/>
            </w:tcBorders>
            <w:shd w:val="clear" w:color="auto" w:fill="auto"/>
            <w:vAlign w:val="center"/>
          </w:tcPr>
          <w:p w14:paraId="4D5EE69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烟道本体设备放至招标方指定位置（不超过1500m），所产生的施工垃圾装袋后自行运至环保定点位置（不超过1500m）。</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4C3609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8D4EC46">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76C8ACE">
            <w:pPr>
              <w:jc w:val="center"/>
              <w:rPr>
                <w:rFonts w:hint="eastAsia" w:ascii="等线" w:hAnsi="等线" w:eastAsia="等线" w:cs="等线"/>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D921D4B">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3817D8F">
            <w:pPr>
              <w:jc w:val="center"/>
              <w:rPr>
                <w:rFonts w:hint="eastAsia" w:ascii="等线" w:hAnsi="等线" w:eastAsia="等线" w:cs="等线"/>
                <w:i w:val="0"/>
                <w:iCs w:val="0"/>
                <w:color w:val="auto"/>
                <w:sz w:val="22"/>
                <w:szCs w:val="22"/>
                <w:highlight w:val="none"/>
                <w:u w:val="none"/>
              </w:rPr>
            </w:pPr>
          </w:p>
        </w:tc>
      </w:tr>
      <w:tr w14:paraId="6EEF9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448" w:type="dxa"/>
            <w:tcBorders>
              <w:top w:val="single" w:color="auto" w:sz="4" w:space="0"/>
              <w:left w:val="single" w:color="auto" w:sz="4" w:space="0"/>
              <w:bottom w:val="single" w:color="auto" w:sz="4" w:space="0"/>
              <w:right w:val="single" w:color="auto" w:sz="4" w:space="0"/>
            </w:tcBorders>
            <w:shd w:val="clear" w:color="auto" w:fill="auto"/>
            <w:vAlign w:val="center"/>
          </w:tcPr>
          <w:p w14:paraId="1CEB1E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612" w:type="dxa"/>
            <w:tcBorders>
              <w:top w:val="single" w:color="auto" w:sz="4" w:space="0"/>
              <w:left w:val="single" w:color="auto" w:sz="4" w:space="0"/>
              <w:bottom w:val="single" w:color="auto" w:sz="4" w:space="0"/>
              <w:right w:val="single" w:color="auto" w:sz="4" w:space="0"/>
            </w:tcBorders>
            <w:shd w:val="clear" w:color="auto" w:fill="auto"/>
            <w:vAlign w:val="center"/>
          </w:tcPr>
          <w:p w14:paraId="7187A7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其它</w:t>
            </w:r>
          </w:p>
        </w:tc>
        <w:tc>
          <w:tcPr>
            <w:tcW w:w="3867" w:type="dxa"/>
            <w:tcBorders>
              <w:top w:val="single" w:color="auto" w:sz="4" w:space="0"/>
              <w:left w:val="single" w:color="auto" w:sz="4" w:space="0"/>
              <w:bottom w:val="single" w:color="auto" w:sz="4" w:space="0"/>
              <w:right w:val="single" w:color="auto" w:sz="4" w:space="0"/>
            </w:tcBorders>
            <w:shd w:val="clear" w:color="auto" w:fill="auto"/>
            <w:vAlign w:val="center"/>
          </w:tcPr>
          <w:p w14:paraId="41B07BA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所有影响拆除、安装施工的其它工作。</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35639E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5C25EDC">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110D41A">
            <w:pPr>
              <w:jc w:val="center"/>
              <w:rPr>
                <w:rFonts w:hint="eastAsia" w:ascii="等线" w:hAnsi="等线" w:eastAsia="等线" w:cs="等线"/>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5BACE95">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62A4EFA">
            <w:pPr>
              <w:jc w:val="center"/>
              <w:rPr>
                <w:rFonts w:hint="eastAsia" w:ascii="等线" w:hAnsi="等线" w:eastAsia="等线" w:cs="等线"/>
                <w:i w:val="0"/>
                <w:iCs w:val="0"/>
                <w:color w:val="auto"/>
                <w:sz w:val="22"/>
                <w:szCs w:val="22"/>
                <w:highlight w:val="none"/>
                <w:u w:val="none"/>
              </w:rPr>
            </w:pPr>
          </w:p>
        </w:tc>
      </w:tr>
      <w:tr w14:paraId="319A1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448" w:type="dxa"/>
            <w:tcBorders>
              <w:top w:val="single" w:color="auto" w:sz="4" w:space="0"/>
              <w:left w:val="single" w:color="auto" w:sz="4" w:space="0"/>
              <w:bottom w:val="single" w:color="auto" w:sz="4" w:space="0"/>
              <w:right w:val="single" w:color="auto" w:sz="4" w:space="0"/>
            </w:tcBorders>
            <w:shd w:val="clear" w:color="auto" w:fill="auto"/>
            <w:vAlign w:val="center"/>
          </w:tcPr>
          <w:p w14:paraId="03E6A68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w:t>
            </w:r>
          </w:p>
        </w:tc>
        <w:tc>
          <w:tcPr>
            <w:tcW w:w="1612" w:type="dxa"/>
            <w:tcBorders>
              <w:top w:val="single" w:color="auto" w:sz="4" w:space="0"/>
              <w:left w:val="single" w:color="auto" w:sz="4" w:space="0"/>
              <w:bottom w:val="single" w:color="auto" w:sz="4" w:space="0"/>
              <w:right w:val="single" w:color="auto" w:sz="4" w:space="0"/>
            </w:tcBorders>
            <w:shd w:val="clear" w:color="auto" w:fill="auto"/>
            <w:vAlign w:val="center"/>
          </w:tcPr>
          <w:p w14:paraId="47BAAEF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安装工程</w:t>
            </w:r>
          </w:p>
        </w:tc>
        <w:tc>
          <w:tcPr>
            <w:tcW w:w="3867" w:type="dxa"/>
            <w:tcBorders>
              <w:top w:val="single" w:color="auto" w:sz="4" w:space="0"/>
              <w:left w:val="single" w:color="auto" w:sz="4" w:space="0"/>
              <w:bottom w:val="single" w:color="auto" w:sz="4" w:space="0"/>
              <w:right w:val="single" w:color="auto" w:sz="4" w:space="0"/>
            </w:tcBorders>
            <w:shd w:val="clear" w:color="auto" w:fill="auto"/>
            <w:vAlign w:val="center"/>
          </w:tcPr>
          <w:p w14:paraId="43B1FA7E">
            <w:pPr>
              <w:jc w:val="left"/>
              <w:rPr>
                <w:rFonts w:hint="eastAsia" w:ascii="宋体" w:hAnsi="宋体" w:eastAsia="宋体" w:cs="宋体"/>
                <w:b/>
                <w:bCs/>
                <w:i w:val="0"/>
                <w:iCs w:val="0"/>
                <w:color w:val="auto"/>
                <w:sz w:val="21"/>
                <w:szCs w:val="21"/>
                <w:highlight w:val="none"/>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2699C955">
            <w:pPr>
              <w:jc w:val="center"/>
              <w:rPr>
                <w:rFonts w:hint="eastAsia" w:ascii="宋体" w:hAnsi="宋体" w:eastAsia="宋体" w:cs="宋体"/>
                <w:b/>
                <w:bCs/>
                <w:i w:val="0"/>
                <w:iCs w:val="0"/>
                <w:color w:val="auto"/>
                <w:sz w:val="21"/>
                <w:szCs w:val="21"/>
                <w:highlight w:val="none"/>
                <w:u w:val="none"/>
              </w:rPr>
            </w:pPr>
          </w:p>
        </w:tc>
        <w:tc>
          <w:tcPr>
            <w:tcW w:w="549" w:type="dxa"/>
            <w:tcBorders>
              <w:top w:val="single" w:color="auto" w:sz="4" w:space="0"/>
              <w:left w:val="single" w:color="auto" w:sz="4" w:space="0"/>
              <w:bottom w:val="single" w:color="auto" w:sz="4" w:space="0"/>
              <w:right w:val="single" w:color="auto" w:sz="4" w:space="0"/>
            </w:tcBorders>
            <w:shd w:val="clear" w:color="auto" w:fill="FFFFFF"/>
            <w:vAlign w:val="center"/>
          </w:tcPr>
          <w:p w14:paraId="30367686">
            <w:pPr>
              <w:jc w:val="center"/>
              <w:rPr>
                <w:rFonts w:hint="eastAsia" w:ascii="宋体" w:hAnsi="宋体" w:eastAsia="宋体" w:cs="宋体"/>
                <w:b/>
                <w:bCs/>
                <w:i w:val="0"/>
                <w:iCs w:val="0"/>
                <w:color w:val="auto"/>
                <w:sz w:val="21"/>
                <w:szCs w:val="21"/>
                <w:highlight w:val="none"/>
                <w:u w:val="none"/>
              </w:rPr>
            </w:pP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3E730EDA">
            <w:pPr>
              <w:jc w:val="center"/>
              <w:rPr>
                <w:rFonts w:hint="eastAsia" w:ascii="宋体" w:hAnsi="宋体" w:eastAsia="宋体" w:cs="宋体"/>
                <w:b/>
                <w:bCs/>
                <w:i w:val="0"/>
                <w:iCs w:val="0"/>
                <w:color w:val="auto"/>
                <w:sz w:val="21"/>
                <w:szCs w:val="21"/>
                <w:highlight w:val="none"/>
                <w:u w:val="none"/>
              </w:rPr>
            </w:pPr>
          </w:p>
        </w:tc>
        <w:tc>
          <w:tcPr>
            <w:tcW w:w="1380" w:type="dxa"/>
            <w:tcBorders>
              <w:top w:val="single" w:color="auto" w:sz="4" w:space="0"/>
              <w:left w:val="single" w:color="auto" w:sz="4" w:space="0"/>
              <w:bottom w:val="single" w:color="auto" w:sz="4" w:space="0"/>
              <w:right w:val="single" w:color="auto" w:sz="4" w:space="0"/>
            </w:tcBorders>
            <w:shd w:val="clear" w:color="auto" w:fill="FFFFFF"/>
            <w:vAlign w:val="center"/>
          </w:tcPr>
          <w:p w14:paraId="62E0F8AA">
            <w:pPr>
              <w:jc w:val="center"/>
              <w:rPr>
                <w:rFonts w:hint="eastAsia" w:ascii="宋体" w:hAnsi="宋体" w:eastAsia="宋体" w:cs="宋体"/>
                <w:b/>
                <w:bCs/>
                <w:i w:val="0"/>
                <w:iCs w:val="0"/>
                <w:color w:val="auto"/>
                <w:sz w:val="21"/>
                <w:szCs w:val="21"/>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5B62425">
            <w:pPr>
              <w:jc w:val="center"/>
              <w:rPr>
                <w:rFonts w:hint="eastAsia" w:ascii="等线" w:hAnsi="等线" w:eastAsia="等线" w:cs="等线"/>
                <w:b/>
                <w:bCs/>
                <w:i w:val="0"/>
                <w:iCs w:val="0"/>
                <w:color w:val="auto"/>
                <w:sz w:val="22"/>
                <w:szCs w:val="22"/>
                <w:highlight w:val="none"/>
                <w:u w:val="none"/>
              </w:rPr>
            </w:pPr>
          </w:p>
        </w:tc>
      </w:tr>
      <w:tr w14:paraId="7088A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448" w:type="dxa"/>
            <w:tcBorders>
              <w:top w:val="single" w:color="auto" w:sz="4" w:space="0"/>
              <w:left w:val="single" w:color="auto" w:sz="4" w:space="0"/>
              <w:bottom w:val="single" w:color="auto" w:sz="4" w:space="0"/>
              <w:right w:val="single" w:color="auto" w:sz="4" w:space="0"/>
            </w:tcBorders>
            <w:shd w:val="clear" w:color="auto" w:fill="auto"/>
            <w:vAlign w:val="center"/>
          </w:tcPr>
          <w:p w14:paraId="6F6062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612" w:type="dxa"/>
            <w:tcBorders>
              <w:top w:val="single" w:color="auto" w:sz="4" w:space="0"/>
              <w:left w:val="single" w:color="auto" w:sz="4" w:space="0"/>
              <w:bottom w:val="single" w:color="auto" w:sz="4" w:space="0"/>
              <w:right w:val="single" w:color="auto" w:sz="4" w:space="0"/>
            </w:tcBorders>
            <w:shd w:val="clear" w:color="auto" w:fill="auto"/>
            <w:vAlign w:val="center"/>
          </w:tcPr>
          <w:p w14:paraId="246692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新一段烟道本体（总重约22T）</w:t>
            </w:r>
          </w:p>
        </w:tc>
        <w:tc>
          <w:tcPr>
            <w:tcW w:w="3867" w:type="dxa"/>
            <w:tcBorders>
              <w:top w:val="single" w:color="auto" w:sz="4" w:space="0"/>
              <w:left w:val="single" w:color="auto" w:sz="4" w:space="0"/>
              <w:bottom w:val="single" w:color="auto" w:sz="4" w:space="0"/>
              <w:right w:val="single" w:color="auto" w:sz="4" w:space="0"/>
            </w:tcBorders>
            <w:shd w:val="clear" w:color="auto" w:fill="auto"/>
            <w:vAlign w:val="center"/>
          </w:tcPr>
          <w:p w14:paraId="73CB277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套包括一段烟道本体（含进出口联箱）的安装就位、与一段烟道相连接的上升管、下降管、氧枪口、下料口、支撑悬挂装置、相应保温材料的恢复安装及其它拆除工程量的（如：12.8m平台）恢复安装等所有工作内容。</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14FAFF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1E66833">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6631D78">
            <w:pPr>
              <w:jc w:val="center"/>
              <w:rPr>
                <w:rFonts w:hint="eastAsia" w:ascii="等线" w:hAnsi="等线" w:eastAsia="等线" w:cs="等线"/>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E1BCE59">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50420E6">
            <w:pPr>
              <w:jc w:val="center"/>
              <w:rPr>
                <w:rFonts w:hint="eastAsia" w:ascii="等线" w:hAnsi="等线" w:eastAsia="等线" w:cs="等线"/>
                <w:i w:val="0"/>
                <w:iCs w:val="0"/>
                <w:color w:val="auto"/>
                <w:sz w:val="22"/>
                <w:szCs w:val="22"/>
                <w:highlight w:val="none"/>
                <w:u w:val="none"/>
              </w:rPr>
            </w:pPr>
          </w:p>
        </w:tc>
      </w:tr>
      <w:tr w14:paraId="1181A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3" w:hRule="atLeast"/>
        </w:trPr>
        <w:tc>
          <w:tcPr>
            <w:tcW w:w="448" w:type="dxa"/>
            <w:tcBorders>
              <w:top w:val="single" w:color="auto" w:sz="4" w:space="0"/>
              <w:left w:val="single" w:color="auto" w:sz="4" w:space="0"/>
              <w:bottom w:val="single" w:color="auto" w:sz="4" w:space="0"/>
              <w:right w:val="single" w:color="auto" w:sz="4" w:space="0"/>
            </w:tcBorders>
            <w:shd w:val="clear" w:color="auto" w:fill="auto"/>
            <w:vAlign w:val="center"/>
          </w:tcPr>
          <w:p w14:paraId="444EB8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612" w:type="dxa"/>
            <w:tcBorders>
              <w:top w:val="single" w:color="auto" w:sz="4" w:space="0"/>
              <w:left w:val="single" w:color="auto" w:sz="4" w:space="0"/>
              <w:bottom w:val="single" w:color="auto" w:sz="4" w:space="0"/>
              <w:right w:val="single" w:color="auto" w:sz="4" w:space="0"/>
            </w:tcBorders>
            <w:shd w:val="clear" w:color="auto" w:fill="auto"/>
            <w:vAlign w:val="center"/>
          </w:tcPr>
          <w:p w14:paraId="21A58A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二、三段烟道磨损严重部位的管子更换</w:t>
            </w:r>
          </w:p>
        </w:tc>
        <w:tc>
          <w:tcPr>
            <w:tcW w:w="3867" w:type="dxa"/>
            <w:tcBorders>
              <w:top w:val="single" w:color="auto" w:sz="4" w:space="0"/>
              <w:left w:val="single" w:color="auto" w:sz="4" w:space="0"/>
              <w:bottom w:val="single" w:color="auto" w:sz="4" w:space="0"/>
              <w:right w:val="single" w:color="auto" w:sz="4" w:space="0"/>
            </w:tcBorders>
            <w:shd w:val="clear" w:color="auto" w:fill="auto"/>
            <w:vAlign w:val="center"/>
          </w:tcPr>
          <w:p w14:paraId="5026A42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段烟道弯管共180根*4m（其中：5-7#炉烟道弯管3*40根，8#炉烟道弯管1*60根），5-8#炉二、三段下集箱弯管共448根*0.5m（其中：二段下集箱各72根，共288根；三段下集箱弯管各40条，共160条）。包括换管工作量所需的现场弯管、搭架等工作，以及修复为施工而拆除的栏杆、保温等所有其它工作。（全部管材、鳍片由招标方提供）</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3B8753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4E17044">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628</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D598730">
            <w:pPr>
              <w:jc w:val="center"/>
              <w:rPr>
                <w:rFonts w:hint="eastAsia" w:ascii="等线" w:hAnsi="等线" w:eastAsia="等线" w:cs="等线"/>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519E37E">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AB705F1">
            <w:pPr>
              <w:jc w:val="center"/>
              <w:rPr>
                <w:rFonts w:hint="eastAsia" w:ascii="等线" w:hAnsi="等线" w:eastAsia="等线" w:cs="等线"/>
                <w:i w:val="0"/>
                <w:iCs w:val="0"/>
                <w:color w:val="auto"/>
                <w:sz w:val="22"/>
                <w:szCs w:val="22"/>
                <w:highlight w:val="none"/>
                <w:u w:val="none"/>
              </w:rPr>
            </w:pPr>
          </w:p>
        </w:tc>
      </w:tr>
      <w:tr w14:paraId="0BFA5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448" w:type="dxa"/>
            <w:tcBorders>
              <w:top w:val="single" w:color="auto" w:sz="4" w:space="0"/>
              <w:left w:val="single" w:color="auto" w:sz="4" w:space="0"/>
              <w:bottom w:val="single" w:color="auto" w:sz="4" w:space="0"/>
              <w:right w:val="single" w:color="auto" w:sz="4" w:space="0"/>
            </w:tcBorders>
            <w:shd w:val="clear" w:color="auto" w:fill="auto"/>
            <w:vAlign w:val="center"/>
          </w:tcPr>
          <w:p w14:paraId="5F0C2F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612" w:type="dxa"/>
            <w:tcBorders>
              <w:top w:val="single" w:color="auto" w:sz="4" w:space="0"/>
              <w:left w:val="single" w:color="auto" w:sz="4" w:space="0"/>
              <w:bottom w:val="single" w:color="auto" w:sz="4" w:space="0"/>
              <w:right w:val="single" w:color="auto" w:sz="4" w:space="0"/>
            </w:tcBorders>
            <w:shd w:val="clear" w:color="auto" w:fill="auto"/>
            <w:vAlign w:val="center"/>
          </w:tcPr>
          <w:p w14:paraId="0F8C58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二、三段烟道防磨金属喷涂</w:t>
            </w:r>
          </w:p>
        </w:tc>
        <w:tc>
          <w:tcPr>
            <w:tcW w:w="3867" w:type="dxa"/>
            <w:tcBorders>
              <w:top w:val="single" w:color="auto" w:sz="4" w:space="0"/>
              <w:left w:val="single" w:color="auto" w:sz="4" w:space="0"/>
              <w:bottom w:val="single" w:color="auto" w:sz="4" w:space="0"/>
              <w:right w:val="single" w:color="auto" w:sz="4" w:space="0"/>
            </w:tcBorders>
            <w:shd w:val="clear" w:color="auto" w:fill="auto"/>
            <w:vAlign w:val="center"/>
          </w:tcPr>
          <w:p w14:paraId="61BC668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4套共405㎡（本项为投标方包工包料）。</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173527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770B64E">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0C5C26F">
            <w:pPr>
              <w:jc w:val="center"/>
              <w:rPr>
                <w:rFonts w:hint="eastAsia" w:ascii="等线" w:hAnsi="等线" w:eastAsia="等线" w:cs="等线"/>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191FEA5">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12915AD">
            <w:pPr>
              <w:jc w:val="center"/>
              <w:rPr>
                <w:rFonts w:hint="eastAsia" w:ascii="等线" w:hAnsi="等线" w:eastAsia="等线" w:cs="等线"/>
                <w:i w:val="0"/>
                <w:iCs w:val="0"/>
                <w:color w:val="auto"/>
                <w:sz w:val="22"/>
                <w:szCs w:val="22"/>
                <w:highlight w:val="none"/>
                <w:u w:val="none"/>
              </w:rPr>
            </w:pPr>
          </w:p>
        </w:tc>
      </w:tr>
      <w:tr w14:paraId="6A3DD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2" w:hRule="atLeast"/>
        </w:trPr>
        <w:tc>
          <w:tcPr>
            <w:tcW w:w="448" w:type="dxa"/>
            <w:tcBorders>
              <w:top w:val="single" w:color="auto" w:sz="4" w:space="0"/>
              <w:left w:val="single" w:color="auto" w:sz="4" w:space="0"/>
              <w:bottom w:val="single" w:color="auto" w:sz="4" w:space="0"/>
              <w:right w:val="single" w:color="auto" w:sz="4" w:space="0"/>
            </w:tcBorders>
            <w:shd w:val="clear" w:color="auto" w:fill="auto"/>
            <w:vAlign w:val="center"/>
          </w:tcPr>
          <w:p w14:paraId="5B4D42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612" w:type="dxa"/>
            <w:tcBorders>
              <w:top w:val="single" w:color="auto" w:sz="4" w:space="0"/>
              <w:left w:val="single" w:color="auto" w:sz="4" w:space="0"/>
              <w:bottom w:val="single" w:color="auto" w:sz="4" w:space="0"/>
              <w:right w:val="single" w:color="auto" w:sz="4" w:space="0"/>
            </w:tcBorders>
            <w:shd w:val="clear" w:color="auto" w:fill="auto"/>
            <w:vAlign w:val="center"/>
          </w:tcPr>
          <w:p w14:paraId="0248FF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一、二、三段烟道部分部位敷设浇注料</w:t>
            </w:r>
          </w:p>
        </w:tc>
        <w:tc>
          <w:tcPr>
            <w:tcW w:w="3867" w:type="dxa"/>
            <w:tcBorders>
              <w:top w:val="single" w:color="auto" w:sz="4" w:space="0"/>
              <w:left w:val="single" w:color="auto" w:sz="4" w:space="0"/>
              <w:bottom w:val="single" w:color="auto" w:sz="4" w:space="0"/>
              <w:right w:val="single" w:color="auto" w:sz="4" w:space="0"/>
            </w:tcBorders>
            <w:shd w:val="clear" w:color="auto" w:fill="auto"/>
            <w:vAlign w:val="center"/>
          </w:tcPr>
          <w:p w14:paraId="6004420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4套共56㎡，厚度δ=50mm。其中，一段烟道抓钉已焊好，面积为各6㎡，共24㎡；二、三段烟道抓钉需现场焊接，面积每套各8㎡，共32㎡，抓钉25个/㎡，抓钉材质为310S不锈钢，焊条须用A401。（抓钉由招标方提供）</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5223B1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013102B">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56</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F9836D1">
            <w:pPr>
              <w:jc w:val="center"/>
              <w:rPr>
                <w:rFonts w:hint="eastAsia" w:ascii="等线" w:hAnsi="等线" w:eastAsia="等线" w:cs="等线"/>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161B3E8">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502202E">
            <w:pPr>
              <w:jc w:val="center"/>
              <w:rPr>
                <w:rFonts w:hint="eastAsia" w:ascii="等线" w:hAnsi="等线" w:eastAsia="等线" w:cs="等线"/>
                <w:i w:val="0"/>
                <w:iCs w:val="0"/>
                <w:color w:val="auto"/>
                <w:sz w:val="22"/>
                <w:szCs w:val="22"/>
                <w:highlight w:val="none"/>
                <w:u w:val="none"/>
              </w:rPr>
            </w:pPr>
          </w:p>
        </w:tc>
      </w:tr>
      <w:tr w14:paraId="500B9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4" w:hRule="atLeast"/>
        </w:trPr>
        <w:tc>
          <w:tcPr>
            <w:tcW w:w="448" w:type="dxa"/>
            <w:tcBorders>
              <w:top w:val="single" w:color="auto" w:sz="4" w:space="0"/>
              <w:left w:val="single" w:color="auto" w:sz="4" w:space="0"/>
              <w:bottom w:val="single" w:color="auto" w:sz="4" w:space="0"/>
              <w:right w:val="single" w:color="auto" w:sz="4" w:space="0"/>
            </w:tcBorders>
            <w:shd w:val="clear" w:color="auto" w:fill="auto"/>
            <w:vAlign w:val="center"/>
          </w:tcPr>
          <w:p w14:paraId="4C71C0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612" w:type="dxa"/>
            <w:tcBorders>
              <w:top w:val="single" w:color="auto" w:sz="4" w:space="0"/>
              <w:left w:val="single" w:color="auto" w:sz="4" w:space="0"/>
              <w:bottom w:val="single" w:color="auto" w:sz="4" w:space="0"/>
              <w:right w:val="single" w:color="auto" w:sz="4" w:space="0"/>
            </w:tcBorders>
            <w:shd w:val="clear" w:color="auto" w:fill="auto"/>
            <w:vAlign w:val="center"/>
          </w:tcPr>
          <w:p w14:paraId="2E94A8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保温</w:t>
            </w:r>
          </w:p>
        </w:tc>
        <w:tc>
          <w:tcPr>
            <w:tcW w:w="3867" w:type="dxa"/>
            <w:tcBorders>
              <w:top w:val="single" w:color="auto" w:sz="4" w:space="0"/>
              <w:left w:val="single" w:color="auto" w:sz="4" w:space="0"/>
              <w:bottom w:val="single" w:color="auto" w:sz="4" w:space="0"/>
              <w:right w:val="single" w:color="auto" w:sz="4" w:space="0"/>
            </w:tcBorders>
            <w:shd w:val="clear" w:color="auto" w:fill="auto"/>
            <w:vAlign w:val="center"/>
          </w:tcPr>
          <w:p w14:paraId="5CE640C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①烟道面积（3.7+1.3+0.25）*3.14*2.6,厚度200mm;保温体积 V1=8.57 m³/套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②上集箱∮273*14周长：3.14*3.46，厚度150mm；保温体积V2=1.4 m³/套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③下降管∮159*5长45m，厚度150mm；保温体积V3=3.37 m³/套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④12.8m平台夹层保温：6*6-3.14*1.3*1.3，厚度330mm。保温体积V4=10.13m³/套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上述①-④项4套总保温体积V总=4*23.47=93.88m³（注：投标方注意勿重复计算，此项为投标方包工包料）</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071C1C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m³</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3D146DE">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93.88</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1D555AA">
            <w:pPr>
              <w:jc w:val="center"/>
              <w:rPr>
                <w:rFonts w:hint="eastAsia" w:ascii="等线" w:hAnsi="等线" w:eastAsia="等线" w:cs="等线"/>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032CBD2">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04FFD43">
            <w:pPr>
              <w:jc w:val="center"/>
              <w:rPr>
                <w:rFonts w:hint="eastAsia" w:ascii="等线" w:hAnsi="等线" w:eastAsia="等线" w:cs="等线"/>
                <w:i w:val="0"/>
                <w:iCs w:val="0"/>
                <w:color w:val="auto"/>
                <w:sz w:val="22"/>
                <w:szCs w:val="22"/>
                <w:highlight w:val="none"/>
                <w:u w:val="none"/>
              </w:rPr>
            </w:pPr>
          </w:p>
        </w:tc>
      </w:tr>
      <w:tr w14:paraId="4130F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7" w:hRule="atLeast"/>
        </w:trPr>
        <w:tc>
          <w:tcPr>
            <w:tcW w:w="448" w:type="dxa"/>
            <w:tcBorders>
              <w:top w:val="single" w:color="auto" w:sz="4" w:space="0"/>
              <w:left w:val="single" w:color="auto" w:sz="4" w:space="0"/>
              <w:bottom w:val="single" w:color="auto" w:sz="4" w:space="0"/>
              <w:right w:val="single" w:color="auto" w:sz="4" w:space="0"/>
            </w:tcBorders>
            <w:shd w:val="clear" w:color="auto" w:fill="auto"/>
            <w:vAlign w:val="center"/>
          </w:tcPr>
          <w:p w14:paraId="584BF3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612" w:type="dxa"/>
            <w:tcBorders>
              <w:top w:val="single" w:color="auto" w:sz="4" w:space="0"/>
              <w:left w:val="single" w:color="auto" w:sz="4" w:space="0"/>
              <w:bottom w:val="single" w:color="auto" w:sz="4" w:space="0"/>
              <w:right w:val="single" w:color="auto" w:sz="4" w:space="0"/>
            </w:tcBorders>
            <w:shd w:val="clear" w:color="auto" w:fill="auto"/>
            <w:vAlign w:val="center"/>
          </w:tcPr>
          <w:p w14:paraId="6A6A7B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w:t>
            </w:r>
          </w:p>
        </w:tc>
        <w:tc>
          <w:tcPr>
            <w:tcW w:w="3867" w:type="dxa"/>
            <w:tcBorders>
              <w:top w:val="single" w:color="auto" w:sz="4" w:space="0"/>
              <w:left w:val="single" w:color="auto" w:sz="4" w:space="0"/>
              <w:bottom w:val="single" w:color="auto" w:sz="4" w:space="0"/>
              <w:right w:val="single" w:color="auto" w:sz="4" w:space="0"/>
            </w:tcBorders>
            <w:shd w:val="clear" w:color="auto" w:fill="auto"/>
            <w:vAlign w:val="center"/>
          </w:tcPr>
          <w:p w14:paraId="098EAAE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详见附件一：风管安装，阀门更换，水位计更换等工作。(此项为招标方提供材料并领工，投标方负责提供8个钳工/天*10天)</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473FCC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831384F">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1B1234C">
            <w:pPr>
              <w:jc w:val="center"/>
              <w:rPr>
                <w:rFonts w:hint="eastAsia" w:ascii="等线" w:hAnsi="等线" w:eastAsia="等线" w:cs="等线"/>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AE4E9E7">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3E01148">
            <w:pPr>
              <w:jc w:val="center"/>
              <w:rPr>
                <w:rFonts w:hint="eastAsia" w:ascii="等线" w:hAnsi="等线" w:eastAsia="等线" w:cs="等线"/>
                <w:i w:val="0"/>
                <w:iCs w:val="0"/>
                <w:color w:val="auto"/>
                <w:sz w:val="22"/>
                <w:szCs w:val="22"/>
                <w:highlight w:val="none"/>
                <w:u w:val="none"/>
              </w:rPr>
            </w:pPr>
          </w:p>
        </w:tc>
      </w:tr>
      <w:tr w14:paraId="186BE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448" w:type="dxa"/>
            <w:tcBorders>
              <w:top w:val="single" w:color="auto" w:sz="4" w:space="0"/>
              <w:left w:val="single" w:color="auto" w:sz="4" w:space="0"/>
              <w:bottom w:val="single" w:color="auto" w:sz="4" w:space="0"/>
              <w:right w:val="single" w:color="auto" w:sz="4" w:space="0"/>
            </w:tcBorders>
            <w:shd w:val="clear" w:color="auto" w:fill="auto"/>
            <w:vAlign w:val="center"/>
          </w:tcPr>
          <w:p w14:paraId="64D9928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三</w:t>
            </w:r>
          </w:p>
        </w:tc>
        <w:tc>
          <w:tcPr>
            <w:tcW w:w="1612" w:type="dxa"/>
            <w:tcBorders>
              <w:top w:val="single" w:color="auto" w:sz="4" w:space="0"/>
              <w:left w:val="single" w:color="auto" w:sz="4" w:space="0"/>
              <w:bottom w:val="single" w:color="auto" w:sz="4" w:space="0"/>
              <w:right w:val="single" w:color="auto" w:sz="4" w:space="0"/>
            </w:tcBorders>
            <w:shd w:val="clear" w:color="auto" w:fill="auto"/>
            <w:vAlign w:val="center"/>
          </w:tcPr>
          <w:p w14:paraId="4B61B77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包干总价合计（含9%增值税专用发票）</w:t>
            </w:r>
          </w:p>
        </w:tc>
        <w:tc>
          <w:tcPr>
            <w:tcW w:w="3867" w:type="dxa"/>
            <w:tcBorders>
              <w:top w:val="single" w:color="auto" w:sz="4" w:space="0"/>
              <w:left w:val="single" w:color="auto" w:sz="4" w:space="0"/>
              <w:bottom w:val="single" w:color="auto" w:sz="4" w:space="0"/>
              <w:right w:val="single" w:color="auto" w:sz="4" w:space="0"/>
            </w:tcBorders>
            <w:shd w:val="clear" w:color="auto" w:fill="auto"/>
            <w:vAlign w:val="center"/>
          </w:tcPr>
          <w:p w14:paraId="7E646664">
            <w:pPr>
              <w:jc w:val="left"/>
              <w:rPr>
                <w:rFonts w:hint="eastAsia" w:ascii="宋体" w:hAnsi="宋体" w:eastAsia="宋体" w:cs="宋体"/>
                <w:b/>
                <w:bCs/>
                <w:i w:val="0"/>
                <w:iCs w:val="0"/>
                <w:color w:val="auto"/>
                <w:sz w:val="21"/>
                <w:szCs w:val="21"/>
                <w:highlight w:val="none"/>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0A7D30B4">
            <w:pPr>
              <w:jc w:val="center"/>
              <w:rPr>
                <w:rFonts w:hint="eastAsia" w:ascii="宋体" w:hAnsi="宋体" w:eastAsia="宋体" w:cs="宋体"/>
                <w:b/>
                <w:bCs/>
                <w:i w:val="0"/>
                <w:iCs w:val="0"/>
                <w:color w:val="auto"/>
                <w:sz w:val="21"/>
                <w:szCs w:val="21"/>
                <w:highlight w:val="none"/>
                <w:u w:val="none"/>
              </w:rPr>
            </w:pPr>
          </w:p>
        </w:tc>
        <w:tc>
          <w:tcPr>
            <w:tcW w:w="549" w:type="dxa"/>
            <w:tcBorders>
              <w:top w:val="single" w:color="auto" w:sz="4" w:space="0"/>
              <w:left w:val="single" w:color="auto" w:sz="4" w:space="0"/>
              <w:bottom w:val="single" w:color="auto" w:sz="4" w:space="0"/>
              <w:right w:val="single" w:color="auto" w:sz="4" w:space="0"/>
            </w:tcBorders>
            <w:shd w:val="clear" w:color="auto" w:fill="auto"/>
            <w:vAlign w:val="center"/>
          </w:tcPr>
          <w:p w14:paraId="44EDFFD1">
            <w:pPr>
              <w:jc w:val="center"/>
              <w:rPr>
                <w:rFonts w:hint="eastAsia" w:ascii="宋体" w:hAnsi="宋体" w:eastAsia="宋体" w:cs="宋体"/>
                <w:b/>
                <w:bCs/>
                <w:i w:val="0"/>
                <w:iCs w:val="0"/>
                <w:color w:val="auto"/>
                <w:sz w:val="21"/>
                <w:szCs w:val="21"/>
                <w:highlight w:val="none"/>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664CEDFE">
            <w:pPr>
              <w:jc w:val="center"/>
              <w:rPr>
                <w:rFonts w:hint="eastAsia" w:ascii="宋体" w:hAnsi="宋体" w:eastAsia="宋体" w:cs="宋体"/>
                <w:b/>
                <w:bCs/>
                <w:i w:val="0"/>
                <w:iCs w:val="0"/>
                <w:color w:val="auto"/>
                <w:sz w:val="21"/>
                <w:szCs w:val="21"/>
                <w:highlight w:val="none"/>
                <w:u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5F27269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1A2B14A">
            <w:pPr>
              <w:rPr>
                <w:rFonts w:hint="eastAsia" w:ascii="宋体" w:hAnsi="宋体" w:eastAsia="宋体" w:cs="宋体"/>
                <w:i w:val="0"/>
                <w:iCs w:val="0"/>
                <w:color w:val="auto"/>
                <w:sz w:val="24"/>
                <w:szCs w:val="24"/>
                <w:highlight w:val="none"/>
                <w:u w:val="none"/>
              </w:rPr>
            </w:pPr>
          </w:p>
        </w:tc>
      </w:tr>
    </w:tbl>
    <w:p w14:paraId="0F8D4101">
      <w:pPr>
        <w:ind w:firstLine="0" w:firstLineChars="0"/>
        <w:jc w:val="both"/>
        <w:rPr>
          <w:rFonts w:hint="eastAsia" w:ascii="宋体" w:hAnsi="宋体" w:eastAsia="宋体" w:cs="宋体"/>
          <w:color w:val="auto"/>
          <w:sz w:val="21"/>
          <w:szCs w:val="21"/>
          <w:highlight w:val="none"/>
        </w:rPr>
      </w:pPr>
    </w:p>
    <w:p w14:paraId="17E8C904">
      <w:pPr>
        <w:rPr>
          <w:rFonts w:hint="eastAsia" w:hAnsi="宋体" w:cs="宋体"/>
          <w:color w:val="auto"/>
          <w:sz w:val="21"/>
          <w:szCs w:val="21"/>
          <w:highlight w:val="none"/>
        </w:rPr>
      </w:pPr>
      <w:r>
        <w:rPr>
          <w:rFonts w:hint="eastAsia" w:hAnsi="宋体" w:cs="宋体"/>
          <w:color w:val="auto"/>
          <w:sz w:val="21"/>
          <w:szCs w:val="21"/>
          <w:highlight w:val="none"/>
        </w:rPr>
        <w:t>注：</w:t>
      </w:r>
    </w:p>
    <w:p w14:paraId="52A2DE67">
      <w:pPr>
        <w:ind w:firstLine="0" w:firstLineChars="0"/>
        <w:jc w:val="both"/>
        <w:rPr>
          <w:rFonts w:hint="eastAsia" w:hAnsi="宋体" w:cs="宋体"/>
          <w:color w:val="auto"/>
          <w:sz w:val="21"/>
          <w:szCs w:val="21"/>
          <w:highlight w:val="none"/>
        </w:rPr>
      </w:pPr>
      <w:r>
        <w:rPr>
          <w:rFonts w:hint="eastAsia" w:hAnsi="宋体" w:cs="宋体"/>
          <w:color w:val="auto"/>
          <w:sz w:val="21"/>
          <w:szCs w:val="21"/>
          <w:highlight w:val="none"/>
        </w:rPr>
        <w:t>1.此表的总计系所有需采购人支付的包括招标文件中要求货物及相关服务内容的全部费用。</w:t>
      </w:r>
    </w:p>
    <w:p w14:paraId="10E00692">
      <w:pPr>
        <w:ind w:firstLine="0" w:firstLineChars="0"/>
        <w:jc w:val="both"/>
        <w:rPr>
          <w:rFonts w:hint="eastAsia" w:ascii="宋体" w:hAnsi="宋体" w:eastAsia="宋体" w:cs="宋体"/>
          <w:color w:val="auto"/>
          <w:sz w:val="21"/>
          <w:szCs w:val="21"/>
          <w:highlight w:val="none"/>
        </w:rPr>
      </w:pPr>
      <w:r>
        <w:rPr>
          <w:rFonts w:hint="eastAsia" w:hAnsi="宋体" w:cs="宋体"/>
          <w:color w:val="auto"/>
          <w:sz w:val="21"/>
          <w:szCs w:val="21"/>
          <w:highlight w:val="none"/>
        </w:rPr>
        <w:t>2.如果分项报价的汇总价与总报价不一致的，以分项报价的汇总为准；总报价等于“开标一览表”中的投标报价。</w:t>
      </w:r>
    </w:p>
    <w:p w14:paraId="78D9F8BE">
      <w:pPr>
        <w:ind w:firstLine="0" w:firstLineChars="0"/>
        <w:jc w:val="both"/>
        <w:rPr>
          <w:rFonts w:hint="eastAsia" w:ascii="宋体" w:hAnsi="宋体" w:eastAsia="宋体" w:cs="宋体"/>
          <w:color w:val="auto"/>
          <w:sz w:val="21"/>
          <w:szCs w:val="21"/>
          <w:highlight w:val="none"/>
        </w:rPr>
      </w:pPr>
    </w:p>
    <w:p w14:paraId="6E72BD82">
      <w:pPr>
        <w:ind w:firstLine="0" w:firstLineChars="0"/>
        <w:jc w:val="both"/>
        <w:rPr>
          <w:rFonts w:hint="eastAsia" w:ascii="宋体" w:hAnsi="宋体" w:eastAsia="宋体" w:cs="宋体"/>
          <w:color w:val="auto"/>
          <w:sz w:val="21"/>
          <w:szCs w:val="21"/>
          <w:highlight w:val="none"/>
        </w:rPr>
      </w:pPr>
    </w:p>
    <w:p w14:paraId="0778322C">
      <w:pPr>
        <w:ind w:firstLine="0" w:firstLineChars="0"/>
        <w:jc w:val="both"/>
        <w:rPr>
          <w:rFonts w:hint="eastAsia" w:ascii="宋体" w:hAnsi="宋体" w:eastAsia="宋体" w:cs="宋体"/>
          <w:color w:val="auto"/>
          <w:sz w:val="21"/>
          <w:szCs w:val="21"/>
          <w:highlight w:val="none"/>
        </w:rPr>
      </w:pPr>
    </w:p>
    <w:p w14:paraId="6ECB167D">
      <w:pPr>
        <w:rPr>
          <w:rFonts w:ascii="宋体" w:hAnsi="宋体" w:cs="宋体"/>
          <w:color w:val="auto"/>
          <w:szCs w:val="21"/>
          <w:highlight w:val="none"/>
        </w:rPr>
      </w:pPr>
      <w:r>
        <w:rPr>
          <w:rFonts w:hint="eastAsia" w:ascii="宋体" w:hAnsi="宋体" w:cs="宋体"/>
          <w:color w:val="auto"/>
          <w:szCs w:val="21"/>
          <w:highlight w:val="none"/>
        </w:rPr>
        <w:t>投标人代表签字：</w:t>
      </w:r>
    </w:p>
    <w:p w14:paraId="1F0AD823">
      <w:pPr>
        <w:rPr>
          <w:rFonts w:ascii="宋体" w:hAnsi="宋体" w:cs="宋体"/>
          <w:color w:val="auto"/>
          <w:szCs w:val="21"/>
          <w:highlight w:val="none"/>
        </w:rPr>
      </w:pPr>
      <w:r>
        <w:rPr>
          <w:rFonts w:hint="eastAsia" w:ascii="宋体" w:hAnsi="宋体" w:cs="宋体"/>
          <w:color w:val="auto"/>
          <w:szCs w:val="21"/>
          <w:highlight w:val="none"/>
        </w:rPr>
        <w:t>投标人盖章：</w:t>
      </w:r>
    </w:p>
    <w:p w14:paraId="25A19326">
      <w:pPr>
        <w:ind w:firstLine="0" w:firstLineChars="0"/>
        <w:jc w:val="both"/>
        <w:rPr>
          <w:rFonts w:hint="eastAsia" w:ascii="宋体" w:hAnsi="宋体" w:eastAsia="宋体" w:cs="宋体"/>
          <w:color w:val="auto"/>
          <w:sz w:val="21"/>
          <w:szCs w:val="21"/>
          <w:highlight w:val="none"/>
        </w:rPr>
      </w:pPr>
      <w:r>
        <w:rPr>
          <w:rFonts w:hint="eastAsia" w:ascii="宋体" w:hAnsi="宋体" w:cs="宋体"/>
          <w:color w:val="auto"/>
          <w:szCs w:val="21"/>
          <w:highlight w:val="none"/>
        </w:rPr>
        <w:t>日期：</w:t>
      </w:r>
    </w:p>
    <w:p w14:paraId="308A5924">
      <w:pPr>
        <w:ind w:firstLine="0" w:firstLineChars="0"/>
        <w:jc w:val="both"/>
        <w:rPr>
          <w:rFonts w:hint="eastAsia" w:ascii="宋体" w:hAnsi="宋体" w:eastAsia="宋体" w:cs="宋体"/>
          <w:color w:val="auto"/>
          <w:sz w:val="21"/>
          <w:szCs w:val="21"/>
          <w:highlight w:val="none"/>
        </w:rPr>
      </w:pPr>
    </w:p>
    <w:p w14:paraId="5871A13B">
      <w:pPr>
        <w:ind w:firstLine="0" w:firstLineChars="0"/>
        <w:jc w:val="both"/>
        <w:rPr>
          <w:rFonts w:hint="eastAsia" w:ascii="宋体" w:hAnsi="宋体" w:eastAsia="宋体" w:cs="宋体"/>
          <w:color w:val="auto"/>
          <w:sz w:val="21"/>
          <w:szCs w:val="21"/>
          <w:highlight w:val="none"/>
        </w:rPr>
      </w:pPr>
    </w:p>
    <w:p w14:paraId="07D459C3">
      <w:pPr>
        <w:ind w:firstLine="0" w:firstLineChars="0"/>
        <w:jc w:val="both"/>
        <w:rPr>
          <w:rFonts w:hint="eastAsia" w:ascii="宋体" w:hAnsi="宋体" w:eastAsia="宋体" w:cs="宋体"/>
          <w:color w:val="auto"/>
          <w:sz w:val="21"/>
          <w:szCs w:val="21"/>
          <w:highlight w:val="none"/>
        </w:rPr>
      </w:pPr>
    </w:p>
    <w:p w14:paraId="60D3216B">
      <w:pPr>
        <w:ind w:firstLine="0" w:firstLineChars="0"/>
        <w:jc w:val="both"/>
        <w:rPr>
          <w:rFonts w:hint="eastAsia" w:ascii="宋体" w:hAnsi="宋体" w:eastAsia="宋体" w:cs="宋体"/>
          <w:color w:val="auto"/>
          <w:sz w:val="21"/>
          <w:szCs w:val="21"/>
          <w:highlight w:val="none"/>
        </w:rPr>
      </w:pPr>
    </w:p>
    <w:p w14:paraId="1108589C">
      <w:pPr>
        <w:ind w:firstLine="0" w:firstLineChars="0"/>
        <w:jc w:val="both"/>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Cs w:val="21"/>
          <w:highlight w:val="none"/>
        </w:rPr>
        <w:br w:type="page"/>
      </w:r>
    </w:p>
    <w:p w14:paraId="3D291523">
      <w:pPr>
        <w:pStyle w:val="3"/>
        <w:spacing w:before="0" w:after="0" w:line="360" w:lineRule="auto"/>
        <w:jc w:val="center"/>
        <w:rPr>
          <w:rFonts w:hint="eastAsia" w:ascii="宋体" w:hAnsi="宋体" w:eastAsia="宋体" w:cs="宋体"/>
          <w:color w:val="auto"/>
          <w:sz w:val="72"/>
          <w:szCs w:val="72"/>
          <w:highlight w:val="none"/>
        </w:rPr>
      </w:pPr>
      <w:bookmarkStart w:id="161" w:name="_Toc7358"/>
      <w:r>
        <w:rPr>
          <w:rFonts w:hint="eastAsia" w:ascii="宋体" w:hAnsi="宋体" w:eastAsia="宋体" w:cs="宋体"/>
          <w:color w:val="auto"/>
          <w:sz w:val="72"/>
          <w:szCs w:val="72"/>
          <w:highlight w:val="none"/>
        </w:rPr>
        <w:t>商务文件</w:t>
      </w:r>
      <w:bookmarkEnd w:id="161"/>
    </w:p>
    <w:p w14:paraId="317C4460">
      <w:pPr>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（单独装订成册）</w:t>
      </w:r>
    </w:p>
    <w:p w14:paraId="736DE8A1">
      <w:pPr>
        <w:rPr>
          <w:rFonts w:hint="eastAsia" w:ascii="宋体" w:hAnsi="宋体" w:eastAsia="宋体" w:cs="宋体"/>
          <w:color w:val="auto"/>
          <w:highlight w:val="none"/>
        </w:rPr>
      </w:pPr>
    </w:p>
    <w:p w14:paraId="3559E82E">
      <w:pPr>
        <w:pStyle w:val="13"/>
        <w:rPr>
          <w:rFonts w:hint="eastAsia" w:ascii="宋体" w:hAnsi="宋体" w:eastAsia="宋体" w:cs="宋体"/>
          <w:color w:val="auto"/>
          <w:highlight w:val="none"/>
        </w:rPr>
      </w:pPr>
    </w:p>
    <w:p w14:paraId="67C04A83">
      <w:pPr>
        <w:pStyle w:val="34"/>
        <w:ind w:firstLine="240"/>
        <w:rPr>
          <w:rFonts w:hint="eastAsia" w:ascii="宋体" w:hAnsi="宋体" w:eastAsia="宋体" w:cs="宋体"/>
          <w:color w:val="auto"/>
          <w:highlight w:val="none"/>
        </w:rPr>
      </w:pPr>
    </w:p>
    <w:p w14:paraId="55CE67F6">
      <w:pPr>
        <w:rPr>
          <w:rFonts w:hint="eastAsia" w:ascii="宋体" w:hAnsi="宋体" w:eastAsia="宋体" w:cs="宋体"/>
          <w:b/>
          <w:bCs/>
          <w:color w:val="auto"/>
          <w:spacing w:val="-6"/>
          <w:sz w:val="32"/>
          <w:szCs w:val="32"/>
          <w:highlight w:val="none"/>
        </w:rPr>
      </w:pPr>
      <w:r>
        <w:rPr>
          <w:rFonts w:hint="eastAsia" w:ascii="宋体" w:hAnsi="宋体" w:eastAsia="宋体" w:cs="宋体"/>
          <w:b/>
          <w:bCs/>
          <w:color w:val="auto"/>
          <w:spacing w:val="53"/>
          <w:kern w:val="0"/>
          <w:sz w:val="32"/>
          <w:szCs w:val="32"/>
          <w:highlight w:val="none"/>
          <w:fitText w:val="1600" w:id="4"/>
        </w:rPr>
        <w:t>项目名</w:t>
      </w:r>
      <w:r>
        <w:rPr>
          <w:rFonts w:hint="eastAsia" w:ascii="宋体" w:hAnsi="宋体" w:eastAsia="宋体" w:cs="宋体"/>
          <w:b/>
          <w:bCs/>
          <w:color w:val="auto"/>
          <w:spacing w:val="1"/>
          <w:kern w:val="0"/>
          <w:sz w:val="32"/>
          <w:szCs w:val="32"/>
          <w:highlight w:val="none"/>
          <w:fitText w:val="1600" w:id="4"/>
        </w:rPr>
        <w:t>称</w:t>
      </w:r>
      <w:r>
        <w:rPr>
          <w:rFonts w:hint="eastAsia" w:ascii="宋体" w:hAnsi="宋体" w:eastAsia="宋体" w:cs="宋体"/>
          <w:b/>
          <w:bCs/>
          <w:color w:val="auto"/>
          <w:spacing w:val="-6"/>
          <w:sz w:val="32"/>
          <w:szCs w:val="32"/>
          <w:highlight w:val="none"/>
        </w:rPr>
        <w:t>：</w:t>
      </w:r>
    </w:p>
    <w:p w14:paraId="097C9CB4">
      <w:pPr>
        <w:rPr>
          <w:rFonts w:hint="eastAsia" w:ascii="宋体" w:hAnsi="宋体" w:eastAsia="宋体" w:cs="宋体"/>
          <w:b/>
          <w:bCs/>
          <w:color w:val="auto"/>
          <w:sz w:val="32"/>
          <w:szCs w:val="32"/>
          <w:highlight w:val="none"/>
        </w:rPr>
      </w:pPr>
      <w:r>
        <w:rPr>
          <w:rFonts w:hint="eastAsia" w:ascii="宋体" w:hAnsi="宋体" w:eastAsia="宋体" w:cs="宋体"/>
          <w:b/>
          <w:bCs/>
          <w:color w:val="auto"/>
          <w:spacing w:val="53"/>
          <w:kern w:val="0"/>
          <w:sz w:val="32"/>
          <w:szCs w:val="32"/>
          <w:highlight w:val="none"/>
          <w:fitText w:val="1600" w:id="5"/>
        </w:rPr>
        <w:t>项目编</w:t>
      </w:r>
      <w:r>
        <w:rPr>
          <w:rFonts w:hint="eastAsia" w:ascii="宋体" w:hAnsi="宋体" w:eastAsia="宋体" w:cs="宋体"/>
          <w:b/>
          <w:bCs/>
          <w:color w:val="auto"/>
          <w:spacing w:val="1"/>
          <w:kern w:val="0"/>
          <w:sz w:val="32"/>
          <w:szCs w:val="32"/>
          <w:highlight w:val="none"/>
          <w:fitText w:val="1600" w:id="5"/>
        </w:rPr>
        <w:t>号</w:t>
      </w:r>
      <w:r>
        <w:rPr>
          <w:rFonts w:hint="eastAsia" w:ascii="宋体" w:hAnsi="宋体" w:eastAsia="宋体" w:cs="宋体"/>
          <w:b/>
          <w:bCs/>
          <w:color w:val="auto"/>
          <w:sz w:val="32"/>
          <w:szCs w:val="32"/>
          <w:highlight w:val="none"/>
        </w:rPr>
        <w:t>：</w:t>
      </w:r>
    </w:p>
    <w:p w14:paraId="3EFD0AAB">
      <w:pPr>
        <w:pStyle w:val="13"/>
        <w:ind w:left="0"/>
        <w:rPr>
          <w:rFonts w:hint="eastAsia" w:ascii="宋体" w:hAnsi="宋体" w:eastAsia="宋体" w:cs="宋体"/>
          <w:b/>
          <w:color w:val="auto"/>
          <w:spacing w:val="1280"/>
          <w:sz w:val="32"/>
          <w:szCs w:val="32"/>
          <w:highlight w:val="none"/>
        </w:rPr>
      </w:pPr>
      <w:r>
        <w:rPr>
          <w:rFonts w:hint="eastAsia" w:ascii="宋体" w:hAnsi="宋体" w:eastAsia="宋体" w:cs="宋体"/>
          <w:b/>
          <w:color w:val="auto"/>
          <w:spacing w:val="106"/>
          <w:sz w:val="32"/>
          <w:szCs w:val="32"/>
          <w:highlight w:val="none"/>
          <w:lang w:val="en-US" w:bidi="ar-SA"/>
        </w:rPr>
        <w:t>包组号（如有）：</w:t>
      </w:r>
    </w:p>
    <w:p w14:paraId="4577955C">
      <w:pPr>
        <w:rPr>
          <w:rFonts w:hint="eastAsia" w:ascii="宋体" w:hAnsi="宋体" w:eastAsia="宋体" w:cs="宋体"/>
          <w:b/>
          <w:color w:val="auto"/>
          <w:sz w:val="32"/>
          <w:szCs w:val="32"/>
          <w:highlight w:val="none"/>
        </w:rPr>
      </w:pPr>
      <w:r>
        <w:rPr>
          <w:rFonts w:hint="eastAsia" w:ascii="宋体" w:hAnsi="宋体" w:eastAsia="宋体" w:cs="宋体"/>
          <w:b/>
          <w:color w:val="auto"/>
          <w:spacing w:val="0"/>
          <w:kern w:val="0"/>
          <w:sz w:val="32"/>
          <w:szCs w:val="32"/>
          <w:highlight w:val="none"/>
          <w:fitText w:val="1600" w:id="6"/>
        </w:rPr>
        <w:t>投标人名称</w:t>
      </w:r>
      <w:r>
        <w:rPr>
          <w:rFonts w:hint="eastAsia" w:ascii="宋体" w:hAnsi="宋体" w:eastAsia="宋体" w:cs="宋体"/>
          <w:b/>
          <w:color w:val="auto"/>
          <w:sz w:val="32"/>
          <w:szCs w:val="32"/>
          <w:highlight w:val="none"/>
        </w:rPr>
        <w:t>：</w:t>
      </w:r>
    </w:p>
    <w:p w14:paraId="186238C0">
      <w:pPr>
        <w:rPr>
          <w:rFonts w:hint="eastAsia" w:ascii="宋体" w:hAnsi="宋体" w:eastAsia="宋体" w:cs="宋体"/>
          <w:b/>
          <w:color w:val="auto"/>
          <w:sz w:val="32"/>
          <w:szCs w:val="32"/>
          <w:highlight w:val="none"/>
        </w:rPr>
      </w:pPr>
      <w:r>
        <w:rPr>
          <w:rFonts w:hint="eastAsia" w:ascii="宋体" w:hAnsi="宋体" w:eastAsia="宋体" w:cs="宋体"/>
          <w:b/>
          <w:color w:val="auto"/>
          <w:spacing w:val="32"/>
          <w:kern w:val="0"/>
          <w:sz w:val="32"/>
          <w:szCs w:val="32"/>
          <w:highlight w:val="none"/>
          <w:fitText w:val="1600" w:id="7"/>
        </w:rPr>
        <w:t xml:space="preserve">日    </w:t>
      </w:r>
      <w:r>
        <w:rPr>
          <w:rFonts w:hint="eastAsia" w:ascii="宋体" w:hAnsi="宋体" w:eastAsia="宋体" w:cs="宋体"/>
          <w:b/>
          <w:color w:val="auto"/>
          <w:spacing w:val="0"/>
          <w:kern w:val="0"/>
          <w:sz w:val="32"/>
          <w:szCs w:val="32"/>
          <w:highlight w:val="none"/>
          <w:fitText w:val="1600" w:id="7"/>
        </w:rPr>
        <w:t>期</w:t>
      </w:r>
      <w:r>
        <w:rPr>
          <w:rFonts w:hint="eastAsia" w:ascii="宋体" w:hAnsi="宋体" w:eastAsia="宋体" w:cs="宋体"/>
          <w:b/>
          <w:color w:val="auto"/>
          <w:sz w:val="32"/>
          <w:szCs w:val="32"/>
          <w:highlight w:val="none"/>
        </w:rPr>
        <w:t>：</w:t>
      </w:r>
    </w:p>
    <w:p w14:paraId="4BCED708">
      <w:pPr>
        <w:pStyle w:val="13"/>
        <w:rPr>
          <w:rFonts w:hint="eastAsia" w:ascii="宋体" w:hAnsi="宋体" w:eastAsia="宋体" w:cs="宋体"/>
          <w:b/>
          <w:color w:val="auto"/>
          <w:sz w:val="32"/>
          <w:szCs w:val="32"/>
          <w:highlight w:val="none"/>
        </w:rPr>
      </w:pPr>
    </w:p>
    <w:p w14:paraId="3F3D313C">
      <w:pPr>
        <w:pStyle w:val="34"/>
        <w:ind w:firstLine="321"/>
        <w:rPr>
          <w:rFonts w:hint="eastAsia" w:ascii="宋体" w:hAnsi="宋体" w:eastAsia="宋体" w:cs="宋体"/>
          <w:b/>
          <w:color w:val="auto"/>
          <w:sz w:val="32"/>
          <w:szCs w:val="32"/>
          <w:highlight w:val="none"/>
        </w:rPr>
      </w:pPr>
    </w:p>
    <w:p w14:paraId="0EABB7FB">
      <w:pPr>
        <w:pStyle w:val="28"/>
        <w:rPr>
          <w:rFonts w:hint="eastAsia" w:ascii="宋体" w:hAnsi="宋体" w:eastAsia="宋体" w:cs="宋体"/>
          <w:b/>
          <w:color w:val="auto"/>
          <w:sz w:val="32"/>
          <w:szCs w:val="32"/>
          <w:highlight w:val="none"/>
        </w:rPr>
      </w:pPr>
    </w:p>
    <w:p w14:paraId="146F2990">
      <w:pPr>
        <w:rPr>
          <w:rFonts w:hint="eastAsia" w:ascii="宋体" w:hAnsi="宋体" w:eastAsia="宋体" w:cs="宋体"/>
          <w:b/>
          <w:color w:val="auto"/>
          <w:sz w:val="32"/>
          <w:szCs w:val="32"/>
          <w:highlight w:val="none"/>
        </w:rPr>
      </w:pPr>
    </w:p>
    <w:p w14:paraId="24588AF9">
      <w:pPr>
        <w:pStyle w:val="13"/>
        <w:rPr>
          <w:rFonts w:hint="eastAsia" w:ascii="宋体" w:hAnsi="宋体" w:eastAsia="宋体" w:cs="宋体"/>
          <w:b/>
          <w:color w:val="auto"/>
          <w:sz w:val="32"/>
          <w:szCs w:val="32"/>
          <w:highlight w:val="none"/>
        </w:rPr>
      </w:pPr>
    </w:p>
    <w:p w14:paraId="22D4B30E">
      <w:pPr>
        <w:rPr>
          <w:rFonts w:hint="eastAsia" w:ascii="宋体" w:hAnsi="宋体" w:eastAsia="宋体" w:cs="宋体"/>
          <w:color w:val="auto"/>
          <w:highlight w:val="none"/>
        </w:rPr>
      </w:pPr>
    </w:p>
    <w:p w14:paraId="0B5116A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1D17712E">
      <w:pPr>
        <w:pStyle w:val="5"/>
        <w:widowControl w:val="0"/>
        <w:overflowPunct w:val="0"/>
        <w:spacing w:line="240" w:lineRule="auto"/>
        <w:rPr>
          <w:rFonts w:hint="eastAsia" w:ascii="宋体" w:hAnsi="宋体" w:eastAsia="宋体" w:cs="宋体"/>
          <w:color w:val="auto"/>
          <w:highlight w:val="none"/>
        </w:rPr>
      </w:pPr>
      <w:bookmarkStart w:id="162" w:name="_Toc11732"/>
      <w:r>
        <w:rPr>
          <w:rFonts w:hint="eastAsia" w:ascii="宋体" w:hAnsi="宋体" w:eastAsia="宋体" w:cs="宋体"/>
          <w:color w:val="auto"/>
          <w:sz w:val="21"/>
          <w:szCs w:val="21"/>
          <w:highlight w:val="none"/>
        </w:rPr>
        <w:t>附件</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.投标书格式</w:t>
      </w:r>
      <w:bookmarkEnd w:id="162"/>
    </w:p>
    <w:p w14:paraId="2F0E3629">
      <w:pPr>
        <w:jc w:val="center"/>
        <w:rPr>
          <w:rFonts w:hint="eastAsia" w:ascii="宋体" w:hAnsi="宋体" w:eastAsia="宋体" w:cs="宋体"/>
          <w:color w:val="auto"/>
          <w:szCs w:val="21"/>
          <w:highlight w:val="none"/>
        </w:rPr>
      </w:pPr>
      <w:r>
        <w:rPr>
          <w:rFonts w:hint="eastAsia" w:ascii="宋体" w:hAnsi="宋体" w:eastAsia="宋体" w:cs="宋体"/>
          <w:color w:val="auto"/>
          <w:sz w:val="32"/>
          <w:szCs w:val="32"/>
          <w:highlight w:val="none"/>
        </w:rPr>
        <w:t>投标书</w:t>
      </w:r>
    </w:p>
    <w:p w14:paraId="4D18D22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lang w:eastAsia="zh-CN"/>
        </w:rPr>
        <w:t>广东志合项目管理有限公司</w:t>
      </w:r>
      <w:r>
        <w:rPr>
          <w:rFonts w:hint="eastAsia" w:ascii="宋体" w:hAnsi="宋体" w:eastAsia="宋体" w:cs="宋体"/>
          <w:color w:val="auto"/>
          <w:szCs w:val="21"/>
          <w:highlight w:val="none"/>
        </w:rPr>
        <w:t>：</w:t>
      </w:r>
    </w:p>
    <w:p w14:paraId="05CFA817">
      <w:pPr>
        <w:rPr>
          <w:rFonts w:hint="eastAsia" w:ascii="宋体" w:hAnsi="宋体" w:eastAsia="宋体" w:cs="宋体"/>
          <w:color w:val="auto"/>
          <w:szCs w:val="21"/>
          <w:highlight w:val="none"/>
        </w:rPr>
      </w:pPr>
    </w:p>
    <w:p w14:paraId="2098839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根据贵方为</w:t>
      </w:r>
      <w:r>
        <w:rPr>
          <w:rFonts w:hint="eastAsia" w:ascii="宋体" w:hAnsi="宋体" w:eastAsia="宋体" w:cs="宋体"/>
          <w:color w:val="auto"/>
          <w:szCs w:val="21"/>
          <w:highlight w:val="none"/>
          <w:u w:val="single"/>
        </w:rPr>
        <w:t>（项目名称）（采购项目编号）</w:t>
      </w:r>
      <w:r>
        <w:rPr>
          <w:rFonts w:hint="eastAsia" w:ascii="宋体" w:hAnsi="宋体" w:eastAsia="宋体" w:cs="宋体"/>
          <w:color w:val="auto"/>
          <w:szCs w:val="21"/>
          <w:highlight w:val="none"/>
        </w:rPr>
        <w:t>项目采购公告/采购邀请，签字代表</w:t>
      </w:r>
      <w:r>
        <w:rPr>
          <w:rFonts w:hint="eastAsia" w:ascii="宋体" w:hAnsi="宋体" w:eastAsia="宋体" w:cs="宋体"/>
          <w:color w:val="auto"/>
          <w:szCs w:val="21"/>
          <w:highlight w:val="none"/>
          <w:u w:val="single"/>
        </w:rPr>
        <w:t>（姓名、职务）</w:t>
      </w:r>
      <w:r>
        <w:rPr>
          <w:rFonts w:hint="eastAsia" w:ascii="宋体" w:hAnsi="宋体" w:eastAsia="宋体" w:cs="宋体"/>
          <w:color w:val="auto"/>
          <w:szCs w:val="21"/>
          <w:highlight w:val="none"/>
        </w:rPr>
        <w:t>经正式授权并代表投标人</w:t>
      </w:r>
      <w:r>
        <w:rPr>
          <w:rFonts w:hint="eastAsia" w:ascii="宋体" w:hAnsi="宋体" w:eastAsia="宋体" w:cs="宋体"/>
          <w:color w:val="auto"/>
          <w:szCs w:val="21"/>
          <w:highlight w:val="none"/>
          <w:u w:val="single"/>
        </w:rPr>
        <w:t>（投标人名称、地址）</w:t>
      </w:r>
      <w:r>
        <w:rPr>
          <w:rFonts w:hint="eastAsia" w:ascii="宋体" w:hAnsi="宋体" w:eastAsia="宋体" w:cs="宋体"/>
          <w:color w:val="auto"/>
          <w:szCs w:val="21"/>
          <w:highlight w:val="none"/>
        </w:rPr>
        <w:t>提交投标文件及“唱标信封”：</w:t>
      </w:r>
    </w:p>
    <w:p w14:paraId="79121D8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在此，签字代表宣布同意如下： </w:t>
      </w:r>
    </w:p>
    <w:p w14:paraId="233BA4F3">
      <w:pPr>
        <w:widowControl w:val="0"/>
        <w:numPr>
          <w:ilvl w:val="0"/>
          <w:numId w:val="15"/>
        </w:numPr>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我方将按采购文件的规定履行合同责任和义务。 </w:t>
      </w:r>
    </w:p>
    <w:p w14:paraId="35C02F0B">
      <w:pPr>
        <w:widowControl w:val="0"/>
        <w:numPr>
          <w:ilvl w:val="0"/>
          <w:numId w:val="15"/>
        </w:numPr>
        <w:adjustRightInd/>
        <w:snapToGrid/>
        <w:jc w:val="both"/>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我方已完整阅读了本项目采购文件的所有内容（包括澄清，以及所有已提供的参考资料和有关附件），并完全理解上述文件所表达的意思，该项目递交投标文件时间截止后，我方承诺不再对上述文件内容进行异议。</w:t>
      </w:r>
    </w:p>
    <w:p w14:paraId="45062F89">
      <w:pPr>
        <w:widowControl w:val="0"/>
        <w:numPr>
          <w:ilvl w:val="0"/>
          <w:numId w:val="15"/>
        </w:numPr>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本投标有效期为自开标日起</w:t>
      </w:r>
      <w:r>
        <w:rPr>
          <w:rFonts w:hint="eastAsia" w:ascii="宋体" w:hAnsi="宋体" w:eastAsia="宋体" w:cs="宋体"/>
          <w:color w:val="auto"/>
          <w:szCs w:val="21"/>
          <w:highlight w:val="none"/>
          <w:u w:val="single"/>
        </w:rPr>
        <w:t>90</w:t>
      </w:r>
      <w:r>
        <w:rPr>
          <w:rFonts w:hint="eastAsia" w:ascii="宋体" w:hAnsi="宋体" w:eastAsia="宋体" w:cs="宋体"/>
          <w:color w:val="auto"/>
          <w:szCs w:val="21"/>
          <w:highlight w:val="none"/>
        </w:rPr>
        <w:t xml:space="preserve">个日历日。 </w:t>
      </w:r>
    </w:p>
    <w:p w14:paraId="03B39360">
      <w:pPr>
        <w:widowControl w:val="0"/>
        <w:numPr>
          <w:ilvl w:val="0"/>
          <w:numId w:val="15"/>
        </w:numPr>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我方保证遵守投标人须知中关于没收投标保证金的规定。</w:t>
      </w:r>
    </w:p>
    <w:p w14:paraId="07FF936E">
      <w:pPr>
        <w:widowControl w:val="0"/>
        <w:numPr>
          <w:ilvl w:val="0"/>
          <w:numId w:val="15"/>
        </w:numPr>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我方承诺，与买方聘请的为此项目提供咨询服务的公司及任何附属机构均无关联，我方不是买方的附属机构。 </w:t>
      </w:r>
    </w:p>
    <w:p w14:paraId="6BCE550E">
      <w:pPr>
        <w:widowControl w:val="0"/>
        <w:numPr>
          <w:ilvl w:val="0"/>
          <w:numId w:val="15"/>
        </w:numPr>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承诺，我方具备投标人邀请中所要求的资格条件，已清楚采购文件所有要求及有关规定；并承诺参加本次采购活动中，如有违法、违规、弄虚作假行为，所造成的损失、不良后果及法律责任，一律由我方承担；</w:t>
      </w:r>
    </w:p>
    <w:p w14:paraId="7A30E213">
      <w:pPr>
        <w:widowControl w:val="0"/>
        <w:numPr>
          <w:ilvl w:val="0"/>
          <w:numId w:val="15"/>
        </w:numPr>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我方同意提供按照贵方可能要求的与其投标有关的一切数据或资料。</w:t>
      </w:r>
    </w:p>
    <w:p w14:paraId="6FFC7E38">
      <w:pPr>
        <w:widowControl w:val="0"/>
        <w:numPr>
          <w:ilvl w:val="0"/>
          <w:numId w:val="15"/>
        </w:numPr>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与本投标有关的一切正式信函请寄：</w:t>
      </w:r>
    </w:p>
    <w:p w14:paraId="754FB7C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　　　　　　　　　　　　　　　　　　　 电子邮箱：</w:t>
      </w:r>
    </w:p>
    <w:p w14:paraId="6A04B4F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电话/移动电话：　　　　　　　　　　　　　　　</w:t>
      </w:r>
    </w:p>
    <w:p w14:paraId="35E23CB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投标人法定代表人（或其授权代表）签字： </w:t>
      </w:r>
    </w:p>
    <w:p w14:paraId="0806292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投标人名称（全称）： </w:t>
      </w:r>
    </w:p>
    <w:p w14:paraId="1821911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投标人盖章： </w:t>
      </w:r>
    </w:p>
    <w:p w14:paraId="2A167B0F">
      <w:pPr>
        <w:rPr>
          <w:rFonts w:hint="eastAsia" w:ascii="宋体" w:hAnsi="宋体" w:eastAsia="宋体" w:cs="宋体"/>
          <w:color w:val="auto"/>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highlight w:val="none"/>
        </w:rPr>
        <w:br w:type="page"/>
      </w:r>
    </w:p>
    <w:p w14:paraId="0D0E2DA4">
      <w:pPr>
        <w:pStyle w:val="5"/>
        <w:widowControl w:val="0"/>
        <w:overflowPunct w:val="0"/>
        <w:spacing w:line="240" w:lineRule="auto"/>
        <w:rPr>
          <w:rFonts w:hint="eastAsia" w:ascii="宋体" w:hAnsi="宋体" w:eastAsia="宋体" w:cs="宋体"/>
          <w:color w:val="auto"/>
          <w:sz w:val="21"/>
          <w:szCs w:val="21"/>
          <w:highlight w:val="none"/>
        </w:rPr>
      </w:pPr>
      <w:bookmarkStart w:id="163" w:name="_Toc19972"/>
      <w:r>
        <w:rPr>
          <w:rFonts w:hint="eastAsia" w:ascii="宋体" w:hAnsi="宋体" w:eastAsia="宋体" w:cs="宋体"/>
          <w:color w:val="auto"/>
          <w:sz w:val="21"/>
          <w:szCs w:val="21"/>
          <w:highlight w:val="none"/>
        </w:rPr>
        <w:t>附件</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 法定代表人证明书格式</w:t>
      </w:r>
      <w:bookmarkEnd w:id="163"/>
    </w:p>
    <w:p w14:paraId="32E6EC01">
      <w:pPr>
        <w:rPr>
          <w:rFonts w:hint="eastAsia" w:ascii="宋体" w:hAnsi="宋体" w:eastAsia="宋体" w:cs="宋体"/>
          <w:color w:val="auto"/>
          <w:highlight w:val="none"/>
        </w:rPr>
      </w:pPr>
    </w:p>
    <w:p w14:paraId="62BC66E7">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法定代表人证明书</w:t>
      </w:r>
    </w:p>
    <w:p w14:paraId="3DD58AE7">
      <w:pPr>
        <w:pStyle w:val="54"/>
        <w:spacing w:line="420" w:lineRule="atLeast"/>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广东志合项目管理有限公司</w:t>
      </w:r>
    </w:p>
    <w:p w14:paraId="6BB5D860">
      <w:pPr>
        <w:pStyle w:val="54"/>
        <w:spacing w:line="420" w:lineRule="atLeast"/>
        <w:ind w:firstLine="433"/>
        <w:rPr>
          <w:rFonts w:hint="eastAsia" w:ascii="宋体" w:hAnsi="宋体" w:eastAsia="宋体" w:cs="宋体"/>
          <w:color w:val="auto"/>
          <w:sz w:val="21"/>
          <w:szCs w:val="21"/>
          <w:highlight w:val="none"/>
        </w:rPr>
      </w:pPr>
    </w:p>
    <w:p w14:paraId="5CE78E85">
      <w:pPr>
        <w:pStyle w:val="54"/>
        <w:spacing w:line="420" w:lineRule="atLeast"/>
        <w:ind w:firstLine="433"/>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w:t>
      </w:r>
    </w:p>
    <w:p w14:paraId="4C1B7BB4">
      <w:pPr>
        <w:pStyle w:val="54"/>
        <w:spacing w:line="420" w:lineRule="atLeast"/>
        <w:ind w:firstLine="433"/>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单 位 性质：</w:t>
      </w:r>
    </w:p>
    <w:p w14:paraId="5FEBFCEB">
      <w:pPr>
        <w:pStyle w:val="54"/>
        <w:spacing w:line="420" w:lineRule="atLeast"/>
        <w:ind w:firstLine="433"/>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p>
    <w:p w14:paraId="6F24D268">
      <w:pPr>
        <w:pStyle w:val="54"/>
        <w:spacing w:line="42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 立 时间：年月日</w:t>
      </w:r>
    </w:p>
    <w:p w14:paraId="77C33551">
      <w:pPr>
        <w:pStyle w:val="54"/>
        <w:spacing w:line="42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 营 期限：</w:t>
      </w:r>
    </w:p>
    <w:p w14:paraId="6157616B">
      <w:pPr>
        <w:pStyle w:val="54"/>
        <w:spacing w:line="42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姓名：性别：年龄：职务：</w:t>
      </w:r>
    </w:p>
    <w:p w14:paraId="14FE2D92">
      <w:pPr>
        <w:pStyle w:val="54"/>
        <w:spacing w:line="42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系（投标人名称）的法定代表人。</w:t>
      </w:r>
    </w:p>
    <w:p w14:paraId="7B19EDC6">
      <w:pPr>
        <w:spacing w:line="4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14:paraId="77367211">
      <w:pPr>
        <w:pStyle w:val="54"/>
        <w:spacing w:line="500" w:lineRule="atLeast"/>
        <w:ind w:firstLine="3517" w:firstLineChars="1675"/>
        <w:rPr>
          <w:rFonts w:hint="eastAsia" w:ascii="宋体" w:hAnsi="宋体" w:eastAsia="宋体" w:cs="宋体"/>
          <w:color w:val="auto"/>
          <w:sz w:val="21"/>
          <w:szCs w:val="21"/>
          <w:highlight w:val="none"/>
        </w:rPr>
      </w:pPr>
    </w:p>
    <w:p w14:paraId="30FA58D2">
      <w:pPr>
        <w:pStyle w:val="54"/>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投标人名称（加盖公章）：</w:t>
      </w:r>
    </w:p>
    <w:p w14:paraId="721286F1">
      <w:pPr>
        <w:pStyle w:val="54"/>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法定代表人（签名或盖私章）：</w:t>
      </w:r>
    </w:p>
    <w:p w14:paraId="3A62F7E0">
      <w:pPr>
        <w:pStyle w:val="54"/>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法定代表人联系方式：</w:t>
      </w:r>
    </w:p>
    <w:p w14:paraId="42AFF4C1">
      <w:pPr>
        <w:pStyle w:val="54"/>
        <w:spacing w:line="500" w:lineRule="atLeast"/>
        <w:ind w:firstLine="3517" w:firstLineChars="167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p>
    <w:p w14:paraId="4163D70C">
      <w:pPr>
        <w:pStyle w:val="54"/>
        <w:spacing w:line="500" w:lineRule="atLeast"/>
        <w:ind w:firstLine="3507" w:firstLineChars="16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  年  月  日</w:t>
      </w:r>
    </w:p>
    <w:p w14:paraId="6216314D">
      <w:pPr>
        <w:ind w:firstLine="420" w:firstLineChars="200"/>
        <w:rPr>
          <w:rFonts w:hint="eastAsia" w:ascii="宋体" w:hAnsi="宋体" w:eastAsia="宋体" w:cs="宋体"/>
          <w:color w:val="auto"/>
          <w:szCs w:val="21"/>
          <w:highlight w:val="none"/>
        </w:rPr>
      </w:pPr>
    </w:p>
    <w:p w14:paraId="68FD6CD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注：法定代表人身份证明书需附法人代表身份证复印件。</w:t>
      </w:r>
    </w:p>
    <w:tbl>
      <w:tblPr>
        <w:tblStyle w:val="36"/>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14:paraId="4A5D8C8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14:paraId="01A01470">
            <w:pPr>
              <w:pStyle w:val="54"/>
              <w:spacing w:line="4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正面</w:t>
            </w:r>
          </w:p>
        </w:tc>
        <w:tc>
          <w:tcPr>
            <w:tcW w:w="4182" w:type="dxa"/>
            <w:vAlign w:val="center"/>
          </w:tcPr>
          <w:p w14:paraId="2FCB6283">
            <w:pPr>
              <w:pStyle w:val="54"/>
              <w:spacing w:line="4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背面</w:t>
            </w:r>
          </w:p>
        </w:tc>
      </w:tr>
    </w:tbl>
    <w:p w14:paraId="397CCED1">
      <w:pPr>
        <w:rPr>
          <w:rFonts w:hint="eastAsia" w:ascii="宋体" w:hAnsi="宋体" w:eastAsia="宋体" w:cs="宋体"/>
          <w:color w:val="auto"/>
          <w:highlight w:val="none"/>
        </w:rPr>
      </w:pPr>
    </w:p>
    <w:p w14:paraId="586616FF">
      <w:pPr>
        <w:adjustRightInd/>
        <w:snapToGrid/>
        <w:spacing w:line="276" w:lineRule="auto"/>
        <w:rPr>
          <w:rFonts w:hint="eastAsia" w:ascii="宋体" w:hAnsi="宋体" w:eastAsia="宋体" w:cs="宋体"/>
          <w:b/>
          <w:bCs/>
          <w:color w:val="auto"/>
          <w:sz w:val="24"/>
          <w:szCs w:val="28"/>
          <w:highlight w:val="none"/>
        </w:rPr>
      </w:pPr>
      <w:r>
        <w:rPr>
          <w:rFonts w:hint="eastAsia" w:ascii="宋体" w:hAnsi="宋体" w:eastAsia="宋体" w:cs="宋体"/>
          <w:color w:val="auto"/>
          <w:sz w:val="24"/>
          <w:highlight w:val="none"/>
        </w:rPr>
        <w:br w:type="page"/>
      </w:r>
    </w:p>
    <w:p w14:paraId="7AC0FF0D">
      <w:pPr>
        <w:pStyle w:val="5"/>
        <w:widowControl w:val="0"/>
        <w:overflowPunct w:val="0"/>
        <w:spacing w:line="240" w:lineRule="auto"/>
        <w:rPr>
          <w:rFonts w:hint="eastAsia" w:ascii="宋体" w:hAnsi="宋体" w:eastAsia="宋体" w:cs="宋体"/>
          <w:color w:val="auto"/>
          <w:highlight w:val="none"/>
        </w:rPr>
      </w:pPr>
      <w:bookmarkStart w:id="164" w:name="_Toc19149"/>
      <w:r>
        <w:rPr>
          <w:rFonts w:hint="eastAsia" w:ascii="宋体" w:hAnsi="宋体" w:eastAsia="宋体" w:cs="宋体"/>
          <w:color w:val="auto"/>
          <w:sz w:val="21"/>
          <w:szCs w:val="21"/>
          <w:highlight w:val="none"/>
        </w:rPr>
        <w:t>附件</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.法定代表人授权书格式</w:t>
      </w:r>
      <w:bookmarkEnd w:id="164"/>
    </w:p>
    <w:p w14:paraId="6ED20DAA">
      <w:pPr>
        <w:rPr>
          <w:rFonts w:hint="eastAsia" w:ascii="宋体" w:hAnsi="宋体" w:eastAsia="宋体" w:cs="宋体"/>
          <w:color w:val="auto"/>
          <w:highlight w:val="none"/>
        </w:rPr>
      </w:pPr>
    </w:p>
    <w:p w14:paraId="2DE45DE3">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法定代表人授权书</w:t>
      </w:r>
    </w:p>
    <w:p w14:paraId="7362C36B">
      <w:pPr>
        <w:pStyle w:val="54"/>
        <w:spacing w:line="420" w:lineRule="atLeast"/>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广东志合项目管理有限公司</w:t>
      </w:r>
    </w:p>
    <w:p w14:paraId="75384A69">
      <w:pPr>
        <w:pStyle w:val="54"/>
        <w:spacing w:line="420" w:lineRule="atLeast"/>
        <w:ind w:firstLine="433"/>
        <w:rPr>
          <w:rFonts w:hint="eastAsia" w:ascii="宋体" w:hAnsi="宋体" w:eastAsia="宋体" w:cs="宋体"/>
          <w:color w:val="auto"/>
          <w:sz w:val="21"/>
          <w:szCs w:val="21"/>
          <w:highlight w:val="none"/>
        </w:rPr>
      </w:pPr>
    </w:p>
    <w:p w14:paraId="3C02B8D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本授权书声明：注册于</w:t>
      </w:r>
      <w:r>
        <w:rPr>
          <w:rFonts w:hint="eastAsia" w:ascii="宋体" w:hAnsi="宋体" w:eastAsia="宋体" w:cs="宋体"/>
          <w:color w:val="auto"/>
          <w:szCs w:val="21"/>
          <w:highlight w:val="none"/>
          <w:u w:val="single"/>
        </w:rPr>
        <w:t>（国家或地区的名称）</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（单位名称）</w:t>
      </w:r>
      <w:r>
        <w:rPr>
          <w:rFonts w:hint="eastAsia" w:ascii="宋体" w:hAnsi="宋体" w:eastAsia="宋体" w:cs="宋体"/>
          <w:color w:val="auto"/>
          <w:szCs w:val="21"/>
          <w:highlight w:val="none"/>
        </w:rPr>
        <w:t>的在下面签字的</w:t>
      </w:r>
      <w:r>
        <w:rPr>
          <w:rFonts w:hint="eastAsia" w:ascii="宋体" w:hAnsi="宋体" w:eastAsia="宋体" w:cs="宋体"/>
          <w:color w:val="auto"/>
          <w:szCs w:val="21"/>
          <w:highlight w:val="none"/>
          <w:u w:val="single"/>
        </w:rPr>
        <w:t>（法定代表人姓名、职务）</w:t>
      </w:r>
      <w:r>
        <w:rPr>
          <w:rFonts w:hint="eastAsia" w:ascii="宋体" w:hAnsi="宋体" w:eastAsia="宋体" w:cs="宋体"/>
          <w:color w:val="auto"/>
          <w:szCs w:val="21"/>
          <w:highlight w:val="none"/>
        </w:rPr>
        <w:t>代表本单位授权</w:t>
      </w:r>
      <w:r>
        <w:rPr>
          <w:rFonts w:hint="eastAsia" w:ascii="宋体" w:hAnsi="宋体" w:eastAsia="宋体" w:cs="宋体"/>
          <w:color w:val="auto"/>
          <w:szCs w:val="21"/>
          <w:highlight w:val="none"/>
          <w:u w:val="single"/>
        </w:rPr>
        <w:t>（单位名称）</w:t>
      </w:r>
      <w:r>
        <w:rPr>
          <w:rFonts w:hint="eastAsia" w:ascii="宋体" w:hAnsi="宋体" w:eastAsia="宋体" w:cs="宋体"/>
          <w:color w:val="auto"/>
          <w:szCs w:val="21"/>
          <w:highlight w:val="none"/>
        </w:rPr>
        <w:t>的在下面签字的</w:t>
      </w:r>
      <w:r>
        <w:rPr>
          <w:rFonts w:hint="eastAsia" w:ascii="宋体" w:hAnsi="宋体" w:eastAsia="宋体" w:cs="宋体"/>
          <w:color w:val="auto"/>
          <w:szCs w:val="21"/>
          <w:highlight w:val="none"/>
          <w:u w:val="single"/>
        </w:rPr>
        <w:t>（被授权人的姓名、职务）</w:t>
      </w:r>
      <w:r>
        <w:rPr>
          <w:rFonts w:hint="eastAsia" w:ascii="宋体" w:hAnsi="宋体" w:eastAsia="宋体" w:cs="宋体"/>
          <w:color w:val="auto"/>
          <w:szCs w:val="21"/>
          <w:highlight w:val="none"/>
        </w:rPr>
        <w:t>为本单位的合法代理人，就</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rPr>
        <w:t>投标及参加项目谈判，以本单位名义处理一切与之有关的事务。</w:t>
      </w:r>
    </w:p>
    <w:p w14:paraId="5DC0AB95">
      <w:pPr>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本授权书于</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日签字生效，特此声明。</w:t>
      </w:r>
    </w:p>
    <w:p w14:paraId="2124F2CF">
      <w:pPr>
        <w:pStyle w:val="54"/>
        <w:spacing w:line="500" w:lineRule="atLeast"/>
        <w:ind w:firstLine="3517" w:firstLineChars="1675"/>
        <w:rPr>
          <w:rFonts w:hint="eastAsia" w:ascii="宋体" w:hAnsi="宋体" w:eastAsia="宋体" w:cs="宋体"/>
          <w:color w:val="auto"/>
          <w:sz w:val="21"/>
          <w:szCs w:val="21"/>
          <w:highlight w:val="none"/>
        </w:rPr>
      </w:pPr>
    </w:p>
    <w:p w14:paraId="68CDC355">
      <w:pPr>
        <w:pStyle w:val="54"/>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投标人名称（加盖公章）：</w:t>
      </w:r>
    </w:p>
    <w:p w14:paraId="76991327">
      <w:pPr>
        <w:pStyle w:val="54"/>
        <w:spacing w:line="500" w:lineRule="atLeast"/>
        <w:ind w:firstLine="3517" w:firstLineChars="167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法定代表人签字（签名或盖私章）：</w:t>
      </w:r>
    </w:p>
    <w:p w14:paraId="389E36C5">
      <w:pPr>
        <w:pStyle w:val="54"/>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被授权人签字：</w:t>
      </w:r>
    </w:p>
    <w:p w14:paraId="22578C16">
      <w:pPr>
        <w:pStyle w:val="54"/>
        <w:spacing w:line="500" w:lineRule="atLeast"/>
        <w:ind w:firstLine="3517" w:firstLineChars="167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职务：</w:t>
      </w:r>
    </w:p>
    <w:p w14:paraId="4AEAA685">
      <w:pPr>
        <w:pStyle w:val="54"/>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移动电话： </w:t>
      </w:r>
    </w:p>
    <w:p w14:paraId="42DBBB50">
      <w:pPr>
        <w:pStyle w:val="54"/>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55C08E64">
      <w:pPr>
        <w:pStyle w:val="54"/>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邮箱：                          </w:t>
      </w:r>
    </w:p>
    <w:p w14:paraId="06892800">
      <w:pPr>
        <w:pStyle w:val="54"/>
        <w:spacing w:line="500" w:lineRule="atLeast"/>
        <w:ind w:firstLine="3507" w:firstLineChars="16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  年  月  日</w:t>
      </w:r>
    </w:p>
    <w:p w14:paraId="38715A13">
      <w:pPr>
        <w:pStyle w:val="54"/>
        <w:spacing w:line="460" w:lineRule="exact"/>
        <w:ind w:firstLine="433"/>
        <w:rPr>
          <w:rFonts w:hint="eastAsia" w:ascii="宋体" w:hAnsi="宋体" w:eastAsia="宋体" w:cs="宋体"/>
          <w:color w:val="auto"/>
          <w:sz w:val="21"/>
          <w:szCs w:val="21"/>
          <w:highlight w:val="none"/>
        </w:rPr>
      </w:pPr>
    </w:p>
    <w:p w14:paraId="407ABE94">
      <w:pPr>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须附：被授权人身份证复印件。</w:t>
      </w:r>
    </w:p>
    <w:tbl>
      <w:tblPr>
        <w:tblStyle w:val="36"/>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14:paraId="4F5ED05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14:paraId="1FD9AC00">
            <w:pPr>
              <w:pStyle w:val="54"/>
              <w:spacing w:line="4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正面</w:t>
            </w:r>
          </w:p>
        </w:tc>
        <w:tc>
          <w:tcPr>
            <w:tcW w:w="4232" w:type="dxa"/>
            <w:vAlign w:val="center"/>
          </w:tcPr>
          <w:p w14:paraId="433E5DA4">
            <w:pPr>
              <w:pStyle w:val="54"/>
              <w:spacing w:line="4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背面</w:t>
            </w:r>
          </w:p>
        </w:tc>
      </w:tr>
    </w:tbl>
    <w:p w14:paraId="68805503">
      <w:pPr>
        <w:adjustRightInd/>
        <w:snapToGrid/>
        <w:spacing w:line="276" w:lineRule="auto"/>
        <w:rPr>
          <w:rFonts w:hint="eastAsia" w:ascii="宋体" w:hAnsi="宋体" w:eastAsia="宋体" w:cs="宋体"/>
          <w:color w:val="auto"/>
          <w:highlight w:val="none"/>
        </w:rPr>
      </w:pPr>
      <w:bookmarkStart w:id="165" w:name="_Toc22486"/>
      <w:r>
        <w:rPr>
          <w:rFonts w:hint="eastAsia" w:ascii="宋体" w:hAnsi="宋体" w:eastAsia="宋体" w:cs="宋体"/>
          <w:color w:val="auto"/>
          <w:szCs w:val="21"/>
          <w:highlight w:val="none"/>
        </w:rPr>
        <w:br w:type="page"/>
      </w:r>
    </w:p>
    <w:p w14:paraId="14DEE583">
      <w:pPr>
        <w:pStyle w:val="5"/>
        <w:widowControl w:val="0"/>
        <w:overflowPunct w:val="0"/>
        <w:spacing w:line="240" w:lineRule="auto"/>
        <w:rPr>
          <w:rFonts w:hint="eastAsia" w:ascii="宋体" w:hAnsi="宋体" w:eastAsia="宋体" w:cs="宋体"/>
          <w:color w:val="auto"/>
          <w:sz w:val="21"/>
          <w:szCs w:val="21"/>
          <w:highlight w:val="none"/>
        </w:rPr>
      </w:pPr>
      <w:bookmarkStart w:id="166" w:name="_Toc30038"/>
      <w:r>
        <w:rPr>
          <w:rFonts w:hint="eastAsia" w:ascii="宋体" w:hAnsi="宋体" w:eastAsia="宋体" w:cs="宋体"/>
          <w:color w:val="auto"/>
          <w:sz w:val="21"/>
          <w:szCs w:val="21"/>
          <w:highlight w:val="none"/>
        </w:rPr>
        <w:t>附件</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.资格申明</w:t>
      </w:r>
      <w:bookmarkEnd w:id="166"/>
    </w:p>
    <w:p w14:paraId="25D718D8">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资格申明</w:t>
      </w:r>
    </w:p>
    <w:p w14:paraId="3F5E78B3">
      <w:pPr>
        <w:pStyle w:val="54"/>
        <w:spacing w:line="420" w:lineRule="atLeas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xxx   </w:t>
      </w:r>
      <w:r>
        <w:rPr>
          <w:rFonts w:hint="eastAsia" w:ascii="宋体" w:hAnsi="宋体" w:eastAsia="宋体" w:cs="宋体"/>
          <w:color w:val="auto"/>
          <w:sz w:val="21"/>
          <w:szCs w:val="21"/>
          <w:highlight w:val="none"/>
        </w:rPr>
        <w:t>公司：</w:t>
      </w:r>
    </w:p>
    <w:p w14:paraId="610B53F3">
      <w:pPr>
        <w:ind w:firstLine="420" w:firstLineChars="200"/>
        <w:rPr>
          <w:rFonts w:hint="eastAsia" w:ascii="宋体" w:hAnsi="宋体" w:eastAsia="宋体" w:cs="宋体"/>
          <w:color w:val="auto"/>
          <w:szCs w:val="21"/>
          <w:highlight w:val="none"/>
        </w:rPr>
      </w:pPr>
    </w:p>
    <w:p w14:paraId="0D3891F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我方愿响应贵方关于（项目名称：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）的投标邀请，参与投标，提供用户需求书中规定的货物及相关服务，并按采购文件要求提交所附资格文件且声明和保证如下：</w:t>
      </w:r>
    </w:p>
    <w:p w14:paraId="7311F19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一、我方具备投标人邀请中所要求得资格条件，已清楚采购文件所有要求及有关规定；并承诺参加本次采购活动中，如有违法、违规、弄虚作假行为，所造成的损失、不良后果及法律责任，一律由我方承担；</w:t>
      </w:r>
    </w:p>
    <w:p w14:paraId="3D48198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二、我方依法注册，在法律上、财务上和运作上完全独立于</w:t>
      </w:r>
      <w:r>
        <w:rPr>
          <w:rFonts w:hint="eastAsia" w:ascii="宋体" w:hAnsi="宋体" w:eastAsia="宋体" w:cs="宋体"/>
          <w:color w:val="auto"/>
          <w:szCs w:val="21"/>
          <w:highlight w:val="none"/>
          <w:u w:val="single"/>
        </w:rPr>
        <w:t xml:space="preserve">  xxxx   </w:t>
      </w:r>
      <w:r>
        <w:rPr>
          <w:rFonts w:hint="eastAsia" w:ascii="宋体" w:hAnsi="宋体" w:eastAsia="宋体" w:cs="宋体"/>
          <w:color w:val="auto"/>
          <w:szCs w:val="21"/>
          <w:highlight w:val="none"/>
        </w:rPr>
        <w:t>公司（采购人）及</w:t>
      </w:r>
      <w:r>
        <w:rPr>
          <w:rFonts w:hint="eastAsia" w:ascii="宋体" w:hAnsi="宋体" w:eastAsia="宋体" w:cs="宋体"/>
          <w:color w:val="auto"/>
          <w:szCs w:val="21"/>
          <w:highlight w:val="none"/>
          <w:u w:val="single"/>
        </w:rPr>
        <w:t xml:space="preserve">    xxx   </w:t>
      </w:r>
      <w:r>
        <w:rPr>
          <w:rFonts w:hint="eastAsia" w:ascii="宋体" w:hAnsi="宋体" w:eastAsia="宋体" w:cs="宋体"/>
          <w:color w:val="auto"/>
          <w:szCs w:val="21"/>
          <w:highlight w:val="none"/>
        </w:rPr>
        <w:t>公司（采购代理机构）。</w:t>
      </w:r>
    </w:p>
    <w:p w14:paraId="2E216BAB">
      <w:pPr>
        <w:pStyle w:val="54"/>
        <w:spacing w:line="500" w:lineRule="atLeast"/>
        <w:ind w:firstLine="3517" w:firstLineChars="1675"/>
        <w:rPr>
          <w:rFonts w:hint="eastAsia" w:ascii="宋体" w:hAnsi="宋体" w:eastAsia="宋体" w:cs="宋体"/>
          <w:color w:val="auto"/>
          <w:sz w:val="21"/>
          <w:szCs w:val="21"/>
          <w:highlight w:val="none"/>
        </w:rPr>
      </w:pPr>
    </w:p>
    <w:p w14:paraId="50F5FE14">
      <w:pPr>
        <w:pStyle w:val="54"/>
        <w:spacing w:line="500" w:lineRule="atLeast"/>
        <w:ind w:firstLine="3517" w:firstLineChars="1675"/>
        <w:rPr>
          <w:rFonts w:hint="eastAsia" w:ascii="宋体" w:hAnsi="宋体" w:eastAsia="宋体" w:cs="宋体"/>
          <w:color w:val="auto"/>
          <w:sz w:val="21"/>
          <w:szCs w:val="21"/>
          <w:highlight w:val="none"/>
        </w:rPr>
      </w:pPr>
    </w:p>
    <w:p w14:paraId="3A066C10">
      <w:pPr>
        <w:pStyle w:val="54"/>
        <w:spacing w:line="50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投标人名称（加盖公章）：</w:t>
      </w:r>
    </w:p>
    <w:p w14:paraId="63B2C0D2">
      <w:pPr>
        <w:pStyle w:val="54"/>
        <w:spacing w:line="50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法定代表人签字（签名或盖私章）：</w:t>
      </w:r>
    </w:p>
    <w:p w14:paraId="15D135EC">
      <w:pPr>
        <w:pStyle w:val="54"/>
        <w:spacing w:line="50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期：年月日</w:t>
      </w:r>
    </w:p>
    <w:p w14:paraId="4BEF5C5B">
      <w:pPr>
        <w:pStyle w:val="54"/>
        <w:spacing w:line="50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56458A72">
      <w:pPr>
        <w:pStyle w:val="5"/>
        <w:widowControl w:val="0"/>
        <w:overflowPunct w:val="0"/>
        <w:spacing w:line="240" w:lineRule="auto"/>
        <w:rPr>
          <w:rFonts w:hint="eastAsia" w:ascii="宋体" w:hAnsi="宋体" w:eastAsia="宋体" w:cs="宋体"/>
          <w:color w:val="auto"/>
          <w:sz w:val="21"/>
          <w:szCs w:val="21"/>
          <w:highlight w:val="none"/>
        </w:rPr>
      </w:pPr>
      <w:bookmarkStart w:id="167" w:name="_Toc10305"/>
      <w:r>
        <w:rPr>
          <w:rFonts w:hint="eastAsia" w:ascii="宋体" w:hAnsi="宋体" w:eastAsia="宋体" w:cs="宋体"/>
          <w:color w:val="auto"/>
          <w:sz w:val="21"/>
          <w:szCs w:val="21"/>
          <w:highlight w:val="none"/>
        </w:rPr>
        <w:t>附件</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.营业执照</w:t>
      </w:r>
      <w:bookmarkEnd w:id="167"/>
    </w:p>
    <w:p w14:paraId="491E9C17">
      <w:pPr>
        <w:jc w:val="center"/>
        <w:rPr>
          <w:rFonts w:hint="eastAsia" w:ascii="宋体" w:hAnsi="宋体" w:eastAsia="宋体" w:cs="宋体"/>
          <w:color w:val="auto"/>
          <w:sz w:val="28"/>
          <w:szCs w:val="28"/>
          <w:highlight w:val="none"/>
        </w:rPr>
      </w:pPr>
      <w:bookmarkStart w:id="168" w:name="_Toc17470"/>
      <w:bookmarkStart w:id="169" w:name="_Toc4926"/>
      <w:bookmarkStart w:id="170" w:name="_Toc1511"/>
      <w:bookmarkStart w:id="171" w:name="_Toc24210"/>
      <w:bookmarkStart w:id="172" w:name="_Toc5919"/>
      <w:r>
        <w:rPr>
          <w:rFonts w:hint="eastAsia" w:ascii="宋体" w:hAnsi="宋体" w:eastAsia="宋体" w:cs="宋体"/>
          <w:color w:val="auto"/>
          <w:sz w:val="28"/>
          <w:szCs w:val="28"/>
          <w:highlight w:val="none"/>
        </w:rPr>
        <w:t>营业执照</w:t>
      </w:r>
      <w:bookmarkEnd w:id="168"/>
      <w:bookmarkEnd w:id="169"/>
      <w:bookmarkEnd w:id="170"/>
      <w:bookmarkEnd w:id="171"/>
      <w:bookmarkEnd w:id="172"/>
    </w:p>
    <w:p w14:paraId="2EB0C704">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2AE4CA3B">
      <w:pPr>
        <w:pStyle w:val="5"/>
        <w:widowControl w:val="0"/>
        <w:overflowPunct w:val="0"/>
        <w:spacing w:line="240" w:lineRule="auto"/>
        <w:rPr>
          <w:rFonts w:hint="eastAsia" w:ascii="宋体" w:hAnsi="宋体" w:eastAsia="宋体" w:cs="宋体"/>
          <w:color w:val="auto"/>
          <w:sz w:val="21"/>
          <w:szCs w:val="21"/>
          <w:highlight w:val="none"/>
        </w:rPr>
      </w:pPr>
      <w:bookmarkStart w:id="173" w:name="_Toc30816"/>
      <w:r>
        <w:rPr>
          <w:rFonts w:hint="eastAsia" w:ascii="宋体" w:hAnsi="宋体" w:eastAsia="宋体" w:cs="宋体"/>
          <w:color w:val="auto"/>
          <w:sz w:val="21"/>
          <w:szCs w:val="21"/>
          <w:highlight w:val="none"/>
        </w:rPr>
        <w:t>附件</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.相关资质证明文件</w:t>
      </w:r>
      <w:bookmarkEnd w:id="173"/>
    </w:p>
    <w:p w14:paraId="400A1BE9">
      <w:pPr>
        <w:rPr>
          <w:rFonts w:hint="eastAsia" w:ascii="宋体" w:hAnsi="宋体" w:eastAsia="宋体" w:cs="宋体"/>
          <w:color w:val="auto"/>
          <w:highlight w:val="none"/>
        </w:rPr>
      </w:pPr>
    </w:p>
    <w:p w14:paraId="760D64C2">
      <w:pPr>
        <w:jc w:val="center"/>
        <w:rPr>
          <w:rFonts w:hint="eastAsia" w:ascii="宋体" w:hAnsi="宋体" w:eastAsia="宋体" w:cs="宋体"/>
          <w:color w:val="auto"/>
          <w:sz w:val="28"/>
          <w:szCs w:val="28"/>
          <w:highlight w:val="none"/>
        </w:rPr>
      </w:pPr>
      <w:bookmarkStart w:id="174" w:name="_Toc16698"/>
      <w:bookmarkStart w:id="175" w:name="_Toc16233"/>
      <w:bookmarkStart w:id="176" w:name="_Toc13458"/>
      <w:bookmarkStart w:id="177" w:name="_Toc9592"/>
      <w:bookmarkStart w:id="178" w:name="_Toc30307"/>
      <w:r>
        <w:rPr>
          <w:rFonts w:hint="eastAsia" w:ascii="宋体" w:hAnsi="宋体" w:eastAsia="宋体" w:cs="宋体"/>
          <w:color w:val="auto"/>
          <w:sz w:val="28"/>
          <w:szCs w:val="28"/>
          <w:highlight w:val="none"/>
        </w:rPr>
        <w:t>相关资质证明文件</w:t>
      </w:r>
      <w:bookmarkEnd w:id="165"/>
      <w:bookmarkEnd w:id="174"/>
      <w:bookmarkEnd w:id="175"/>
      <w:bookmarkEnd w:id="176"/>
      <w:bookmarkEnd w:id="177"/>
      <w:bookmarkEnd w:id="178"/>
    </w:p>
    <w:p w14:paraId="13DE96A6">
      <w:pPr>
        <w:numPr>
          <w:ilvl w:val="0"/>
          <w:numId w:val="16"/>
        </w:numPr>
        <w:tabs>
          <w:tab w:val="left" w:pos="1680"/>
        </w:tabs>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符合投标邀请书“投标人资格要求”其他要求对应的证明文件；</w:t>
      </w:r>
    </w:p>
    <w:p w14:paraId="7F0A04D0">
      <w:pPr>
        <w:numPr>
          <w:ilvl w:val="0"/>
          <w:numId w:val="16"/>
        </w:numPr>
        <w:tabs>
          <w:tab w:val="left" w:pos="1680"/>
        </w:tabs>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投标人认为必要的文件。</w:t>
      </w:r>
      <w:r>
        <w:rPr>
          <w:rFonts w:hint="eastAsia" w:ascii="宋体" w:hAnsi="宋体" w:eastAsia="宋体" w:cs="宋体"/>
          <w:b/>
          <w:bCs/>
          <w:color w:val="auto"/>
          <w:szCs w:val="21"/>
          <w:highlight w:val="none"/>
        </w:rPr>
        <w:br w:type="page"/>
      </w:r>
    </w:p>
    <w:p w14:paraId="0DA4B005">
      <w:pPr>
        <w:pStyle w:val="5"/>
        <w:widowControl w:val="0"/>
        <w:overflowPunct w:val="0"/>
        <w:spacing w:line="240" w:lineRule="auto"/>
        <w:rPr>
          <w:rFonts w:hint="eastAsia" w:ascii="宋体" w:hAnsi="宋体" w:eastAsia="宋体" w:cs="宋体"/>
          <w:color w:val="auto"/>
          <w:highlight w:val="none"/>
        </w:rPr>
      </w:pPr>
      <w:bookmarkStart w:id="179" w:name="_Toc3091"/>
      <w:r>
        <w:rPr>
          <w:rFonts w:hint="eastAsia" w:ascii="宋体" w:hAnsi="宋体" w:eastAsia="宋体" w:cs="宋体"/>
          <w:color w:val="auto"/>
          <w:sz w:val="21"/>
          <w:szCs w:val="21"/>
          <w:highlight w:val="none"/>
        </w:rPr>
        <w:t>附件</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.在经营活动中没有重大违法记录的书面声明格式</w:t>
      </w:r>
      <w:bookmarkEnd w:id="179"/>
    </w:p>
    <w:p w14:paraId="59C55493">
      <w:pPr>
        <w:rPr>
          <w:rFonts w:hint="eastAsia" w:ascii="宋体" w:hAnsi="宋体" w:eastAsia="宋体" w:cs="宋体"/>
          <w:color w:val="auto"/>
          <w:highlight w:val="none"/>
        </w:rPr>
      </w:pPr>
    </w:p>
    <w:p w14:paraId="758607B8">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投标人在经营活动中前三年内未有重大违法记录、没有不良信用记录的声明函</w:t>
      </w:r>
    </w:p>
    <w:p w14:paraId="2A6E8C55">
      <w:pPr>
        <w:ind w:firstLine="420" w:firstLineChars="200"/>
        <w:rPr>
          <w:rFonts w:hint="eastAsia" w:ascii="宋体" w:hAnsi="宋体" w:eastAsia="宋体" w:cs="宋体"/>
          <w:color w:val="auto"/>
          <w:szCs w:val="21"/>
          <w:highlight w:val="none"/>
        </w:rPr>
      </w:pPr>
    </w:p>
    <w:p w14:paraId="709AD643">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广东志合项目管理有限公司</w:t>
      </w:r>
      <w:r>
        <w:rPr>
          <w:rFonts w:hint="eastAsia" w:ascii="宋体" w:hAnsi="宋体" w:eastAsia="宋体" w:cs="宋体"/>
          <w:color w:val="auto"/>
          <w:szCs w:val="21"/>
          <w:highlight w:val="none"/>
        </w:rPr>
        <w:t>：</w:t>
      </w:r>
    </w:p>
    <w:p w14:paraId="03ED3595">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我公司郑重承诺：在参加“</w:t>
      </w:r>
      <w:r>
        <w:rPr>
          <w:rFonts w:hint="eastAsia" w:ascii="宋体" w:hAnsi="宋体" w:eastAsia="宋体" w:cs="宋体"/>
          <w:color w:val="auto"/>
          <w:szCs w:val="21"/>
          <w:highlight w:val="none"/>
          <w:u w:val="single"/>
        </w:rPr>
        <w:t xml:space="preserve">       （采购项目名称）</w:t>
      </w:r>
      <w:r>
        <w:rPr>
          <w:rFonts w:hint="eastAsia" w:ascii="宋体" w:hAnsi="宋体" w:eastAsia="宋体" w:cs="宋体"/>
          <w:color w:val="auto"/>
          <w:szCs w:val="21"/>
          <w:highlight w:val="none"/>
        </w:rPr>
        <w:t>” （项目编号:XX）采购活动前三年内（设立不满三年的从设立之日计算），在经营活动中没有重大违法记录；至本项目提交投标文件截止时间止未被列入“信用中国”网站失信被执行人、重大税收违法失信主体、政府采购严重违法失信行为记录名单。</w:t>
      </w:r>
    </w:p>
    <w:p w14:paraId="1B9D94C8">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我公司以上承诺均为真实有效，绝无任何虚假、伪造的成份，否则，愿承担相应的后果和法律责任。</w:t>
      </w:r>
    </w:p>
    <w:p w14:paraId="5C6B2652">
      <w:pPr>
        <w:ind w:firstLine="420" w:firstLineChars="200"/>
        <w:rPr>
          <w:rFonts w:hint="eastAsia" w:ascii="宋体" w:hAnsi="宋体" w:eastAsia="宋体" w:cs="宋体"/>
          <w:color w:val="auto"/>
          <w:szCs w:val="21"/>
          <w:highlight w:val="none"/>
        </w:rPr>
      </w:pPr>
    </w:p>
    <w:p w14:paraId="7CE7F18F">
      <w:pPr>
        <w:rPr>
          <w:rFonts w:hint="eastAsia" w:ascii="宋体" w:hAnsi="宋体" w:eastAsia="宋体" w:cs="宋体"/>
          <w:color w:val="auto"/>
          <w:szCs w:val="21"/>
          <w:highlight w:val="none"/>
        </w:rPr>
      </w:pPr>
    </w:p>
    <w:p w14:paraId="33386F5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投标人名称（盖章）：</w:t>
      </w:r>
    </w:p>
    <w:p w14:paraId="4DD19489">
      <w:pPr>
        <w:rPr>
          <w:rFonts w:hint="eastAsia" w:ascii="宋体" w:hAnsi="宋体" w:eastAsia="宋体" w:cs="宋体"/>
          <w:color w:val="auto"/>
          <w:szCs w:val="21"/>
          <w:highlight w:val="none"/>
        </w:rPr>
      </w:pPr>
    </w:p>
    <w:p w14:paraId="3A39070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0CA751FA">
      <w:pPr>
        <w:rPr>
          <w:rFonts w:hint="eastAsia" w:ascii="宋体" w:hAnsi="宋体" w:eastAsia="宋体" w:cs="宋体"/>
          <w:color w:val="auto"/>
          <w:highlight w:val="none"/>
        </w:rPr>
      </w:pPr>
    </w:p>
    <w:p w14:paraId="0E6A2675">
      <w:pPr>
        <w:rPr>
          <w:rFonts w:hint="eastAsia" w:ascii="宋体" w:hAnsi="宋体" w:eastAsia="宋体" w:cs="宋体"/>
          <w:color w:val="auto"/>
          <w:szCs w:val="21"/>
          <w:highlight w:val="none"/>
        </w:rPr>
      </w:pPr>
    </w:p>
    <w:p w14:paraId="56E67A19">
      <w:pPr>
        <w:pStyle w:val="13"/>
        <w:rPr>
          <w:rFonts w:hint="eastAsia" w:ascii="宋体" w:hAnsi="宋体" w:eastAsia="宋体" w:cs="宋体"/>
          <w:color w:val="auto"/>
          <w:sz w:val="21"/>
          <w:szCs w:val="21"/>
          <w:highlight w:val="none"/>
        </w:rPr>
      </w:pPr>
    </w:p>
    <w:p w14:paraId="1CD697B5">
      <w:pPr>
        <w:rPr>
          <w:rFonts w:hint="eastAsia" w:ascii="宋体" w:hAnsi="宋体" w:eastAsia="宋体" w:cs="宋体"/>
          <w:color w:val="auto"/>
          <w:szCs w:val="21"/>
          <w:highlight w:val="none"/>
        </w:rPr>
      </w:pPr>
    </w:p>
    <w:p w14:paraId="796B5D97">
      <w:pPr>
        <w:pStyle w:val="13"/>
        <w:rPr>
          <w:rFonts w:hint="eastAsia" w:ascii="宋体" w:hAnsi="宋体" w:eastAsia="宋体" w:cs="宋体"/>
          <w:color w:val="auto"/>
          <w:sz w:val="21"/>
          <w:szCs w:val="21"/>
          <w:highlight w:val="none"/>
        </w:rPr>
      </w:pPr>
    </w:p>
    <w:p w14:paraId="5B20A1AC">
      <w:pPr>
        <w:rPr>
          <w:rFonts w:hint="eastAsia" w:ascii="宋体" w:hAnsi="宋体" w:eastAsia="宋体" w:cs="宋体"/>
          <w:color w:val="auto"/>
          <w:szCs w:val="21"/>
          <w:highlight w:val="none"/>
        </w:rPr>
      </w:pPr>
    </w:p>
    <w:p w14:paraId="0830D7DB">
      <w:pPr>
        <w:pStyle w:val="13"/>
        <w:rPr>
          <w:rFonts w:hint="eastAsia" w:ascii="宋体" w:hAnsi="宋体" w:eastAsia="宋体" w:cs="宋体"/>
          <w:color w:val="auto"/>
          <w:sz w:val="21"/>
          <w:szCs w:val="21"/>
          <w:highlight w:val="none"/>
        </w:rPr>
      </w:pPr>
    </w:p>
    <w:p w14:paraId="2CD1D951">
      <w:pPr>
        <w:rPr>
          <w:rFonts w:hint="eastAsia" w:ascii="宋体" w:hAnsi="宋体" w:eastAsia="宋体" w:cs="宋体"/>
          <w:color w:val="auto"/>
          <w:szCs w:val="21"/>
          <w:highlight w:val="none"/>
        </w:rPr>
      </w:pPr>
    </w:p>
    <w:p w14:paraId="7B7E3FDA">
      <w:pPr>
        <w:pStyle w:val="13"/>
        <w:rPr>
          <w:rFonts w:hint="eastAsia" w:ascii="宋体" w:hAnsi="宋体" w:eastAsia="宋体" w:cs="宋体"/>
          <w:color w:val="auto"/>
          <w:sz w:val="21"/>
          <w:szCs w:val="21"/>
          <w:highlight w:val="none"/>
        </w:rPr>
      </w:pPr>
    </w:p>
    <w:p w14:paraId="6A616AAC">
      <w:pPr>
        <w:rPr>
          <w:rFonts w:hint="eastAsia" w:ascii="宋体" w:hAnsi="宋体" w:eastAsia="宋体" w:cs="宋体"/>
          <w:color w:val="auto"/>
          <w:szCs w:val="21"/>
          <w:highlight w:val="none"/>
        </w:rPr>
      </w:pPr>
    </w:p>
    <w:p w14:paraId="0207D431">
      <w:pPr>
        <w:pStyle w:val="13"/>
        <w:rPr>
          <w:rFonts w:hint="eastAsia" w:ascii="宋体" w:hAnsi="宋体" w:eastAsia="宋体" w:cs="宋体"/>
          <w:color w:val="auto"/>
          <w:sz w:val="21"/>
          <w:szCs w:val="21"/>
          <w:highlight w:val="none"/>
        </w:rPr>
      </w:pPr>
    </w:p>
    <w:p w14:paraId="4D91B3E0">
      <w:pPr>
        <w:rPr>
          <w:rFonts w:hint="eastAsia" w:ascii="宋体" w:hAnsi="宋体" w:eastAsia="宋体" w:cs="宋体"/>
          <w:color w:val="auto"/>
          <w:highlight w:val="none"/>
        </w:rPr>
      </w:pPr>
    </w:p>
    <w:p w14:paraId="40EDB9CA">
      <w:pPr>
        <w:pStyle w:val="5"/>
        <w:widowControl w:val="0"/>
        <w:overflowPunct w:val="0"/>
        <w:spacing w:line="240" w:lineRule="auto"/>
        <w:rPr>
          <w:rFonts w:hint="eastAsia" w:ascii="宋体" w:hAnsi="宋体" w:eastAsia="宋体" w:cs="宋体"/>
          <w:color w:val="auto"/>
          <w:highlight w:val="none"/>
        </w:rPr>
      </w:pPr>
      <w:bookmarkStart w:id="180" w:name="_Toc18616"/>
      <w:r>
        <w:rPr>
          <w:rFonts w:hint="eastAsia" w:ascii="宋体" w:hAnsi="宋体" w:eastAsia="宋体" w:cs="宋体"/>
          <w:color w:val="auto"/>
          <w:sz w:val="21"/>
          <w:szCs w:val="21"/>
          <w:highlight w:val="none"/>
        </w:rPr>
        <w:t>附件1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.承诺书格式</w:t>
      </w:r>
      <w:bookmarkEnd w:id="180"/>
    </w:p>
    <w:p w14:paraId="7150253C">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承诺书</w:t>
      </w:r>
    </w:p>
    <w:p w14:paraId="60E1B5E7">
      <w:pPr>
        <w:pStyle w:val="54"/>
        <w:spacing w:line="420" w:lineRule="atLeas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广东志合项目管理有限公司</w:t>
      </w:r>
      <w:r>
        <w:rPr>
          <w:rFonts w:hint="eastAsia" w:ascii="宋体" w:hAnsi="宋体" w:eastAsia="宋体" w:cs="宋体"/>
          <w:color w:val="auto"/>
          <w:sz w:val="21"/>
          <w:szCs w:val="21"/>
          <w:highlight w:val="none"/>
        </w:rPr>
        <w:t>：</w:t>
      </w:r>
    </w:p>
    <w:p w14:paraId="3205055E">
      <w:pPr>
        <w:jc w:val="center"/>
        <w:rPr>
          <w:rFonts w:hint="eastAsia" w:ascii="宋体" w:hAnsi="宋体" w:eastAsia="宋体" w:cs="宋体"/>
          <w:color w:val="auto"/>
          <w:szCs w:val="21"/>
          <w:highlight w:val="none"/>
        </w:rPr>
      </w:pPr>
    </w:p>
    <w:p w14:paraId="5F87D5F8">
      <w:pPr>
        <w:pStyle w:val="54"/>
        <w:spacing w:line="420" w:lineRule="exac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我方已完整阅读了</w:t>
      </w:r>
      <w:r>
        <w:rPr>
          <w:rFonts w:hint="eastAsia" w:ascii="宋体" w:hAnsi="宋体" w:eastAsia="宋体" w:cs="宋体"/>
          <w:color w:val="auto"/>
          <w:sz w:val="21"/>
          <w:szCs w:val="21"/>
          <w:highlight w:val="none"/>
          <w:u w:val="single"/>
        </w:rPr>
        <w:t xml:space="preserve">  （项目名称）     </w:t>
      </w:r>
      <w:r>
        <w:rPr>
          <w:rFonts w:hint="eastAsia" w:ascii="宋体" w:hAnsi="宋体" w:eastAsia="宋体" w:cs="宋体"/>
          <w:color w:val="auto"/>
          <w:sz w:val="21"/>
          <w:szCs w:val="21"/>
          <w:highlight w:val="none"/>
        </w:rPr>
        <w:t>项目（项目编号：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）采购文件的所有内容（包括澄清，以及所有已提供的参考资料和有关附件），并完全理解上述文件所表达的意思，该项目递交投标文件时间截止后，我方承诺不再对上述文件内容有异议。</w:t>
      </w:r>
      <w:r>
        <w:rPr>
          <w:rFonts w:hint="eastAsia" w:ascii="宋体" w:hAnsi="宋体" w:eastAsia="宋体" w:cs="宋体"/>
          <w:color w:val="auto"/>
          <w:sz w:val="21"/>
          <w:szCs w:val="21"/>
          <w:highlight w:val="none"/>
        </w:rPr>
        <w:cr/>
      </w:r>
    </w:p>
    <w:p w14:paraId="6FCC4EA8">
      <w:pPr>
        <w:pStyle w:val="54"/>
        <w:spacing w:line="420" w:lineRule="exact"/>
        <w:ind w:firstLine="433"/>
        <w:rPr>
          <w:rFonts w:hint="eastAsia" w:ascii="宋体" w:hAnsi="宋体" w:eastAsia="宋体" w:cs="宋体"/>
          <w:color w:val="auto"/>
          <w:sz w:val="21"/>
          <w:szCs w:val="21"/>
          <w:highlight w:val="none"/>
        </w:rPr>
      </w:pPr>
    </w:p>
    <w:p w14:paraId="69E4832B">
      <w:pPr>
        <w:ind w:right="56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投标人名称（加盖公章）：</w:t>
      </w:r>
    </w:p>
    <w:p w14:paraId="4A9F6BC0">
      <w:pPr>
        <w:ind w:right="56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法定代表人或被授权人（签名或盖私章）：</w:t>
      </w:r>
    </w:p>
    <w:p w14:paraId="3047B5D8">
      <w:pPr>
        <w:ind w:right="56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p>
    <w:p w14:paraId="1CE0D4E1">
      <w:pPr>
        <w:rPr>
          <w:rFonts w:hint="eastAsia" w:ascii="宋体" w:hAnsi="宋体" w:eastAsia="宋体" w:cs="宋体"/>
          <w:color w:val="auto"/>
          <w:highlight w:val="none"/>
        </w:rPr>
      </w:pPr>
    </w:p>
    <w:p w14:paraId="6502AB0E">
      <w:pPr>
        <w:rPr>
          <w:rFonts w:hint="eastAsia" w:ascii="宋体" w:hAnsi="宋体" w:eastAsia="宋体" w:cs="宋体"/>
          <w:color w:val="auto"/>
          <w:szCs w:val="21"/>
          <w:highlight w:val="none"/>
        </w:rPr>
      </w:pPr>
    </w:p>
    <w:p w14:paraId="3D3505C4">
      <w:pPr>
        <w:pStyle w:val="13"/>
        <w:rPr>
          <w:rFonts w:hint="eastAsia" w:ascii="宋体" w:hAnsi="宋体" w:eastAsia="宋体" w:cs="宋体"/>
          <w:color w:val="auto"/>
          <w:sz w:val="21"/>
          <w:szCs w:val="21"/>
          <w:highlight w:val="none"/>
        </w:rPr>
      </w:pPr>
    </w:p>
    <w:p w14:paraId="5C259716">
      <w:pPr>
        <w:rPr>
          <w:rFonts w:hint="eastAsia" w:ascii="宋体" w:hAnsi="宋体" w:eastAsia="宋体" w:cs="宋体"/>
          <w:color w:val="auto"/>
          <w:szCs w:val="21"/>
          <w:highlight w:val="none"/>
        </w:rPr>
      </w:pPr>
    </w:p>
    <w:p w14:paraId="26D48219">
      <w:pPr>
        <w:pStyle w:val="13"/>
        <w:rPr>
          <w:rFonts w:hint="eastAsia" w:ascii="宋体" w:hAnsi="宋体" w:eastAsia="宋体" w:cs="宋体"/>
          <w:color w:val="auto"/>
          <w:sz w:val="21"/>
          <w:szCs w:val="21"/>
          <w:highlight w:val="none"/>
        </w:rPr>
      </w:pPr>
    </w:p>
    <w:p w14:paraId="7CB927C5">
      <w:pPr>
        <w:rPr>
          <w:rFonts w:hint="eastAsia" w:ascii="宋体" w:hAnsi="宋体" w:eastAsia="宋体" w:cs="宋体"/>
          <w:color w:val="auto"/>
          <w:szCs w:val="21"/>
          <w:highlight w:val="none"/>
        </w:rPr>
      </w:pPr>
    </w:p>
    <w:p w14:paraId="0155AD4F">
      <w:pPr>
        <w:pStyle w:val="13"/>
        <w:rPr>
          <w:rFonts w:hint="eastAsia" w:ascii="宋体" w:hAnsi="宋体" w:eastAsia="宋体" w:cs="宋体"/>
          <w:color w:val="auto"/>
          <w:sz w:val="21"/>
          <w:szCs w:val="21"/>
          <w:highlight w:val="none"/>
        </w:rPr>
      </w:pPr>
    </w:p>
    <w:p w14:paraId="3F8910D5">
      <w:pPr>
        <w:rPr>
          <w:rFonts w:hint="eastAsia" w:ascii="宋体" w:hAnsi="宋体" w:eastAsia="宋体" w:cs="宋体"/>
          <w:color w:val="auto"/>
          <w:szCs w:val="21"/>
          <w:highlight w:val="none"/>
        </w:rPr>
      </w:pPr>
    </w:p>
    <w:p w14:paraId="7B600D7B">
      <w:pPr>
        <w:pStyle w:val="13"/>
        <w:rPr>
          <w:rFonts w:hint="eastAsia" w:ascii="宋体" w:hAnsi="宋体" w:eastAsia="宋体" w:cs="宋体"/>
          <w:color w:val="auto"/>
          <w:sz w:val="21"/>
          <w:szCs w:val="21"/>
          <w:highlight w:val="none"/>
        </w:rPr>
      </w:pPr>
    </w:p>
    <w:p w14:paraId="3F314AC9">
      <w:pPr>
        <w:rPr>
          <w:rFonts w:hint="eastAsia" w:ascii="宋体" w:hAnsi="宋体" w:eastAsia="宋体" w:cs="宋体"/>
          <w:color w:val="auto"/>
          <w:szCs w:val="21"/>
          <w:highlight w:val="none"/>
        </w:rPr>
      </w:pPr>
    </w:p>
    <w:p w14:paraId="7F525A9F">
      <w:pPr>
        <w:pStyle w:val="13"/>
        <w:rPr>
          <w:rFonts w:hint="eastAsia" w:ascii="宋体" w:hAnsi="宋体" w:eastAsia="宋体" w:cs="宋体"/>
          <w:color w:val="auto"/>
          <w:sz w:val="21"/>
          <w:szCs w:val="21"/>
          <w:highlight w:val="none"/>
        </w:rPr>
      </w:pPr>
    </w:p>
    <w:p w14:paraId="2F796CA2">
      <w:pPr>
        <w:rPr>
          <w:rFonts w:hint="eastAsia" w:ascii="宋体" w:hAnsi="宋体" w:eastAsia="宋体" w:cs="宋体"/>
          <w:color w:val="auto"/>
          <w:szCs w:val="21"/>
          <w:highlight w:val="none"/>
        </w:rPr>
      </w:pPr>
    </w:p>
    <w:p w14:paraId="1377C536">
      <w:pPr>
        <w:pStyle w:val="13"/>
        <w:rPr>
          <w:rFonts w:hint="eastAsia" w:ascii="宋体" w:hAnsi="宋体" w:eastAsia="宋体" w:cs="宋体"/>
          <w:color w:val="auto"/>
          <w:sz w:val="21"/>
          <w:szCs w:val="21"/>
          <w:highlight w:val="none"/>
        </w:rPr>
      </w:pPr>
    </w:p>
    <w:p w14:paraId="5629D486">
      <w:pPr>
        <w:rPr>
          <w:rFonts w:hint="eastAsia" w:ascii="宋体" w:hAnsi="宋体" w:eastAsia="宋体" w:cs="宋体"/>
          <w:color w:val="auto"/>
          <w:szCs w:val="21"/>
          <w:highlight w:val="none"/>
        </w:rPr>
      </w:pPr>
    </w:p>
    <w:p w14:paraId="41EA28FE">
      <w:pPr>
        <w:pStyle w:val="13"/>
        <w:rPr>
          <w:rFonts w:hint="eastAsia" w:ascii="宋体" w:hAnsi="宋体" w:eastAsia="宋体" w:cs="宋体"/>
          <w:color w:val="auto"/>
          <w:sz w:val="21"/>
          <w:szCs w:val="21"/>
          <w:highlight w:val="none"/>
        </w:rPr>
      </w:pPr>
    </w:p>
    <w:p w14:paraId="597CE2FC">
      <w:pPr>
        <w:rPr>
          <w:rFonts w:hint="eastAsia" w:ascii="宋体" w:hAnsi="宋体" w:eastAsia="宋体" w:cs="宋体"/>
          <w:color w:val="auto"/>
          <w:szCs w:val="21"/>
          <w:highlight w:val="none"/>
        </w:rPr>
      </w:pPr>
    </w:p>
    <w:p w14:paraId="63A4F79C">
      <w:pPr>
        <w:pStyle w:val="13"/>
        <w:rPr>
          <w:rFonts w:hint="eastAsia" w:ascii="宋体" w:hAnsi="宋体" w:eastAsia="宋体" w:cs="宋体"/>
          <w:color w:val="auto"/>
          <w:sz w:val="21"/>
          <w:szCs w:val="21"/>
          <w:highlight w:val="none"/>
        </w:rPr>
      </w:pPr>
    </w:p>
    <w:p w14:paraId="330CDE24">
      <w:pPr>
        <w:rPr>
          <w:rFonts w:hint="eastAsia" w:ascii="宋体" w:hAnsi="宋体" w:eastAsia="宋体" w:cs="宋体"/>
          <w:color w:val="auto"/>
          <w:highlight w:val="none"/>
        </w:rPr>
      </w:pPr>
    </w:p>
    <w:p w14:paraId="6360C70C">
      <w:pPr>
        <w:pStyle w:val="5"/>
        <w:widowControl w:val="0"/>
        <w:overflowPunct w:val="0"/>
        <w:spacing w:line="240" w:lineRule="auto"/>
        <w:rPr>
          <w:rFonts w:hint="eastAsia" w:ascii="宋体" w:hAnsi="宋体" w:eastAsia="宋体" w:cs="宋体"/>
          <w:color w:val="auto"/>
          <w:sz w:val="21"/>
          <w:szCs w:val="21"/>
          <w:highlight w:val="none"/>
        </w:rPr>
      </w:pPr>
      <w:bookmarkStart w:id="181" w:name="_Toc24507"/>
      <w:r>
        <w:rPr>
          <w:rFonts w:hint="eastAsia" w:ascii="宋体" w:hAnsi="宋体" w:eastAsia="宋体" w:cs="宋体"/>
          <w:color w:val="auto"/>
          <w:sz w:val="21"/>
          <w:szCs w:val="21"/>
          <w:highlight w:val="none"/>
        </w:rPr>
        <w:t>附件1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.商务需求条款偏离表格式</w:t>
      </w:r>
      <w:bookmarkEnd w:id="181"/>
    </w:p>
    <w:p w14:paraId="6C88AA8A">
      <w:pPr>
        <w:jc w:val="center"/>
        <w:rPr>
          <w:rFonts w:hint="eastAsia" w:ascii="宋体" w:hAnsi="宋体" w:eastAsia="宋体" w:cs="宋体"/>
          <w:color w:val="auto"/>
          <w:sz w:val="28"/>
          <w:szCs w:val="28"/>
          <w:highlight w:val="none"/>
        </w:rPr>
      </w:pPr>
    </w:p>
    <w:p w14:paraId="10315C8B">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商务需求条款偏离表</w:t>
      </w:r>
    </w:p>
    <w:tbl>
      <w:tblPr>
        <w:tblStyle w:val="36"/>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14:paraId="3B4D3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14:paraId="31224D9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620" w:type="dxa"/>
            <w:vAlign w:val="center"/>
          </w:tcPr>
          <w:p w14:paraId="253197B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服务项目名称</w:t>
            </w:r>
          </w:p>
        </w:tc>
        <w:tc>
          <w:tcPr>
            <w:tcW w:w="1360" w:type="dxa"/>
            <w:vAlign w:val="center"/>
          </w:tcPr>
          <w:p w14:paraId="359FF31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采购要求</w:t>
            </w:r>
          </w:p>
        </w:tc>
        <w:tc>
          <w:tcPr>
            <w:tcW w:w="1587" w:type="dxa"/>
            <w:vAlign w:val="center"/>
          </w:tcPr>
          <w:p w14:paraId="20F7617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投标实际响应</w:t>
            </w:r>
          </w:p>
        </w:tc>
        <w:tc>
          <w:tcPr>
            <w:tcW w:w="1133" w:type="dxa"/>
            <w:vAlign w:val="center"/>
          </w:tcPr>
          <w:p w14:paraId="39E86FA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是否偏离</w:t>
            </w:r>
          </w:p>
        </w:tc>
        <w:tc>
          <w:tcPr>
            <w:tcW w:w="1730" w:type="dxa"/>
            <w:vAlign w:val="center"/>
          </w:tcPr>
          <w:p w14:paraId="0D6A432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tc>
      </w:tr>
      <w:tr w14:paraId="6E460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DF90852">
            <w:pPr>
              <w:jc w:val="center"/>
              <w:rPr>
                <w:rFonts w:hint="eastAsia" w:ascii="宋体" w:hAnsi="宋体" w:eastAsia="宋体" w:cs="宋体"/>
                <w:color w:val="auto"/>
                <w:szCs w:val="21"/>
                <w:highlight w:val="none"/>
              </w:rPr>
            </w:pPr>
          </w:p>
        </w:tc>
        <w:tc>
          <w:tcPr>
            <w:tcW w:w="1620" w:type="dxa"/>
            <w:vAlign w:val="center"/>
          </w:tcPr>
          <w:p w14:paraId="4E129174">
            <w:pPr>
              <w:jc w:val="center"/>
              <w:rPr>
                <w:rFonts w:hint="eastAsia" w:ascii="宋体" w:hAnsi="宋体" w:eastAsia="宋体" w:cs="宋体"/>
                <w:color w:val="auto"/>
                <w:szCs w:val="21"/>
                <w:highlight w:val="none"/>
              </w:rPr>
            </w:pPr>
          </w:p>
        </w:tc>
        <w:tc>
          <w:tcPr>
            <w:tcW w:w="1360" w:type="dxa"/>
            <w:vAlign w:val="center"/>
          </w:tcPr>
          <w:p w14:paraId="22C66E90">
            <w:pPr>
              <w:jc w:val="center"/>
              <w:rPr>
                <w:rFonts w:hint="eastAsia" w:ascii="宋体" w:hAnsi="宋体" w:eastAsia="宋体" w:cs="宋体"/>
                <w:color w:val="auto"/>
                <w:szCs w:val="21"/>
                <w:highlight w:val="none"/>
              </w:rPr>
            </w:pPr>
          </w:p>
        </w:tc>
        <w:tc>
          <w:tcPr>
            <w:tcW w:w="1587" w:type="dxa"/>
            <w:vAlign w:val="center"/>
          </w:tcPr>
          <w:p w14:paraId="1BDD38C5">
            <w:pPr>
              <w:jc w:val="center"/>
              <w:rPr>
                <w:rFonts w:hint="eastAsia" w:ascii="宋体" w:hAnsi="宋体" w:eastAsia="宋体" w:cs="宋体"/>
                <w:color w:val="auto"/>
                <w:szCs w:val="21"/>
                <w:highlight w:val="none"/>
              </w:rPr>
            </w:pPr>
          </w:p>
        </w:tc>
        <w:tc>
          <w:tcPr>
            <w:tcW w:w="1133" w:type="dxa"/>
            <w:vAlign w:val="center"/>
          </w:tcPr>
          <w:p w14:paraId="45731CCC">
            <w:pPr>
              <w:jc w:val="center"/>
              <w:rPr>
                <w:rFonts w:hint="eastAsia" w:ascii="宋体" w:hAnsi="宋体" w:eastAsia="宋体" w:cs="宋体"/>
                <w:color w:val="auto"/>
                <w:szCs w:val="21"/>
                <w:highlight w:val="none"/>
              </w:rPr>
            </w:pPr>
          </w:p>
        </w:tc>
        <w:tc>
          <w:tcPr>
            <w:tcW w:w="1730" w:type="dxa"/>
            <w:vAlign w:val="center"/>
          </w:tcPr>
          <w:p w14:paraId="250F5F5D">
            <w:pPr>
              <w:jc w:val="center"/>
              <w:rPr>
                <w:rFonts w:hint="eastAsia" w:ascii="宋体" w:hAnsi="宋体" w:eastAsia="宋体" w:cs="宋体"/>
                <w:color w:val="auto"/>
                <w:szCs w:val="21"/>
                <w:highlight w:val="none"/>
              </w:rPr>
            </w:pPr>
          </w:p>
        </w:tc>
      </w:tr>
      <w:tr w14:paraId="7BCFA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D045C77">
            <w:pPr>
              <w:jc w:val="center"/>
              <w:rPr>
                <w:rFonts w:hint="eastAsia" w:ascii="宋体" w:hAnsi="宋体" w:eastAsia="宋体" w:cs="宋体"/>
                <w:color w:val="auto"/>
                <w:szCs w:val="21"/>
                <w:highlight w:val="none"/>
              </w:rPr>
            </w:pPr>
          </w:p>
        </w:tc>
        <w:tc>
          <w:tcPr>
            <w:tcW w:w="1620" w:type="dxa"/>
            <w:vAlign w:val="center"/>
          </w:tcPr>
          <w:p w14:paraId="29B4663C">
            <w:pPr>
              <w:jc w:val="center"/>
              <w:rPr>
                <w:rFonts w:hint="eastAsia" w:ascii="宋体" w:hAnsi="宋体" w:eastAsia="宋体" w:cs="宋体"/>
                <w:color w:val="auto"/>
                <w:szCs w:val="21"/>
                <w:highlight w:val="none"/>
              </w:rPr>
            </w:pPr>
          </w:p>
        </w:tc>
        <w:tc>
          <w:tcPr>
            <w:tcW w:w="1360" w:type="dxa"/>
            <w:vAlign w:val="center"/>
          </w:tcPr>
          <w:p w14:paraId="774A6A5E">
            <w:pPr>
              <w:jc w:val="center"/>
              <w:rPr>
                <w:rFonts w:hint="eastAsia" w:ascii="宋体" w:hAnsi="宋体" w:eastAsia="宋体" w:cs="宋体"/>
                <w:color w:val="auto"/>
                <w:szCs w:val="21"/>
                <w:highlight w:val="none"/>
              </w:rPr>
            </w:pPr>
          </w:p>
        </w:tc>
        <w:tc>
          <w:tcPr>
            <w:tcW w:w="1587" w:type="dxa"/>
            <w:vAlign w:val="center"/>
          </w:tcPr>
          <w:p w14:paraId="024E67F6">
            <w:pPr>
              <w:jc w:val="center"/>
              <w:rPr>
                <w:rFonts w:hint="eastAsia" w:ascii="宋体" w:hAnsi="宋体" w:eastAsia="宋体" w:cs="宋体"/>
                <w:color w:val="auto"/>
                <w:szCs w:val="21"/>
                <w:highlight w:val="none"/>
              </w:rPr>
            </w:pPr>
          </w:p>
        </w:tc>
        <w:tc>
          <w:tcPr>
            <w:tcW w:w="1133" w:type="dxa"/>
            <w:vAlign w:val="center"/>
          </w:tcPr>
          <w:p w14:paraId="689C741A">
            <w:pPr>
              <w:jc w:val="center"/>
              <w:rPr>
                <w:rFonts w:hint="eastAsia" w:ascii="宋体" w:hAnsi="宋体" w:eastAsia="宋体" w:cs="宋体"/>
                <w:color w:val="auto"/>
                <w:szCs w:val="21"/>
                <w:highlight w:val="none"/>
              </w:rPr>
            </w:pPr>
          </w:p>
        </w:tc>
        <w:tc>
          <w:tcPr>
            <w:tcW w:w="1730" w:type="dxa"/>
            <w:vAlign w:val="center"/>
          </w:tcPr>
          <w:p w14:paraId="2BD59362">
            <w:pPr>
              <w:jc w:val="center"/>
              <w:rPr>
                <w:rFonts w:hint="eastAsia" w:ascii="宋体" w:hAnsi="宋体" w:eastAsia="宋体" w:cs="宋体"/>
                <w:color w:val="auto"/>
                <w:szCs w:val="21"/>
                <w:highlight w:val="none"/>
              </w:rPr>
            </w:pPr>
          </w:p>
        </w:tc>
      </w:tr>
      <w:tr w14:paraId="7D82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1211388">
            <w:pPr>
              <w:jc w:val="center"/>
              <w:rPr>
                <w:rFonts w:hint="eastAsia" w:ascii="宋体" w:hAnsi="宋体" w:eastAsia="宋体" w:cs="宋体"/>
                <w:color w:val="auto"/>
                <w:szCs w:val="21"/>
                <w:highlight w:val="none"/>
              </w:rPr>
            </w:pPr>
          </w:p>
        </w:tc>
        <w:tc>
          <w:tcPr>
            <w:tcW w:w="1620" w:type="dxa"/>
            <w:vAlign w:val="center"/>
          </w:tcPr>
          <w:p w14:paraId="422DEF05">
            <w:pPr>
              <w:jc w:val="center"/>
              <w:rPr>
                <w:rFonts w:hint="eastAsia" w:ascii="宋体" w:hAnsi="宋体" w:eastAsia="宋体" w:cs="宋体"/>
                <w:color w:val="auto"/>
                <w:szCs w:val="21"/>
                <w:highlight w:val="none"/>
              </w:rPr>
            </w:pPr>
          </w:p>
        </w:tc>
        <w:tc>
          <w:tcPr>
            <w:tcW w:w="1360" w:type="dxa"/>
            <w:vAlign w:val="center"/>
          </w:tcPr>
          <w:p w14:paraId="1DADE855">
            <w:pPr>
              <w:jc w:val="center"/>
              <w:rPr>
                <w:rFonts w:hint="eastAsia" w:ascii="宋体" w:hAnsi="宋体" w:eastAsia="宋体" w:cs="宋体"/>
                <w:color w:val="auto"/>
                <w:szCs w:val="21"/>
                <w:highlight w:val="none"/>
              </w:rPr>
            </w:pPr>
          </w:p>
        </w:tc>
        <w:tc>
          <w:tcPr>
            <w:tcW w:w="1587" w:type="dxa"/>
            <w:vAlign w:val="center"/>
          </w:tcPr>
          <w:p w14:paraId="1823176E">
            <w:pPr>
              <w:jc w:val="center"/>
              <w:rPr>
                <w:rFonts w:hint="eastAsia" w:ascii="宋体" w:hAnsi="宋体" w:eastAsia="宋体" w:cs="宋体"/>
                <w:color w:val="auto"/>
                <w:szCs w:val="21"/>
                <w:highlight w:val="none"/>
              </w:rPr>
            </w:pPr>
          </w:p>
        </w:tc>
        <w:tc>
          <w:tcPr>
            <w:tcW w:w="1133" w:type="dxa"/>
            <w:vAlign w:val="center"/>
          </w:tcPr>
          <w:p w14:paraId="071A6AFD">
            <w:pPr>
              <w:jc w:val="center"/>
              <w:rPr>
                <w:rFonts w:hint="eastAsia" w:ascii="宋体" w:hAnsi="宋体" w:eastAsia="宋体" w:cs="宋体"/>
                <w:color w:val="auto"/>
                <w:szCs w:val="21"/>
                <w:highlight w:val="none"/>
              </w:rPr>
            </w:pPr>
          </w:p>
        </w:tc>
        <w:tc>
          <w:tcPr>
            <w:tcW w:w="1730" w:type="dxa"/>
            <w:vAlign w:val="center"/>
          </w:tcPr>
          <w:p w14:paraId="18C7D89D">
            <w:pPr>
              <w:jc w:val="center"/>
              <w:rPr>
                <w:rFonts w:hint="eastAsia" w:ascii="宋体" w:hAnsi="宋体" w:eastAsia="宋体" w:cs="宋体"/>
                <w:color w:val="auto"/>
                <w:szCs w:val="21"/>
                <w:highlight w:val="none"/>
              </w:rPr>
            </w:pPr>
          </w:p>
        </w:tc>
      </w:tr>
      <w:tr w14:paraId="2CF1C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1E1438F">
            <w:pPr>
              <w:jc w:val="center"/>
              <w:rPr>
                <w:rFonts w:hint="eastAsia" w:ascii="宋体" w:hAnsi="宋体" w:eastAsia="宋体" w:cs="宋体"/>
                <w:color w:val="auto"/>
                <w:szCs w:val="21"/>
                <w:highlight w:val="none"/>
              </w:rPr>
            </w:pPr>
          </w:p>
        </w:tc>
        <w:tc>
          <w:tcPr>
            <w:tcW w:w="1620" w:type="dxa"/>
            <w:vAlign w:val="center"/>
          </w:tcPr>
          <w:p w14:paraId="521F62C8">
            <w:pPr>
              <w:jc w:val="center"/>
              <w:rPr>
                <w:rFonts w:hint="eastAsia" w:ascii="宋体" w:hAnsi="宋体" w:eastAsia="宋体" w:cs="宋体"/>
                <w:color w:val="auto"/>
                <w:szCs w:val="21"/>
                <w:highlight w:val="none"/>
              </w:rPr>
            </w:pPr>
          </w:p>
        </w:tc>
        <w:tc>
          <w:tcPr>
            <w:tcW w:w="1360" w:type="dxa"/>
            <w:vAlign w:val="center"/>
          </w:tcPr>
          <w:p w14:paraId="19E13779">
            <w:pPr>
              <w:jc w:val="center"/>
              <w:rPr>
                <w:rFonts w:hint="eastAsia" w:ascii="宋体" w:hAnsi="宋体" w:eastAsia="宋体" w:cs="宋体"/>
                <w:color w:val="auto"/>
                <w:szCs w:val="21"/>
                <w:highlight w:val="none"/>
              </w:rPr>
            </w:pPr>
          </w:p>
        </w:tc>
        <w:tc>
          <w:tcPr>
            <w:tcW w:w="1587" w:type="dxa"/>
            <w:vAlign w:val="center"/>
          </w:tcPr>
          <w:p w14:paraId="431AF365">
            <w:pPr>
              <w:jc w:val="center"/>
              <w:rPr>
                <w:rFonts w:hint="eastAsia" w:ascii="宋体" w:hAnsi="宋体" w:eastAsia="宋体" w:cs="宋体"/>
                <w:color w:val="auto"/>
                <w:szCs w:val="21"/>
                <w:highlight w:val="none"/>
              </w:rPr>
            </w:pPr>
          </w:p>
        </w:tc>
        <w:tc>
          <w:tcPr>
            <w:tcW w:w="1133" w:type="dxa"/>
            <w:vAlign w:val="center"/>
          </w:tcPr>
          <w:p w14:paraId="02704551">
            <w:pPr>
              <w:jc w:val="center"/>
              <w:rPr>
                <w:rFonts w:hint="eastAsia" w:ascii="宋体" w:hAnsi="宋体" w:eastAsia="宋体" w:cs="宋体"/>
                <w:color w:val="auto"/>
                <w:szCs w:val="21"/>
                <w:highlight w:val="none"/>
              </w:rPr>
            </w:pPr>
          </w:p>
        </w:tc>
        <w:tc>
          <w:tcPr>
            <w:tcW w:w="1730" w:type="dxa"/>
            <w:vAlign w:val="center"/>
          </w:tcPr>
          <w:p w14:paraId="334134E3">
            <w:pPr>
              <w:jc w:val="center"/>
              <w:rPr>
                <w:rFonts w:hint="eastAsia" w:ascii="宋体" w:hAnsi="宋体" w:eastAsia="宋体" w:cs="宋体"/>
                <w:color w:val="auto"/>
                <w:szCs w:val="21"/>
                <w:highlight w:val="none"/>
              </w:rPr>
            </w:pPr>
          </w:p>
        </w:tc>
      </w:tr>
      <w:tr w14:paraId="1E80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02B1D62">
            <w:pPr>
              <w:jc w:val="center"/>
              <w:rPr>
                <w:rFonts w:hint="eastAsia" w:ascii="宋体" w:hAnsi="宋体" w:eastAsia="宋体" w:cs="宋体"/>
                <w:color w:val="auto"/>
                <w:szCs w:val="21"/>
                <w:highlight w:val="none"/>
              </w:rPr>
            </w:pPr>
          </w:p>
        </w:tc>
        <w:tc>
          <w:tcPr>
            <w:tcW w:w="1620" w:type="dxa"/>
            <w:vAlign w:val="center"/>
          </w:tcPr>
          <w:p w14:paraId="7D24360C">
            <w:pPr>
              <w:jc w:val="center"/>
              <w:rPr>
                <w:rFonts w:hint="eastAsia" w:ascii="宋体" w:hAnsi="宋体" w:eastAsia="宋体" w:cs="宋体"/>
                <w:color w:val="auto"/>
                <w:szCs w:val="21"/>
                <w:highlight w:val="none"/>
              </w:rPr>
            </w:pPr>
          </w:p>
        </w:tc>
        <w:tc>
          <w:tcPr>
            <w:tcW w:w="1360" w:type="dxa"/>
            <w:vAlign w:val="center"/>
          </w:tcPr>
          <w:p w14:paraId="45E3C046">
            <w:pPr>
              <w:jc w:val="center"/>
              <w:rPr>
                <w:rFonts w:hint="eastAsia" w:ascii="宋体" w:hAnsi="宋体" w:eastAsia="宋体" w:cs="宋体"/>
                <w:color w:val="auto"/>
                <w:szCs w:val="21"/>
                <w:highlight w:val="none"/>
              </w:rPr>
            </w:pPr>
          </w:p>
        </w:tc>
        <w:tc>
          <w:tcPr>
            <w:tcW w:w="1587" w:type="dxa"/>
            <w:vAlign w:val="center"/>
          </w:tcPr>
          <w:p w14:paraId="37EB0A9F">
            <w:pPr>
              <w:jc w:val="center"/>
              <w:rPr>
                <w:rFonts w:hint="eastAsia" w:ascii="宋体" w:hAnsi="宋体" w:eastAsia="宋体" w:cs="宋体"/>
                <w:color w:val="auto"/>
                <w:szCs w:val="21"/>
                <w:highlight w:val="none"/>
              </w:rPr>
            </w:pPr>
          </w:p>
        </w:tc>
        <w:tc>
          <w:tcPr>
            <w:tcW w:w="1133" w:type="dxa"/>
            <w:vAlign w:val="center"/>
          </w:tcPr>
          <w:p w14:paraId="3BAA529E">
            <w:pPr>
              <w:jc w:val="center"/>
              <w:rPr>
                <w:rFonts w:hint="eastAsia" w:ascii="宋体" w:hAnsi="宋体" w:eastAsia="宋体" w:cs="宋体"/>
                <w:color w:val="auto"/>
                <w:szCs w:val="21"/>
                <w:highlight w:val="none"/>
              </w:rPr>
            </w:pPr>
          </w:p>
        </w:tc>
        <w:tc>
          <w:tcPr>
            <w:tcW w:w="1730" w:type="dxa"/>
            <w:vAlign w:val="center"/>
          </w:tcPr>
          <w:p w14:paraId="7D6E0A75">
            <w:pPr>
              <w:jc w:val="center"/>
              <w:rPr>
                <w:rFonts w:hint="eastAsia" w:ascii="宋体" w:hAnsi="宋体" w:eastAsia="宋体" w:cs="宋体"/>
                <w:color w:val="auto"/>
                <w:szCs w:val="21"/>
                <w:highlight w:val="none"/>
              </w:rPr>
            </w:pPr>
          </w:p>
        </w:tc>
      </w:tr>
      <w:tr w14:paraId="23E58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4414EE8">
            <w:pPr>
              <w:jc w:val="center"/>
              <w:rPr>
                <w:rFonts w:hint="eastAsia" w:ascii="宋体" w:hAnsi="宋体" w:eastAsia="宋体" w:cs="宋体"/>
                <w:color w:val="auto"/>
                <w:szCs w:val="21"/>
                <w:highlight w:val="none"/>
              </w:rPr>
            </w:pPr>
          </w:p>
        </w:tc>
        <w:tc>
          <w:tcPr>
            <w:tcW w:w="1620" w:type="dxa"/>
            <w:vAlign w:val="center"/>
          </w:tcPr>
          <w:p w14:paraId="184EBF52">
            <w:pPr>
              <w:jc w:val="center"/>
              <w:rPr>
                <w:rFonts w:hint="eastAsia" w:ascii="宋体" w:hAnsi="宋体" w:eastAsia="宋体" w:cs="宋体"/>
                <w:color w:val="auto"/>
                <w:szCs w:val="21"/>
                <w:highlight w:val="none"/>
              </w:rPr>
            </w:pPr>
          </w:p>
        </w:tc>
        <w:tc>
          <w:tcPr>
            <w:tcW w:w="1360" w:type="dxa"/>
            <w:vAlign w:val="center"/>
          </w:tcPr>
          <w:p w14:paraId="03D276EB">
            <w:pPr>
              <w:jc w:val="center"/>
              <w:rPr>
                <w:rFonts w:hint="eastAsia" w:ascii="宋体" w:hAnsi="宋体" w:eastAsia="宋体" w:cs="宋体"/>
                <w:color w:val="auto"/>
                <w:szCs w:val="21"/>
                <w:highlight w:val="none"/>
              </w:rPr>
            </w:pPr>
          </w:p>
        </w:tc>
        <w:tc>
          <w:tcPr>
            <w:tcW w:w="1587" w:type="dxa"/>
            <w:vAlign w:val="center"/>
          </w:tcPr>
          <w:p w14:paraId="0D78CB90">
            <w:pPr>
              <w:jc w:val="center"/>
              <w:rPr>
                <w:rFonts w:hint="eastAsia" w:ascii="宋体" w:hAnsi="宋体" w:eastAsia="宋体" w:cs="宋体"/>
                <w:color w:val="auto"/>
                <w:szCs w:val="21"/>
                <w:highlight w:val="none"/>
              </w:rPr>
            </w:pPr>
          </w:p>
        </w:tc>
        <w:tc>
          <w:tcPr>
            <w:tcW w:w="1133" w:type="dxa"/>
            <w:vAlign w:val="center"/>
          </w:tcPr>
          <w:p w14:paraId="42D07AF6">
            <w:pPr>
              <w:jc w:val="center"/>
              <w:rPr>
                <w:rFonts w:hint="eastAsia" w:ascii="宋体" w:hAnsi="宋体" w:eastAsia="宋体" w:cs="宋体"/>
                <w:color w:val="auto"/>
                <w:szCs w:val="21"/>
                <w:highlight w:val="none"/>
              </w:rPr>
            </w:pPr>
          </w:p>
        </w:tc>
        <w:tc>
          <w:tcPr>
            <w:tcW w:w="1730" w:type="dxa"/>
            <w:vAlign w:val="center"/>
          </w:tcPr>
          <w:p w14:paraId="399CAB81">
            <w:pPr>
              <w:jc w:val="center"/>
              <w:rPr>
                <w:rFonts w:hint="eastAsia" w:ascii="宋体" w:hAnsi="宋体" w:eastAsia="宋体" w:cs="宋体"/>
                <w:color w:val="auto"/>
                <w:szCs w:val="21"/>
                <w:highlight w:val="none"/>
              </w:rPr>
            </w:pPr>
          </w:p>
        </w:tc>
      </w:tr>
      <w:tr w14:paraId="0AFF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CEDDE0F">
            <w:pPr>
              <w:jc w:val="center"/>
              <w:rPr>
                <w:rFonts w:hint="eastAsia" w:ascii="宋体" w:hAnsi="宋体" w:eastAsia="宋体" w:cs="宋体"/>
                <w:color w:val="auto"/>
                <w:szCs w:val="21"/>
                <w:highlight w:val="none"/>
              </w:rPr>
            </w:pPr>
          </w:p>
        </w:tc>
        <w:tc>
          <w:tcPr>
            <w:tcW w:w="1620" w:type="dxa"/>
            <w:vAlign w:val="center"/>
          </w:tcPr>
          <w:p w14:paraId="377B16DC">
            <w:pPr>
              <w:jc w:val="center"/>
              <w:rPr>
                <w:rFonts w:hint="eastAsia" w:ascii="宋体" w:hAnsi="宋体" w:eastAsia="宋体" w:cs="宋体"/>
                <w:color w:val="auto"/>
                <w:szCs w:val="21"/>
                <w:highlight w:val="none"/>
              </w:rPr>
            </w:pPr>
          </w:p>
        </w:tc>
        <w:tc>
          <w:tcPr>
            <w:tcW w:w="1360" w:type="dxa"/>
            <w:vAlign w:val="center"/>
          </w:tcPr>
          <w:p w14:paraId="61BB9B9E">
            <w:pPr>
              <w:jc w:val="center"/>
              <w:rPr>
                <w:rFonts w:hint="eastAsia" w:ascii="宋体" w:hAnsi="宋体" w:eastAsia="宋体" w:cs="宋体"/>
                <w:color w:val="auto"/>
                <w:szCs w:val="21"/>
                <w:highlight w:val="none"/>
              </w:rPr>
            </w:pPr>
          </w:p>
        </w:tc>
        <w:tc>
          <w:tcPr>
            <w:tcW w:w="1587" w:type="dxa"/>
            <w:vAlign w:val="center"/>
          </w:tcPr>
          <w:p w14:paraId="0C307ABF">
            <w:pPr>
              <w:jc w:val="center"/>
              <w:rPr>
                <w:rFonts w:hint="eastAsia" w:ascii="宋体" w:hAnsi="宋体" w:eastAsia="宋体" w:cs="宋体"/>
                <w:color w:val="auto"/>
                <w:szCs w:val="21"/>
                <w:highlight w:val="none"/>
              </w:rPr>
            </w:pPr>
          </w:p>
        </w:tc>
        <w:tc>
          <w:tcPr>
            <w:tcW w:w="1133" w:type="dxa"/>
            <w:vAlign w:val="center"/>
          </w:tcPr>
          <w:p w14:paraId="142BF246">
            <w:pPr>
              <w:jc w:val="center"/>
              <w:rPr>
                <w:rFonts w:hint="eastAsia" w:ascii="宋体" w:hAnsi="宋体" w:eastAsia="宋体" w:cs="宋体"/>
                <w:color w:val="auto"/>
                <w:szCs w:val="21"/>
                <w:highlight w:val="none"/>
              </w:rPr>
            </w:pPr>
          </w:p>
        </w:tc>
        <w:tc>
          <w:tcPr>
            <w:tcW w:w="1730" w:type="dxa"/>
            <w:vAlign w:val="center"/>
          </w:tcPr>
          <w:p w14:paraId="29F3990F">
            <w:pPr>
              <w:jc w:val="center"/>
              <w:rPr>
                <w:rFonts w:hint="eastAsia" w:ascii="宋体" w:hAnsi="宋体" w:eastAsia="宋体" w:cs="宋体"/>
                <w:color w:val="auto"/>
                <w:szCs w:val="21"/>
                <w:highlight w:val="none"/>
              </w:rPr>
            </w:pPr>
          </w:p>
        </w:tc>
      </w:tr>
      <w:tr w14:paraId="37907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3F64736">
            <w:pPr>
              <w:jc w:val="center"/>
              <w:rPr>
                <w:rFonts w:hint="eastAsia" w:ascii="宋体" w:hAnsi="宋体" w:eastAsia="宋体" w:cs="宋体"/>
                <w:color w:val="auto"/>
                <w:szCs w:val="21"/>
                <w:highlight w:val="none"/>
              </w:rPr>
            </w:pPr>
          </w:p>
        </w:tc>
        <w:tc>
          <w:tcPr>
            <w:tcW w:w="1620" w:type="dxa"/>
            <w:vAlign w:val="center"/>
          </w:tcPr>
          <w:p w14:paraId="1875DFB2">
            <w:pPr>
              <w:jc w:val="center"/>
              <w:rPr>
                <w:rFonts w:hint="eastAsia" w:ascii="宋体" w:hAnsi="宋体" w:eastAsia="宋体" w:cs="宋体"/>
                <w:color w:val="auto"/>
                <w:szCs w:val="21"/>
                <w:highlight w:val="none"/>
              </w:rPr>
            </w:pPr>
          </w:p>
        </w:tc>
        <w:tc>
          <w:tcPr>
            <w:tcW w:w="1360" w:type="dxa"/>
            <w:vAlign w:val="center"/>
          </w:tcPr>
          <w:p w14:paraId="191FD203">
            <w:pPr>
              <w:jc w:val="center"/>
              <w:rPr>
                <w:rFonts w:hint="eastAsia" w:ascii="宋体" w:hAnsi="宋体" w:eastAsia="宋体" w:cs="宋体"/>
                <w:color w:val="auto"/>
                <w:szCs w:val="21"/>
                <w:highlight w:val="none"/>
              </w:rPr>
            </w:pPr>
          </w:p>
        </w:tc>
        <w:tc>
          <w:tcPr>
            <w:tcW w:w="1587" w:type="dxa"/>
            <w:vAlign w:val="center"/>
          </w:tcPr>
          <w:p w14:paraId="32D3CDD1">
            <w:pPr>
              <w:jc w:val="center"/>
              <w:rPr>
                <w:rFonts w:hint="eastAsia" w:ascii="宋体" w:hAnsi="宋体" w:eastAsia="宋体" w:cs="宋体"/>
                <w:color w:val="auto"/>
                <w:szCs w:val="21"/>
                <w:highlight w:val="none"/>
              </w:rPr>
            </w:pPr>
          </w:p>
        </w:tc>
        <w:tc>
          <w:tcPr>
            <w:tcW w:w="1133" w:type="dxa"/>
            <w:vAlign w:val="center"/>
          </w:tcPr>
          <w:p w14:paraId="05C02E26">
            <w:pPr>
              <w:jc w:val="center"/>
              <w:rPr>
                <w:rFonts w:hint="eastAsia" w:ascii="宋体" w:hAnsi="宋体" w:eastAsia="宋体" w:cs="宋体"/>
                <w:color w:val="auto"/>
                <w:szCs w:val="21"/>
                <w:highlight w:val="none"/>
              </w:rPr>
            </w:pPr>
          </w:p>
        </w:tc>
        <w:tc>
          <w:tcPr>
            <w:tcW w:w="1730" w:type="dxa"/>
            <w:vAlign w:val="center"/>
          </w:tcPr>
          <w:p w14:paraId="49B23721">
            <w:pPr>
              <w:jc w:val="center"/>
              <w:rPr>
                <w:rFonts w:hint="eastAsia" w:ascii="宋体" w:hAnsi="宋体" w:eastAsia="宋体" w:cs="宋体"/>
                <w:color w:val="auto"/>
                <w:szCs w:val="21"/>
                <w:highlight w:val="none"/>
              </w:rPr>
            </w:pPr>
          </w:p>
        </w:tc>
      </w:tr>
      <w:tr w14:paraId="2F00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C756937">
            <w:pPr>
              <w:jc w:val="center"/>
              <w:rPr>
                <w:rFonts w:hint="eastAsia" w:ascii="宋体" w:hAnsi="宋体" w:eastAsia="宋体" w:cs="宋体"/>
                <w:color w:val="auto"/>
                <w:szCs w:val="21"/>
                <w:highlight w:val="none"/>
              </w:rPr>
            </w:pPr>
          </w:p>
        </w:tc>
        <w:tc>
          <w:tcPr>
            <w:tcW w:w="1620" w:type="dxa"/>
            <w:vAlign w:val="center"/>
          </w:tcPr>
          <w:p w14:paraId="2F344949">
            <w:pPr>
              <w:jc w:val="center"/>
              <w:rPr>
                <w:rFonts w:hint="eastAsia" w:ascii="宋体" w:hAnsi="宋体" w:eastAsia="宋体" w:cs="宋体"/>
                <w:color w:val="auto"/>
                <w:szCs w:val="21"/>
                <w:highlight w:val="none"/>
              </w:rPr>
            </w:pPr>
          </w:p>
        </w:tc>
        <w:tc>
          <w:tcPr>
            <w:tcW w:w="1360" w:type="dxa"/>
            <w:vAlign w:val="center"/>
          </w:tcPr>
          <w:p w14:paraId="5AA46673">
            <w:pPr>
              <w:jc w:val="center"/>
              <w:rPr>
                <w:rFonts w:hint="eastAsia" w:ascii="宋体" w:hAnsi="宋体" w:eastAsia="宋体" w:cs="宋体"/>
                <w:color w:val="auto"/>
                <w:szCs w:val="21"/>
                <w:highlight w:val="none"/>
              </w:rPr>
            </w:pPr>
          </w:p>
        </w:tc>
        <w:tc>
          <w:tcPr>
            <w:tcW w:w="1587" w:type="dxa"/>
            <w:vAlign w:val="center"/>
          </w:tcPr>
          <w:p w14:paraId="3461B630">
            <w:pPr>
              <w:jc w:val="center"/>
              <w:rPr>
                <w:rFonts w:hint="eastAsia" w:ascii="宋体" w:hAnsi="宋体" w:eastAsia="宋体" w:cs="宋体"/>
                <w:color w:val="auto"/>
                <w:szCs w:val="21"/>
                <w:highlight w:val="none"/>
              </w:rPr>
            </w:pPr>
          </w:p>
        </w:tc>
        <w:tc>
          <w:tcPr>
            <w:tcW w:w="1133" w:type="dxa"/>
            <w:vAlign w:val="center"/>
          </w:tcPr>
          <w:p w14:paraId="62387844">
            <w:pPr>
              <w:jc w:val="center"/>
              <w:rPr>
                <w:rFonts w:hint="eastAsia" w:ascii="宋体" w:hAnsi="宋体" w:eastAsia="宋体" w:cs="宋体"/>
                <w:color w:val="auto"/>
                <w:szCs w:val="21"/>
                <w:highlight w:val="none"/>
              </w:rPr>
            </w:pPr>
          </w:p>
        </w:tc>
        <w:tc>
          <w:tcPr>
            <w:tcW w:w="1730" w:type="dxa"/>
            <w:vAlign w:val="center"/>
          </w:tcPr>
          <w:p w14:paraId="5082DABB">
            <w:pPr>
              <w:jc w:val="center"/>
              <w:rPr>
                <w:rFonts w:hint="eastAsia" w:ascii="宋体" w:hAnsi="宋体" w:eastAsia="宋体" w:cs="宋体"/>
                <w:color w:val="auto"/>
                <w:szCs w:val="21"/>
                <w:highlight w:val="none"/>
              </w:rPr>
            </w:pPr>
          </w:p>
        </w:tc>
      </w:tr>
      <w:tr w14:paraId="1EF03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C8DB767">
            <w:pPr>
              <w:jc w:val="center"/>
              <w:rPr>
                <w:rFonts w:hint="eastAsia" w:ascii="宋体" w:hAnsi="宋体" w:eastAsia="宋体" w:cs="宋体"/>
                <w:color w:val="auto"/>
                <w:szCs w:val="21"/>
                <w:highlight w:val="none"/>
              </w:rPr>
            </w:pPr>
          </w:p>
        </w:tc>
        <w:tc>
          <w:tcPr>
            <w:tcW w:w="1620" w:type="dxa"/>
            <w:vAlign w:val="center"/>
          </w:tcPr>
          <w:p w14:paraId="176A7D4F">
            <w:pPr>
              <w:jc w:val="center"/>
              <w:rPr>
                <w:rFonts w:hint="eastAsia" w:ascii="宋体" w:hAnsi="宋体" w:eastAsia="宋体" w:cs="宋体"/>
                <w:color w:val="auto"/>
                <w:szCs w:val="21"/>
                <w:highlight w:val="none"/>
              </w:rPr>
            </w:pPr>
          </w:p>
        </w:tc>
        <w:tc>
          <w:tcPr>
            <w:tcW w:w="1360" w:type="dxa"/>
            <w:vAlign w:val="center"/>
          </w:tcPr>
          <w:p w14:paraId="2961C8B2">
            <w:pPr>
              <w:jc w:val="center"/>
              <w:rPr>
                <w:rFonts w:hint="eastAsia" w:ascii="宋体" w:hAnsi="宋体" w:eastAsia="宋体" w:cs="宋体"/>
                <w:color w:val="auto"/>
                <w:szCs w:val="21"/>
                <w:highlight w:val="none"/>
              </w:rPr>
            </w:pPr>
          </w:p>
        </w:tc>
        <w:tc>
          <w:tcPr>
            <w:tcW w:w="1587" w:type="dxa"/>
            <w:vAlign w:val="center"/>
          </w:tcPr>
          <w:p w14:paraId="7F8E2AFB">
            <w:pPr>
              <w:jc w:val="center"/>
              <w:rPr>
                <w:rFonts w:hint="eastAsia" w:ascii="宋体" w:hAnsi="宋体" w:eastAsia="宋体" w:cs="宋体"/>
                <w:color w:val="auto"/>
                <w:szCs w:val="21"/>
                <w:highlight w:val="none"/>
              </w:rPr>
            </w:pPr>
          </w:p>
        </w:tc>
        <w:tc>
          <w:tcPr>
            <w:tcW w:w="1133" w:type="dxa"/>
            <w:vAlign w:val="center"/>
          </w:tcPr>
          <w:p w14:paraId="4C427040">
            <w:pPr>
              <w:jc w:val="center"/>
              <w:rPr>
                <w:rFonts w:hint="eastAsia" w:ascii="宋体" w:hAnsi="宋体" w:eastAsia="宋体" w:cs="宋体"/>
                <w:color w:val="auto"/>
                <w:szCs w:val="21"/>
                <w:highlight w:val="none"/>
              </w:rPr>
            </w:pPr>
          </w:p>
        </w:tc>
        <w:tc>
          <w:tcPr>
            <w:tcW w:w="1730" w:type="dxa"/>
            <w:vAlign w:val="center"/>
          </w:tcPr>
          <w:p w14:paraId="4A8435DD">
            <w:pPr>
              <w:jc w:val="center"/>
              <w:rPr>
                <w:rFonts w:hint="eastAsia" w:ascii="宋体" w:hAnsi="宋体" w:eastAsia="宋体" w:cs="宋体"/>
                <w:color w:val="auto"/>
                <w:szCs w:val="21"/>
                <w:highlight w:val="none"/>
              </w:rPr>
            </w:pPr>
          </w:p>
        </w:tc>
      </w:tr>
    </w:tbl>
    <w:p w14:paraId="487ED31B">
      <w:pPr>
        <w:rPr>
          <w:rFonts w:hint="eastAsia" w:ascii="宋体" w:hAnsi="宋体" w:eastAsia="宋体" w:cs="宋体"/>
          <w:color w:val="auto"/>
          <w:szCs w:val="21"/>
          <w:highlight w:val="none"/>
        </w:rPr>
      </w:pPr>
    </w:p>
    <w:p w14:paraId="744706B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投标人代表签字：</w:t>
      </w:r>
    </w:p>
    <w:p w14:paraId="0755E47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投标人盖章：</w:t>
      </w:r>
    </w:p>
    <w:p w14:paraId="59AA0A35">
      <w:pPr>
        <w:rPr>
          <w:rFonts w:hint="eastAsia" w:ascii="宋体" w:hAnsi="宋体" w:eastAsia="宋体" w:cs="宋体"/>
          <w:color w:val="auto"/>
          <w:szCs w:val="21"/>
          <w:highlight w:val="none"/>
        </w:rPr>
      </w:pPr>
    </w:p>
    <w:p w14:paraId="7EF66BD8">
      <w:pPr>
        <w:ind w:left="718" w:hanging="718" w:hangingChars="342"/>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17D8167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1、投标人应对照采购文件商务需求书中商务要求，说明已对采购文件的商务内容做出了实质性的响应。</w:t>
      </w:r>
    </w:p>
    <w:p w14:paraId="78FF2F5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论出于何种原因此表未填写完整，投标人都被认为已清楚了解采购文件“商务需求书”的内容并对采购人所需的服务要求作全面响应，投标人必须承担完成“商务需求书”所描述内容的义务，因此对投标人投标产生负面影响的，投标人自行承担后果。</w:t>
      </w:r>
    </w:p>
    <w:p w14:paraId="227A4D7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3、如有偏离，应在“偏离情况”栏内注明“正”、“负”或“无”，并在“说明”栏内予以说明。</w:t>
      </w:r>
    </w:p>
    <w:p w14:paraId="1FBD2CA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4、如投标人差异内容较多可另附页说明。</w:t>
      </w:r>
    </w:p>
    <w:p w14:paraId="71DC66D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5、如投标人对用户需求书商务要求的条款全部响应的，也可以在表格下面用文字总括性的说明。</w:t>
      </w:r>
    </w:p>
    <w:p w14:paraId="0130EAE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04290095">
      <w:pPr>
        <w:pStyle w:val="5"/>
        <w:widowControl w:val="0"/>
        <w:overflowPunct w:val="0"/>
        <w:spacing w:line="240" w:lineRule="auto"/>
        <w:rPr>
          <w:rFonts w:hint="eastAsia" w:ascii="宋体" w:hAnsi="宋体" w:eastAsia="宋体" w:cs="宋体"/>
          <w:color w:val="auto"/>
          <w:sz w:val="30"/>
          <w:szCs w:val="30"/>
          <w:highlight w:val="none"/>
        </w:rPr>
      </w:pPr>
      <w:bookmarkStart w:id="182" w:name="_Toc22347"/>
      <w:r>
        <w:rPr>
          <w:rFonts w:hint="eastAsia" w:ascii="宋体" w:hAnsi="宋体" w:eastAsia="宋体" w:cs="宋体"/>
          <w:color w:val="auto"/>
          <w:sz w:val="21"/>
          <w:szCs w:val="21"/>
          <w:highlight w:val="none"/>
        </w:rPr>
        <w:t>附件1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.业绩表</w:t>
      </w:r>
      <w:bookmarkEnd w:id="182"/>
    </w:p>
    <w:p w14:paraId="62DD88A4">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业绩表</w:t>
      </w:r>
    </w:p>
    <w:tbl>
      <w:tblPr>
        <w:tblStyle w:val="37"/>
        <w:tblW w:w="8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2005"/>
        <w:gridCol w:w="1706"/>
        <w:gridCol w:w="2035"/>
        <w:gridCol w:w="1428"/>
      </w:tblGrid>
      <w:tr w14:paraId="6AB6A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004" w:type="dxa"/>
            <w:vAlign w:val="center"/>
          </w:tcPr>
          <w:p w14:paraId="576007D7">
            <w:pPr>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005" w:type="dxa"/>
            <w:vAlign w:val="center"/>
          </w:tcPr>
          <w:p w14:paraId="1A1648DB">
            <w:pPr>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1706" w:type="dxa"/>
            <w:vAlign w:val="center"/>
          </w:tcPr>
          <w:p w14:paraId="69A7B731">
            <w:pPr>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项目金额</w:t>
            </w:r>
          </w:p>
        </w:tc>
        <w:tc>
          <w:tcPr>
            <w:tcW w:w="2035" w:type="dxa"/>
            <w:vAlign w:val="center"/>
          </w:tcPr>
          <w:p w14:paraId="27E26506">
            <w:pPr>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项目合同签订时间</w:t>
            </w:r>
          </w:p>
        </w:tc>
        <w:tc>
          <w:tcPr>
            <w:tcW w:w="1428" w:type="dxa"/>
            <w:vAlign w:val="center"/>
          </w:tcPr>
          <w:p w14:paraId="59B19C68">
            <w:pPr>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07513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004" w:type="dxa"/>
            <w:vAlign w:val="center"/>
          </w:tcPr>
          <w:p w14:paraId="124862F2">
            <w:pPr>
              <w:adjustRightInd/>
              <w:snapToGrid/>
              <w:jc w:val="center"/>
              <w:rPr>
                <w:rFonts w:hint="eastAsia" w:ascii="宋体" w:hAnsi="宋体" w:eastAsia="宋体" w:cs="宋体"/>
                <w:color w:val="auto"/>
                <w:szCs w:val="21"/>
                <w:highlight w:val="none"/>
              </w:rPr>
            </w:pPr>
          </w:p>
        </w:tc>
        <w:tc>
          <w:tcPr>
            <w:tcW w:w="2005" w:type="dxa"/>
            <w:vAlign w:val="center"/>
          </w:tcPr>
          <w:p w14:paraId="74460505">
            <w:pPr>
              <w:adjustRightInd/>
              <w:snapToGrid/>
              <w:jc w:val="center"/>
              <w:rPr>
                <w:rFonts w:hint="eastAsia" w:ascii="宋体" w:hAnsi="宋体" w:eastAsia="宋体" w:cs="宋体"/>
                <w:color w:val="auto"/>
                <w:szCs w:val="21"/>
                <w:highlight w:val="none"/>
              </w:rPr>
            </w:pPr>
          </w:p>
        </w:tc>
        <w:tc>
          <w:tcPr>
            <w:tcW w:w="1706" w:type="dxa"/>
            <w:vAlign w:val="center"/>
          </w:tcPr>
          <w:p w14:paraId="3D612233">
            <w:pPr>
              <w:adjustRightInd/>
              <w:snapToGrid/>
              <w:jc w:val="center"/>
              <w:rPr>
                <w:rFonts w:hint="eastAsia" w:ascii="宋体" w:hAnsi="宋体" w:eastAsia="宋体" w:cs="宋体"/>
                <w:color w:val="auto"/>
                <w:szCs w:val="21"/>
                <w:highlight w:val="none"/>
              </w:rPr>
            </w:pPr>
          </w:p>
        </w:tc>
        <w:tc>
          <w:tcPr>
            <w:tcW w:w="2035" w:type="dxa"/>
            <w:vAlign w:val="center"/>
          </w:tcPr>
          <w:p w14:paraId="2745A93B">
            <w:pPr>
              <w:adjustRightInd/>
              <w:snapToGrid/>
              <w:jc w:val="center"/>
              <w:rPr>
                <w:rFonts w:hint="eastAsia" w:ascii="宋体" w:hAnsi="宋体" w:eastAsia="宋体" w:cs="宋体"/>
                <w:color w:val="auto"/>
                <w:szCs w:val="21"/>
                <w:highlight w:val="none"/>
              </w:rPr>
            </w:pPr>
          </w:p>
        </w:tc>
        <w:tc>
          <w:tcPr>
            <w:tcW w:w="1428" w:type="dxa"/>
            <w:vAlign w:val="center"/>
          </w:tcPr>
          <w:p w14:paraId="473C13CD">
            <w:pPr>
              <w:adjustRightInd/>
              <w:snapToGrid/>
              <w:jc w:val="center"/>
              <w:rPr>
                <w:rFonts w:hint="eastAsia" w:ascii="宋体" w:hAnsi="宋体" w:eastAsia="宋体" w:cs="宋体"/>
                <w:color w:val="auto"/>
                <w:szCs w:val="21"/>
                <w:highlight w:val="none"/>
              </w:rPr>
            </w:pPr>
          </w:p>
        </w:tc>
      </w:tr>
      <w:tr w14:paraId="4D28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004" w:type="dxa"/>
          </w:tcPr>
          <w:p w14:paraId="6D142E3C">
            <w:pPr>
              <w:adjustRightInd/>
              <w:snapToGrid/>
              <w:rPr>
                <w:rFonts w:hint="eastAsia" w:ascii="宋体" w:hAnsi="宋体" w:eastAsia="宋体" w:cs="宋体"/>
                <w:color w:val="auto"/>
                <w:szCs w:val="21"/>
                <w:highlight w:val="none"/>
              </w:rPr>
            </w:pPr>
          </w:p>
        </w:tc>
        <w:tc>
          <w:tcPr>
            <w:tcW w:w="2005" w:type="dxa"/>
          </w:tcPr>
          <w:p w14:paraId="430922FA">
            <w:pPr>
              <w:adjustRightInd/>
              <w:snapToGrid/>
              <w:rPr>
                <w:rFonts w:hint="eastAsia" w:ascii="宋体" w:hAnsi="宋体" w:eastAsia="宋体" w:cs="宋体"/>
                <w:color w:val="auto"/>
                <w:szCs w:val="21"/>
                <w:highlight w:val="none"/>
              </w:rPr>
            </w:pPr>
          </w:p>
        </w:tc>
        <w:tc>
          <w:tcPr>
            <w:tcW w:w="1706" w:type="dxa"/>
          </w:tcPr>
          <w:p w14:paraId="13184314">
            <w:pPr>
              <w:adjustRightInd/>
              <w:snapToGrid/>
              <w:rPr>
                <w:rFonts w:hint="eastAsia" w:ascii="宋体" w:hAnsi="宋体" w:eastAsia="宋体" w:cs="宋体"/>
                <w:color w:val="auto"/>
                <w:szCs w:val="21"/>
                <w:highlight w:val="none"/>
              </w:rPr>
            </w:pPr>
          </w:p>
        </w:tc>
        <w:tc>
          <w:tcPr>
            <w:tcW w:w="2035" w:type="dxa"/>
          </w:tcPr>
          <w:p w14:paraId="60425FB7">
            <w:pPr>
              <w:adjustRightInd/>
              <w:snapToGrid/>
              <w:rPr>
                <w:rFonts w:hint="eastAsia" w:ascii="宋体" w:hAnsi="宋体" w:eastAsia="宋体" w:cs="宋体"/>
                <w:color w:val="auto"/>
                <w:szCs w:val="21"/>
                <w:highlight w:val="none"/>
              </w:rPr>
            </w:pPr>
          </w:p>
        </w:tc>
        <w:tc>
          <w:tcPr>
            <w:tcW w:w="1428" w:type="dxa"/>
          </w:tcPr>
          <w:p w14:paraId="62B2F631">
            <w:pPr>
              <w:adjustRightInd/>
              <w:snapToGrid/>
              <w:rPr>
                <w:rFonts w:hint="eastAsia" w:ascii="宋体" w:hAnsi="宋体" w:eastAsia="宋体" w:cs="宋体"/>
                <w:color w:val="auto"/>
                <w:szCs w:val="21"/>
                <w:highlight w:val="none"/>
              </w:rPr>
            </w:pPr>
          </w:p>
        </w:tc>
      </w:tr>
      <w:tr w14:paraId="59578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004" w:type="dxa"/>
          </w:tcPr>
          <w:p w14:paraId="2E409659">
            <w:pPr>
              <w:adjustRightInd/>
              <w:snapToGrid/>
              <w:rPr>
                <w:rFonts w:hint="eastAsia" w:ascii="宋体" w:hAnsi="宋体" w:eastAsia="宋体" w:cs="宋体"/>
                <w:color w:val="auto"/>
                <w:szCs w:val="21"/>
                <w:highlight w:val="none"/>
              </w:rPr>
            </w:pPr>
          </w:p>
        </w:tc>
        <w:tc>
          <w:tcPr>
            <w:tcW w:w="2005" w:type="dxa"/>
          </w:tcPr>
          <w:p w14:paraId="3B76A56B">
            <w:pPr>
              <w:adjustRightInd/>
              <w:snapToGrid/>
              <w:rPr>
                <w:rFonts w:hint="eastAsia" w:ascii="宋体" w:hAnsi="宋体" w:eastAsia="宋体" w:cs="宋体"/>
                <w:color w:val="auto"/>
                <w:szCs w:val="21"/>
                <w:highlight w:val="none"/>
              </w:rPr>
            </w:pPr>
          </w:p>
        </w:tc>
        <w:tc>
          <w:tcPr>
            <w:tcW w:w="1706" w:type="dxa"/>
          </w:tcPr>
          <w:p w14:paraId="47E2DD2E">
            <w:pPr>
              <w:adjustRightInd/>
              <w:snapToGrid/>
              <w:rPr>
                <w:rFonts w:hint="eastAsia" w:ascii="宋体" w:hAnsi="宋体" w:eastAsia="宋体" w:cs="宋体"/>
                <w:color w:val="auto"/>
                <w:szCs w:val="21"/>
                <w:highlight w:val="none"/>
              </w:rPr>
            </w:pPr>
          </w:p>
        </w:tc>
        <w:tc>
          <w:tcPr>
            <w:tcW w:w="2035" w:type="dxa"/>
          </w:tcPr>
          <w:p w14:paraId="71971216">
            <w:pPr>
              <w:adjustRightInd/>
              <w:snapToGrid/>
              <w:rPr>
                <w:rFonts w:hint="eastAsia" w:ascii="宋体" w:hAnsi="宋体" w:eastAsia="宋体" w:cs="宋体"/>
                <w:color w:val="auto"/>
                <w:szCs w:val="21"/>
                <w:highlight w:val="none"/>
              </w:rPr>
            </w:pPr>
          </w:p>
        </w:tc>
        <w:tc>
          <w:tcPr>
            <w:tcW w:w="1428" w:type="dxa"/>
          </w:tcPr>
          <w:p w14:paraId="6B965C82">
            <w:pPr>
              <w:adjustRightInd/>
              <w:snapToGrid/>
              <w:rPr>
                <w:rFonts w:hint="eastAsia" w:ascii="宋体" w:hAnsi="宋体" w:eastAsia="宋体" w:cs="宋体"/>
                <w:color w:val="auto"/>
                <w:szCs w:val="21"/>
                <w:highlight w:val="none"/>
              </w:rPr>
            </w:pPr>
          </w:p>
        </w:tc>
      </w:tr>
      <w:tr w14:paraId="792E2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004" w:type="dxa"/>
          </w:tcPr>
          <w:p w14:paraId="0FC6C126">
            <w:pPr>
              <w:adjustRightInd/>
              <w:snapToGrid/>
              <w:rPr>
                <w:rFonts w:hint="eastAsia" w:ascii="宋体" w:hAnsi="宋体" w:eastAsia="宋体" w:cs="宋体"/>
                <w:color w:val="auto"/>
                <w:szCs w:val="21"/>
                <w:highlight w:val="none"/>
              </w:rPr>
            </w:pPr>
          </w:p>
        </w:tc>
        <w:tc>
          <w:tcPr>
            <w:tcW w:w="2005" w:type="dxa"/>
          </w:tcPr>
          <w:p w14:paraId="0FBC3264">
            <w:pPr>
              <w:adjustRightInd/>
              <w:snapToGrid/>
              <w:rPr>
                <w:rFonts w:hint="eastAsia" w:ascii="宋体" w:hAnsi="宋体" w:eastAsia="宋体" w:cs="宋体"/>
                <w:color w:val="auto"/>
                <w:szCs w:val="21"/>
                <w:highlight w:val="none"/>
              </w:rPr>
            </w:pPr>
          </w:p>
        </w:tc>
        <w:tc>
          <w:tcPr>
            <w:tcW w:w="1706" w:type="dxa"/>
          </w:tcPr>
          <w:p w14:paraId="5F000BD8">
            <w:pPr>
              <w:adjustRightInd/>
              <w:snapToGrid/>
              <w:rPr>
                <w:rFonts w:hint="eastAsia" w:ascii="宋体" w:hAnsi="宋体" w:eastAsia="宋体" w:cs="宋体"/>
                <w:color w:val="auto"/>
                <w:szCs w:val="21"/>
                <w:highlight w:val="none"/>
              </w:rPr>
            </w:pPr>
          </w:p>
        </w:tc>
        <w:tc>
          <w:tcPr>
            <w:tcW w:w="2035" w:type="dxa"/>
          </w:tcPr>
          <w:p w14:paraId="34CD3B04">
            <w:pPr>
              <w:adjustRightInd/>
              <w:snapToGrid/>
              <w:rPr>
                <w:rFonts w:hint="eastAsia" w:ascii="宋体" w:hAnsi="宋体" w:eastAsia="宋体" w:cs="宋体"/>
                <w:color w:val="auto"/>
                <w:szCs w:val="21"/>
                <w:highlight w:val="none"/>
              </w:rPr>
            </w:pPr>
          </w:p>
        </w:tc>
        <w:tc>
          <w:tcPr>
            <w:tcW w:w="1428" w:type="dxa"/>
          </w:tcPr>
          <w:p w14:paraId="4F763270">
            <w:pPr>
              <w:adjustRightInd/>
              <w:snapToGrid/>
              <w:rPr>
                <w:rFonts w:hint="eastAsia" w:ascii="宋体" w:hAnsi="宋体" w:eastAsia="宋体" w:cs="宋体"/>
                <w:color w:val="auto"/>
                <w:szCs w:val="21"/>
                <w:highlight w:val="none"/>
              </w:rPr>
            </w:pPr>
          </w:p>
        </w:tc>
      </w:tr>
      <w:tr w14:paraId="63595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004" w:type="dxa"/>
          </w:tcPr>
          <w:p w14:paraId="3B5707ED">
            <w:pPr>
              <w:adjustRightInd/>
              <w:snapToGrid/>
              <w:rPr>
                <w:rFonts w:hint="eastAsia" w:ascii="宋体" w:hAnsi="宋体" w:eastAsia="宋体" w:cs="宋体"/>
                <w:color w:val="auto"/>
                <w:szCs w:val="21"/>
                <w:highlight w:val="none"/>
              </w:rPr>
            </w:pPr>
          </w:p>
        </w:tc>
        <w:tc>
          <w:tcPr>
            <w:tcW w:w="2005" w:type="dxa"/>
          </w:tcPr>
          <w:p w14:paraId="2FDC57B3">
            <w:pPr>
              <w:adjustRightInd/>
              <w:snapToGrid/>
              <w:rPr>
                <w:rFonts w:hint="eastAsia" w:ascii="宋体" w:hAnsi="宋体" w:eastAsia="宋体" w:cs="宋体"/>
                <w:color w:val="auto"/>
                <w:szCs w:val="21"/>
                <w:highlight w:val="none"/>
              </w:rPr>
            </w:pPr>
          </w:p>
        </w:tc>
        <w:tc>
          <w:tcPr>
            <w:tcW w:w="1706" w:type="dxa"/>
          </w:tcPr>
          <w:p w14:paraId="21F83CC0">
            <w:pPr>
              <w:adjustRightInd/>
              <w:snapToGrid/>
              <w:rPr>
                <w:rFonts w:hint="eastAsia" w:ascii="宋体" w:hAnsi="宋体" w:eastAsia="宋体" w:cs="宋体"/>
                <w:color w:val="auto"/>
                <w:szCs w:val="21"/>
                <w:highlight w:val="none"/>
              </w:rPr>
            </w:pPr>
          </w:p>
        </w:tc>
        <w:tc>
          <w:tcPr>
            <w:tcW w:w="2035" w:type="dxa"/>
          </w:tcPr>
          <w:p w14:paraId="72C2588A">
            <w:pPr>
              <w:adjustRightInd/>
              <w:snapToGrid/>
              <w:rPr>
                <w:rFonts w:hint="eastAsia" w:ascii="宋体" w:hAnsi="宋体" w:eastAsia="宋体" w:cs="宋体"/>
                <w:color w:val="auto"/>
                <w:szCs w:val="21"/>
                <w:highlight w:val="none"/>
              </w:rPr>
            </w:pPr>
          </w:p>
        </w:tc>
        <w:tc>
          <w:tcPr>
            <w:tcW w:w="1428" w:type="dxa"/>
          </w:tcPr>
          <w:p w14:paraId="07BE1372">
            <w:pPr>
              <w:adjustRightInd/>
              <w:snapToGrid/>
              <w:rPr>
                <w:rFonts w:hint="eastAsia" w:ascii="宋体" w:hAnsi="宋体" w:eastAsia="宋体" w:cs="宋体"/>
                <w:color w:val="auto"/>
                <w:szCs w:val="21"/>
                <w:highlight w:val="none"/>
              </w:rPr>
            </w:pPr>
          </w:p>
        </w:tc>
      </w:tr>
      <w:tr w14:paraId="552DB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004" w:type="dxa"/>
          </w:tcPr>
          <w:p w14:paraId="226D2DF6">
            <w:pPr>
              <w:adjustRightInd/>
              <w:snapToGrid/>
              <w:rPr>
                <w:rFonts w:hint="eastAsia" w:ascii="宋体" w:hAnsi="宋体" w:eastAsia="宋体" w:cs="宋体"/>
                <w:color w:val="auto"/>
                <w:szCs w:val="21"/>
                <w:highlight w:val="none"/>
              </w:rPr>
            </w:pPr>
          </w:p>
        </w:tc>
        <w:tc>
          <w:tcPr>
            <w:tcW w:w="2005" w:type="dxa"/>
          </w:tcPr>
          <w:p w14:paraId="3761FC6E">
            <w:pPr>
              <w:adjustRightInd/>
              <w:snapToGrid/>
              <w:rPr>
                <w:rFonts w:hint="eastAsia" w:ascii="宋体" w:hAnsi="宋体" w:eastAsia="宋体" w:cs="宋体"/>
                <w:color w:val="auto"/>
                <w:szCs w:val="21"/>
                <w:highlight w:val="none"/>
              </w:rPr>
            </w:pPr>
          </w:p>
        </w:tc>
        <w:tc>
          <w:tcPr>
            <w:tcW w:w="1706" w:type="dxa"/>
          </w:tcPr>
          <w:p w14:paraId="205EE6FC">
            <w:pPr>
              <w:adjustRightInd/>
              <w:snapToGrid/>
              <w:rPr>
                <w:rFonts w:hint="eastAsia" w:ascii="宋体" w:hAnsi="宋体" w:eastAsia="宋体" w:cs="宋体"/>
                <w:color w:val="auto"/>
                <w:szCs w:val="21"/>
                <w:highlight w:val="none"/>
              </w:rPr>
            </w:pPr>
          </w:p>
        </w:tc>
        <w:tc>
          <w:tcPr>
            <w:tcW w:w="2035" w:type="dxa"/>
          </w:tcPr>
          <w:p w14:paraId="7FF6F4FF">
            <w:pPr>
              <w:adjustRightInd/>
              <w:snapToGrid/>
              <w:rPr>
                <w:rFonts w:hint="eastAsia" w:ascii="宋体" w:hAnsi="宋体" w:eastAsia="宋体" w:cs="宋体"/>
                <w:color w:val="auto"/>
                <w:szCs w:val="21"/>
                <w:highlight w:val="none"/>
              </w:rPr>
            </w:pPr>
          </w:p>
        </w:tc>
        <w:tc>
          <w:tcPr>
            <w:tcW w:w="1428" w:type="dxa"/>
          </w:tcPr>
          <w:p w14:paraId="7C0B262A">
            <w:pPr>
              <w:adjustRightInd/>
              <w:snapToGrid/>
              <w:rPr>
                <w:rFonts w:hint="eastAsia" w:ascii="宋体" w:hAnsi="宋体" w:eastAsia="宋体" w:cs="宋体"/>
                <w:color w:val="auto"/>
                <w:szCs w:val="21"/>
                <w:highlight w:val="none"/>
              </w:rPr>
            </w:pPr>
          </w:p>
        </w:tc>
      </w:tr>
    </w:tbl>
    <w:p w14:paraId="24F2877A">
      <w:pPr>
        <w:pStyle w:val="51"/>
        <w:rPr>
          <w:rFonts w:hint="eastAsia" w:ascii="宋体" w:hAnsi="宋体" w:eastAsia="宋体" w:cs="宋体"/>
          <w:color w:val="auto"/>
          <w:szCs w:val="21"/>
          <w:highlight w:val="none"/>
        </w:rPr>
      </w:pPr>
    </w:p>
    <w:p w14:paraId="6D7529CB">
      <w:pPr>
        <w:pStyle w:val="51"/>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351C87DB">
      <w:pPr>
        <w:pStyle w:val="51"/>
        <w:numPr>
          <w:ilvl w:val="0"/>
          <w:numId w:val="17"/>
        </w:num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该表格为参考格式，投标人可按实际情况自行制订。</w:t>
      </w:r>
    </w:p>
    <w:p w14:paraId="5AE1EB1C">
      <w:pPr>
        <w:pStyle w:val="51"/>
        <w:numPr>
          <w:ilvl w:val="0"/>
          <w:numId w:val="17"/>
        </w:num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业绩表所列出的材料应为真实准确的，并应提供相关证明材料复印件加盖公章。请勿提供虚假、过期材料，否则将依据相关规定严肃处理。</w:t>
      </w:r>
    </w:p>
    <w:p w14:paraId="794DF841">
      <w:pPr>
        <w:rPr>
          <w:rFonts w:hint="eastAsia" w:ascii="宋体" w:hAnsi="宋体" w:eastAsia="宋体" w:cs="宋体"/>
          <w:color w:val="auto"/>
          <w:szCs w:val="21"/>
          <w:highlight w:val="none"/>
        </w:rPr>
      </w:pPr>
    </w:p>
    <w:p w14:paraId="5AB7B026">
      <w:pPr>
        <w:rPr>
          <w:rFonts w:hint="eastAsia" w:ascii="宋体" w:hAnsi="宋体" w:eastAsia="宋体" w:cs="宋体"/>
          <w:color w:val="auto"/>
          <w:szCs w:val="21"/>
          <w:highlight w:val="none"/>
        </w:rPr>
      </w:pPr>
    </w:p>
    <w:p w14:paraId="7995D4D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1BFD9B09">
      <w:pPr>
        <w:pStyle w:val="5"/>
        <w:widowControl w:val="0"/>
        <w:overflowPunct w:val="0"/>
        <w:spacing w:line="24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rPr>
        <w:t>附件1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其他商务资料</w:t>
      </w:r>
      <w:r>
        <w:rPr>
          <w:rFonts w:hint="eastAsia" w:ascii="宋体" w:hAnsi="宋体" w:eastAsia="宋体" w:cs="宋体"/>
          <w:color w:val="auto"/>
          <w:highlight w:val="none"/>
        </w:rPr>
        <w:t>（如有）</w:t>
      </w:r>
    </w:p>
    <w:p w14:paraId="36353686">
      <w:pPr>
        <w:numPr>
          <w:ilvl w:val="0"/>
          <w:numId w:val="18"/>
        </w:numPr>
        <w:tabs>
          <w:tab w:val="left" w:pos="1680"/>
        </w:tabs>
        <w:jc w:val="both"/>
        <w:rPr>
          <w:rFonts w:hint="eastAsia" w:ascii="宋体" w:hAnsi="宋体" w:eastAsia="宋体" w:cs="宋体"/>
          <w:b/>
          <w:bCs/>
          <w:color w:val="auto"/>
          <w:kern w:val="2"/>
          <w:sz w:val="21"/>
          <w:szCs w:val="21"/>
          <w:highlight w:val="none"/>
          <w:lang w:val="en-US" w:eastAsia="zh-CN"/>
        </w:rPr>
      </w:pPr>
      <w:r>
        <w:rPr>
          <w:rFonts w:hint="eastAsia" w:ascii="宋体" w:hAnsi="宋体" w:cs="宋体"/>
          <w:b/>
          <w:bCs/>
          <w:color w:val="auto"/>
          <w:kern w:val="2"/>
          <w:sz w:val="21"/>
          <w:szCs w:val="21"/>
          <w:highlight w:val="none"/>
          <w:lang w:val="en-US" w:eastAsia="zh-CN"/>
        </w:rPr>
        <w:t>《投标人参与现场踏勘确认函回执》</w:t>
      </w:r>
    </w:p>
    <w:p w14:paraId="688C16B8">
      <w:pPr>
        <w:pStyle w:val="45"/>
        <w:rPr>
          <w:rFonts w:hint="eastAsia"/>
          <w:color w:val="auto"/>
          <w:highlight w:val="none"/>
          <w:lang w:val="en-US" w:eastAsia="zh-CN"/>
        </w:rPr>
      </w:pPr>
    </w:p>
    <w:p w14:paraId="46756BFB">
      <w:pPr>
        <w:numPr>
          <w:ilvl w:val="0"/>
          <w:numId w:val="18"/>
        </w:numPr>
        <w:tabs>
          <w:tab w:val="left" w:pos="1680"/>
        </w:tabs>
        <w:jc w:val="both"/>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表三：劳动办资源</w:t>
      </w:r>
    </w:p>
    <w:tbl>
      <w:tblPr>
        <w:tblStyle w:val="36"/>
        <w:tblW w:w="823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24"/>
        <w:gridCol w:w="2268"/>
        <w:gridCol w:w="1843"/>
        <w:gridCol w:w="3003"/>
      </w:tblGrid>
      <w:tr w14:paraId="2A84D9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24" w:type="dxa"/>
            <w:vAlign w:val="center"/>
          </w:tcPr>
          <w:p w14:paraId="4BED3FB1">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268" w:type="dxa"/>
            <w:vAlign w:val="center"/>
          </w:tcPr>
          <w:p w14:paraId="1D914C82">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工种</w:t>
            </w:r>
          </w:p>
        </w:tc>
        <w:tc>
          <w:tcPr>
            <w:tcW w:w="1843" w:type="dxa"/>
            <w:vAlign w:val="center"/>
          </w:tcPr>
          <w:p w14:paraId="5EE9BC69">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数量（人）</w:t>
            </w:r>
          </w:p>
        </w:tc>
        <w:tc>
          <w:tcPr>
            <w:tcW w:w="3003" w:type="dxa"/>
            <w:vAlign w:val="center"/>
          </w:tcPr>
          <w:p w14:paraId="4BBE4932">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r>
      <w:tr w14:paraId="32B9445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24" w:type="dxa"/>
            <w:vAlign w:val="center"/>
          </w:tcPr>
          <w:p w14:paraId="6289FE6D">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268" w:type="dxa"/>
            <w:vAlign w:val="center"/>
          </w:tcPr>
          <w:p w14:paraId="3D0561EA">
            <w:pPr>
              <w:snapToGrid w:val="0"/>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施工负责人</w:t>
            </w:r>
          </w:p>
        </w:tc>
        <w:tc>
          <w:tcPr>
            <w:tcW w:w="1843" w:type="dxa"/>
            <w:vAlign w:val="center"/>
          </w:tcPr>
          <w:p w14:paraId="4A07046A">
            <w:pPr>
              <w:snapToGrid w:val="0"/>
              <w:spacing w:line="360" w:lineRule="auto"/>
              <w:ind w:firstLine="0" w:firstLineChars="0"/>
              <w:jc w:val="center"/>
              <w:rPr>
                <w:rFonts w:hint="eastAsia" w:ascii="宋体" w:hAnsi="宋体" w:eastAsia="宋体" w:cs="宋体"/>
                <w:color w:val="auto"/>
                <w:sz w:val="21"/>
                <w:szCs w:val="21"/>
                <w:highlight w:val="none"/>
              </w:rPr>
            </w:pPr>
          </w:p>
        </w:tc>
        <w:tc>
          <w:tcPr>
            <w:tcW w:w="3003" w:type="dxa"/>
            <w:vAlign w:val="center"/>
          </w:tcPr>
          <w:p w14:paraId="7C4EB335">
            <w:pPr>
              <w:snapToGrid w:val="0"/>
              <w:spacing w:line="360" w:lineRule="auto"/>
              <w:ind w:firstLine="0" w:firstLineChars="0"/>
              <w:jc w:val="center"/>
              <w:rPr>
                <w:rFonts w:hint="eastAsia" w:ascii="宋体" w:hAnsi="宋体" w:eastAsia="宋体" w:cs="宋体"/>
                <w:color w:val="auto"/>
                <w:sz w:val="21"/>
                <w:szCs w:val="21"/>
                <w:highlight w:val="none"/>
              </w:rPr>
            </w:pPr>
          </w:p>
        </w:tc>
      </w:tr>
      <w:tr w14:paraId="19FCAF8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24" w:type="dxa"/>
            <w:vAlign w:val="center"/>
          </w:tcPr>
          <w:p w14:paraId="7B00E0B2">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268" w:type="dxa"/>
            <w:vAlign w:val="center"/>
          </w:tcPr>
          <w:p w14:paraId="23D6D1D0">
            <w:pPr>
              <w:snapToGrid w:val="0"/>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技术员</w:t>
            </w:r>
          </w:p>
        </w:tc>
        <w:tc>
          <w:tcPr>
            <w:tcW w:w="1843" w:type="dxa"/>
            <w:vAlign w:val="center"/>
          </w:tcPr>
          <w:p w14:paraId="1208DE03">
            <w:pPr>
              <w:snapToGrid w:val="0"/>
              <w:spacing w:line="360" w:lineRule="auto"/>
              <w:ind w:firstLine="0" w:firstLineChars="0"/>
              <w:jc w:val="center"/>
              <w:rPr>
                <w:rFonts w:hint="eastAsia" w:ascii="宋体" w:hAnsi="宋体" w:eastAsia="宋体" w:cs="宋体"/>
                <w:color w:val="auto"/>
                <w:sz w:val="21"/>
                <w:szCs w:val="21"/>
                <w:highlight w:val="none"/>
              </w:rPr>
            </w:pPr>
          </w:p>
        </w:tc>
        <w:tc>
          <w:tcPr>
            <w:tcW w:w="3003" w:type="dxa"/>
            <w:vAlign w:val="center"/>
          </w:tcPr>
          <w:p w14:paraId="44D7632B">
            <w:pPr>
              <w:snapToGrid w:val="0"/>
              <w:spacing w:line="360" w:lineRule="auto"/>
              <w:ind w:firstLine="0" w:firstLineChars="0"/>
              <w:jc w:val="center"/>
              <w:rPr>
                <w:rFonts w:hint="eastAsia" w:ascii="宋体" w:hAnsi="宋体" w:eastAsia="宋体" w:cs="宋体"/>
                <w:color w:val="auto"/>
                <w:sz w:val="21"/>
                <w:szCs w:val="21"/>
                <w:highlight w:val="none"/>
              </w:rPr>
            </w:pPr>
          </w:p>
        </w:tc>
      </w:tr>
      <w:tr w14:paraId="6826DB6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24" w:type="dxa"/>
            <w:vAlign w:val="center"/>
          </w:tcPr>
          <w:p w14:paraId="76BC8052">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268" w:type="dxa"/>
            <w:vAlign w:val="center"/>
          </w:tcPr>
          <w:p w14:paraId="3E198D11">
            <w:pPr>
              <w:snapToGrid w:val="0"/>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质检员</w:t>
            </w:r>
          </w:p>
        </w:tc>
        <w:tc>
          <w:tcPr>
            <w:tcW w:w="1843" w:type="dxa"/>
            <w:vAlign w:val="center"/>
          </w:tcPr>
          <w:p w14:paraId="6FA76C61">
            <w:pPr>
              <w:snapToGrid w:val="0"/>
              <w:spacing w:line="360" w:lineRule="auto"/>
              <w:ind w:firstLine="0" w:firstLineChars="0"/>
              <w:jc w:val="center"/>
              <w:rPr>
                <w:rFonts w:hint="eastAsia" w:ascii="宋体" w:hAnsi="宋体" w:eastAsia="宋体" w:cs="宋体"/>
                <w:color w:val="auto"/>
                <w:sz w:val="21"/>
                <w:szCs w:val="21"/>
                <w:highlight w:val="none"/>
              </w:rPr>
            </w:pPr>
          </w:p>
        </w:tc>
        <w:tc>
          <w:tcPr>
            <w:tcW w:w="3003" w:type="dxa"/>
            <w:vAlign w:val="center"/>
          </w:tcPr>
          <w:p w14:paraId="02EC2D2A">
            <w:pPr>
              <w:snapToGrid w:val="0"/>
              <w:spacing w:line="360" w:lineRule="auto"/>
              <w:ind w:firstLine="0" w:firstLineChars="0"/>
              <w:jc w:val="center"/>
              <w:rPr>
                <w:rFonts w:hint="eastAsia" w:ascii="宋体" w:hAnsi="宋体" w:eastAsia="宋体" w:cs="宋体"/>
                <w:color w:val="auto"/>
                <w:sz w:val="21"/>
                <w:szCs w:val="21"/>
                <w:highlight w:val="none"/>
              </w:rPr>
            </w:pPr>
          </w:p>
        </w:tc>
      </w:tr>
      <w:tr w14:paraId="590461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24" w:type="dxa"/>
            <w:vAlign w:val="center"/>
          </w:tcPr>
          <w:p w14:paraId="3F79365A">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268" w:type="dxa"/>
            <w:vAlign w:val="center"/>
          </w:tcPr>
          <w:p w14:paraId="1BA1FB30">
            <w:pPr>
              <w:snapToGrid w:val="0"/>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安全员</w:t>
            </w:r>
          </w:p>
        </w:tc>
        <w:tc>
          <w:tcPr>
            <w:tcW w:w="1843" w:type="dxa"/>
            <w:vAlign w:val="center"/>
          </w:tcPr>
          <w:p w14:paraId="56AC996B">
            <w:pPr>
              <w:snapToGrid w:val="0"/>
              <w:spacing w:line="360" w:lineRule="auto"/>
              <w:ind w:firstLine="0" w:firstLineChars="0"/>
              <w:jc w:val="center"/>
              <w:rPr>
                <w:rFonts w:hint="eastAsia" w:ascii="宋体" w:hAnsi="宋体" w:eastAsia="宋体" w:cs="宋体"/>
                <w:color w:val="auto"/>
                <w:sz w:val="21"/>
                <w:szCs w:val="21"/>
                <w:highlight w:val="none"/>
              </w:rPr>
            </w:pPr>
          </w:p>
        </w:tc>
        <w:tc>
          <w:tcPr>
            <w:tcW w:w="3003" w:type="dxa"/>
            <w:vAlign w:val="center"/>
          </w:tcPr>
          <w:p w14:paraId="2F524CEC">
            <w:pPr>
              <w:snapToGrid w:val="0"/>
              <w:spacing w:line="360" w:lineRule="auto"/>
              <w:ind w:firstLine="0" w:firstLineChars="0"/>
              <w:jc w:val="center"/>
              <w:rPr>
                <w:rFonts w:hint="eastAsia" w:ascii="宋体" w:hAnsi="宋体" w:eastAsia="宋体" w:cs="宋体"/>
                <w:color w:val="auto"/>
                <w:sz w:val="21"/>
                <w:szCs w:val="21"/>
                <w:highlight w:val="none"/>
              </w:rPr>
            </w:pPr>
          </w:p>
        </w:tc>
      </w:tr>
      <w:tr w14:paraId="31879FA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24" w:type="dxa"/>
            <w:vAlign w:val="center"/>
          </w:tcPr>
          <w:p w14:paraId="2B096FE6">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268" w:type="dxa"/>
            <w:vAlign w:val="center"/>
          </w:tcPr>
          <w:p w14:paraId="3DAF3A7E">
            <w:pPr>
              <w:snapToGrid w:val="0"/>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电焊工</w:t>
            </w:r>
          </w:p>
        </w:tc>
        <w:tc>
          <w:tcPr>
            <w:tcW w:w="1843" w:type="dxa"/>
            <w:vAlign w:val="center"/>
          </w:tcPr>
          <w:p w14:paraId="32D110B2">
            <w:pPr>
              <w:snapToGrid w:val="0"/>
              <w:spacing w:line="360" w:lineRule="auto"/>
              <w:ind w:firstLine="0" w:firstLineChars="0"/>
              <w:jc w:val="center"/>
              <w:rPr>
                <w:rFonts w:hint="eastAsia" w:ascii="宋体" w:hAnsi="宋体" w:eastAsia="宋体" w:cs="宋体"/>
                <w:color w:val="auto"/>
                <w:sz w:val="21"/>
                <w:szCs w:val="21"/>
                <w:highlight w:val="none"/>
              </w:rPr>
            </w:pPr>
          </w:p>
        </w:tc>
        <w:tc>
          <w:tcPr>
            <w:tcW w:w="3003" w:type="dxa"/>
            <w:vAlign w:val="center"/>
          </w:tcPr>
          <w:p w14:paraId="3A216575">
            <w:pPr>
              <w:snapToGrid w:val="0"/>
              <w:spacing w:line="360" w:lineRule="auto"/>
              <w:ind w:firstLine="0" w:firstLineChars="0"/>
              <w:jc w:val="center"/>
              <w:rPr>
                <w:rFonts w:hint="eastAsia" w:ascii="宋体" w:hAnsi="宋体" w:eastAsia="宋体" w:cs="宋体"/>
                <w:color w:val="auto"/>
                <w:sz w:val="21"/>
                <w:szCs w:val="21"/>
                <w:highlight w:val="none"/>
              </w:rPr>
            </w:pPr>
          </w:p>
        </w:tc>
      </w:tr>
    </w:tbl>
    <w:p w14:paraId="35F54127">
      <w:pPr>
        <w:snapToGrid w:val="0"/>
        <w:spacing w:line="360" w:lineRule="auto"/>
        <w:ind w:firstLine="1224" w:firstLineChars="583"/>
        <w:jc w:val="left"/>
        <w:rPr>
          <w:rFonts w:hint="eastAsia" w:ascii="宋体" w:hAnsi="宋体" w:eastAsia="宋体" w:cs="宋体"/>
          <w:color w:val="auto"/>
          <w:sz w:val="21"/>
          <w:szCs w:val="21"/>
          <w:highlight w:val="none"/>
        </w:rPr>
      </w:pPr>
    </w:p>
    <w:p w14:paraId="2080A994">
      <w:pPr>
        <w:numPr>
          <w:ilvl w:val="0"/>
          <w:numId w:val="18"/>
        </w:numPr>
        <w:tabs>
          <w:tab w:val="left" w:pos="1680"/>
        </w:tabs>
        <w:jc w:val="both"/>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表四：工、器具资源</w:t>
      </w:r>
    </w:p>
    <w:tbl>
      <w:tblPr>
        <w:tblStyle w:val="36"/>
        <w:tblW w:w="8314" w:type="dxa"/>
        <w:jc w:val="center"/>
        <w:tblLayout w:type="fixed"/>
        <w:tblCellMar>
          <w:top w:w="0" w:type="dxa"/>
          <w:left w:w="108" w:type="dxa"/>
          <w:bottom w:w="0" w:type="dxa"/>
          <w:right w:w="108" w:type="dxa"/>
        </w:tblCellMar>
      </w:tblPr>
      <w:tblGrid>
        <w:gridCol w:w="761"/>
        <w:gridCol w:w="1756"/>
        <w:gridCol w:w="1303"/>
        <w:gridCol w:w="708"/>
        <w:gridCol w:w="993"/>
        <w:gridCol w:w="2793"/>
      </w:tblGrid>
      <w:tr w14:paraId="3733D929">
        <w:tblPrEx>
          <w:tblCellMar>
            <w:top w:w="0" w:type="dxa"/>
            <w:left w:w="108" w:type="dxa"/>
            <w:bottom w:w="0" w:type="dxa"/>
            <w:right w:w="108" w:type="dxa"/>
          </w:tblCellMar>
        </w:tblPrEx>
        <w:trPr>
          <w:trHeight w:val="170" w:hRule="atLeast"/>
          <w:tblHeader/>
          <w:jc w:val="center"/>
        </w:trPr>
        <w:tc>
          <w:tcPr>
            <w:tcW w:w="761" w:type="dxa"/>
            <w:tcBorders>
              <w:top w:val="single" w:color="auto" w:sz="6" w:space="0"/>
              <w:left w:val="single" w:color="auto" w:sz="6" w:space="0"/>
              <w:bottom w:val="single" w:color="auto" w:sz="6" w:space="0"/>
              <w:right w:val="single" w:color="auto" w:sz="6" w:space="0"/>
            </w:tcBorders>
            <w:vAlign w:val="center"/>
          </w:tcPr>
          <w:p w14:paraId="2DB9CC01">
            <w:pPr>
              <w:snapToGrid w:val="0"/>
              <w:spacing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zh-CN"/>
              </w:rPr>
              <w:t>序号</w:t>
            </w:r>
          </w:p>
        </w:tc>
        <w:tc>
          <w:tcPr>
            <w:tcW w:w="1756" w:type="dxa"/>
            <w:tcBorders>
              <w:top w:val="single" w:color="auto" w:sz="6" w:space="0"/>
              <w:left w:val="single" w:color="auto" w:sz="6" w:space="0"/>
              <w:bottom w:val="single" w:color="auto" w:sz="6" w:space="0"/>
              <w:right w:val="single" w:color="auto" w:sz="6" w:space="0"/>
            </w:tcBorders>
            <w:vAlign w:val="center"/>
          </w:tcPr>
          <w:p w14:paraId="08271D72">
            <w:pPr>
              <w:snapToGrid w:val="0"/>
              <w:spacing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zh-CN"/>
              </w:rPr>
              <w:t>名称</w:t>
            </w:r>
          </w:p>
        </w:tc>
        <w:tc>
          <w:tcPr>
            <w:tcW w:w="1303" w:type="dxa"/>
            <w:tcBorders>
              <w:top w:val="single" w:color="auto" w:sz="6" w:space="0"/>
              <w:left w:val="single" w:color="auto" w:sz="6" w:space="0"/>
              <w:bottom w:val="single" w:color="auto" w:sz="6" w:space="0"/>
              <w:right w:val="single" w:color="auto" w:sz="6" w:space="0"/>
            </w:tcBorders>
            <w:vAlign w:val="center"/>
          </w:tcPr>
          <w:p w14:paraId="64A330D6">
            <w:pPr>
              <w:snapToGrid w:val="0"/>
              <w:spacing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zh-CN"/>
              </w:rPr>
              <w:t>规格型号</w:t>
            </w:r>
          </w:p>
        </w:tc>
        <w:tc>
          <w:tcPr>
            <w:tcW w:w="708" w:type="dxa"/>
            <w:tcBorders>
              <w:top w:val="single" w:color="auto" w:sz="6" w:space="0"/>
              <w:left w:val="single" w:color="auto" w:sz="6" w:space="0"/>
              <w:bottom w:val="single" w:color="auto" w:sz="6" w:space="0"/>
              <w:right w:val="single" w:color="auto" w:sz="6" w:space="0"/>
            </w:tcBorders>
            <w:vAlign w:val="center"/>
          </w:tcPr>
          <w:p w14:paraId="7DEEF4A8">
            <w:pPr>
              <w:snapToGrid w:val="0"/>
              <w:spacing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zh-CN"/>
              </w:rPr>
              <w:t>单位</w:t>
            </w:r>
          </w:p>
        </w:tc>
        <w:tc>
          <w:tcPr>
            <w:tcW w:w="993" w:type="dxa"/>
            <w:tcBorders>
              <w:top w:val="single" w:color="auto" w:sz="6" w:space="0"/>
              <w:left w:val="single" w:color="auto" w:sz="6" w:space="0"/>
              <w:bottom w:val="single" w:color="auto" w:sz="6" w:space="0"/>
              <w:right w:val="single" w:color="auto" w:sz="6" w:space="0"/>
            </w:tcBorders>
            <w:vAlign w:val="center"/>
          </w:tcPr>
          <w:p w14:paraId="17F4F991">
            <w:pPr>
              <w:snapToGrid w:val="0"/>
              <w:spacing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zh-CN"/>
              </w:rPr>
              <w:t>数量</w:t>
            </w:r>
          </w:p>
        </w:tc>
        <w:tc>
          <w:tcPr>
            <w:tcW w:w="2793" w:type="dxa"/>
            <w:tcBorders>
              <w:top w:val="single" w:color="auto" w:sz="6" w:space="0"/>
              <w:left w:val="single" w:color="auto" w:sz="6" w:space="0"/>
              <w:bottom w:val="single" w:color="auto" w:sz="6" w:space="0"/>
              <w:right w:val="single" w:color="auto" w:sz="6" w:space="0"/>
            </w:tcBorders>
            <w:vAlign w:val="center"/>
          </w:tcPr>
          <w:p w14:paraId="6B70FE4B">
            <w:pPr>
              <w:snapToGrid w:val="0"/>
              <w:spacing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zh-CN"/>
              </w:rPr>
              <w:t>要求</w:t>
            </w:r>
          </w:p>
        </w:tc>
      </w:tr>
      <w:tr w14:paraId="55ADE9AB">
        <w:tblPrEx>
          <w:tblCellMar>
            <w:top w:w="0" w:type="dxa"/>
            <w:left w:w="108" w:type="dxa"/>
            <w:bottom w:w="0" w:type="dxa"/>
            <w:right w:w="108" w:type="dxa"/>
          </w:tblCellMar>
        </w:tblPrEx>
        <w:trPr>
          <w:trHeight w:val="170" w:hRule="atLeast"/>
          <w:jc w:val="center"/>
        </w:trPr>
        <w:tc>
          <w:tcPr>
            <w:tcW w:w="761" w:type="dxa"/>
            <w:tcBorders>
              <w:top w:val="single" w:color="auto" w:sz="6" w:space="0"/>
              <w:left w:val="single" w:color="auto" w:sz="6" w:space="0"/>
              <w:bottom w:val="single" w:color="auto" w:sz="6" w:space="0"/>
              <w:right w:val="single" w:color="auto" w:sz="6" w:space="0"/>
            </w:tcBorders>
            <w:vAlign w:val="center"/>
          </w:tcPr>
          <w:p w14:paraId="275E833E">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56" w:type="dxa"/>
            <w:tcBorders>
              <w:top w:val="single" w:color="auto" w:sz="6" w:space="0"/>
              <w:left w:val="single" w:color="auto" w:sz="6" w:space="0"/>
              <w:bottom w:val="single" w:color="auto" w:sz="6" w:space="0"/>
              <w:right w:val="single" w:color="auto" w:sz="6" w:space="0"/>
            </w:tcBorders>
            <w:vAlign w:val="center"/>
          </w:tcPr>
          <w:p w14:paraId="64D4F377">
            <w:pPr>
              <w:snapToGrid w:val="0"/>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气割</w:t>
            </w:r>
          </w:p>
        </w:tc>
        <w:tc>
          <w:tcPr>
            <w:tcW w:w="1303" w:type="dxa"/>
            <w:tcBorders>
              <w:top w:val="single" w:color="auto" w:sz="6" w:space="0"/>
              <w:left w:val="single" w:color="auto" w:sz="6" w:space="0"/>
              <w:bottom w:val="single" w:color="auto" w:sz="6" w:space="0"/>
              <w:right w:val="single" w:color="auto" w:sz="6" w:space="0"/>
            </w:tcBorders>
            <w:vAlign w:val="center"/>
          </w:tcPr>
          <w:p w14:paraId="290B50CD">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08" w:type="dxa"/>
            <w:tcBorders>
              <w:top w:val="single" w:color="auto" w:sz="6" w:space="0"/>
              <w:left w:val="single" w:color="auto" w:sz="6" w:space="0"/>
              <w:bottom w:val="single" w:color="auto" w:sz="6" w:space="0"/>
              <w:right w:val="single" w:color="auto" w:sz="6" w:space="0"/>
            </w:tcBorders>
            <w:vAlign w:val="center"/>
          </w:tcPr>
          <w:p w14:paraId="74D2F93F">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套</w:t>
            </w:r>
          </w:p>
        </w:tc>
        <w:tc>
          <w:tcPr>
            <w:tcW w:w="993" w:type="dxa"/>
            <w:tcBorders>
              <w:top w:val="single" w:color="auto" w:sz="6" w:space="0"/>
              <w:left w:val="single" w:color="auto" w:sz="6" w:space="0"/>
              <w:bottom w:val="single" w:color="auto" w:sz="6" w:space="0"/>
              <w:right w:val="single" w:color="auto" w:sz="6" w:space="0"/>
            </w:tcBorders>
            <w:vAlign w:val="center"/>
          </w:tcPr>
          <w:p w14:paraId="3A5238E9">
            <w:pPr>
              <w:snapToGrid w:val="0"/>
              <w:spacing w:line="360" w:lineRule="auto"/>
              <w:ind w:firstLine="0" w:firstLineChars="0"/>
              <w:jc w:val="center"/>
              <w:rPr>
                <w:rFonts w:hint="eastAsia" w:ascii="宋体" w:hAnsi="宋体" w:eastAsia="宋体" w:cs="宋体"/>
                <w:color w:val="auto"/>
                <w:sz w:val="21"/>
                <w:szCs w:val="21"/>
                <w:highlight w:val="none"/>
              </w:rPr>
            </w:pPr>
          </w:p>
        </w:tc>
        <w:tc>
          <w:tcPr>
            <w:tcW w:w="2793" w:type="dxa"/>
            <w:tcBorders>
              <w:top w:val="single" w:color="auto" w:sz="6" w:space="0"/>
              <w:left w:val="single" w:color="auto" w:sz="6" w:space="0"/>
              <w:bottom w:val="single" w:color="auto" w:sz="6" w:space="0"/>
              <w:right w:val="single" w:color="auto" w:sz="6" w:space="0"/>
            </w:tcBorders>
            <w:vAlign w:val="center"/>
          </w:tcPr>
          <w:p w14:paraId="61D48D23">
            <w:pPr>
              <w:snapToGrid w:val="0"/>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检查合格</w:t>
            </w:r>
          </w:p>
        </w:tc>
      </w:tr>
      <w:tr w14:paraId="139CB416">
        <w:tblPrEx>
          <w:tblCellMar>
            <w:top w:w="0" w:type="dxa"/>
            <w:left w:w="108" w:type="dxa"/>
            <w:bottom w:w="0" w:type="dxa"/>
            <w:right w:w="108" w:type="dxa"/>
          </w:tblCellMar>
        </w:tblPrEx>
        <w:trPr>
          <w:trHeight w:val="170" w:hRule="atLeast"/>
          <w:jc w:val="center"/>
        </w:trPr>
        <w:tc>
          <w:tcPr>
            <w:tcW w:w="761" w:type="dxa"/>
            <w:tcBorders>
              <w:top w:val="single" w:color="auto" w:sz="6" w:space="0"/>
              <w:left w:val="single" w:color="auto" w:sz="6" w:space="0"/>
              <w:bottom w:val="single" w:color="auto" w:sz="6" w:space="0"/>
              <w:right w:val="single" w:color="auto" w:sz="6" w:space="0"/>
            </w:tcBorders>
            <w:vAlign w:val="center"/>
          </w:tcPr>
          <w:p w14:paraId="2709B3D4">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756" w:type="dxa"/>
            <w:tcBorders>
              <w:top w:val="single" w:color="auto" w:sz="6" w:space="0"/>
              <w:left w:val="single" w:color="auto" w:sz="6" w:space="0"/>
              <w:bottom w:val="single" w:color="auto" w:sz="6" w:space="0"/>
              <w:right w:val="single" w:color="auto" w:sz="6" w:space="0"/>
            </w:tcBorders>
            <w:vAlign w:val="center"/>
          </w:tcPr>
          <w:p w14:paraId="00BD04E2">
            <w:pPr>
              <w:snapToGrid w:val="0"/>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磨光机</w:t>
            </w:r>
          </w:p>
        </w:tc>
        <w:tc>
          <w:tcPr>
            <w:tcW w:w="1303" w:type="dxa"/>
            <w:tcBorders>
              <w:top w:val="single" w:color="auto" w:sz="6" w:space="0"/>
              <w:left w:val="single" w:color="auto" w:sz="6" w:space="0"/>
              <w:bottom w:val="single" w:color="auto" w:sz="6" w:space="0"/>
              <w:right w:val="single" w:color="auto" w:sz="6" w:space="0"/>
            </w:tcBorders>
            <w:vAlign w:val="center"/>
          </w:tcPr>
          <w:p w14:paraId="28655C4C">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φ100</w:t>
            </w:r>
          </w:p>
        </w:tc>
        <w:tc>
          <w:tcPr>
            <w:tcW w:w="708" w:type="dxa"/>
            <w:tcBorders>
              <w:top w:val="single" w:color="auto" w:sz="6" w:space="0"/>
              <w:left w:val="single" w:color="auto" w:sz="6" w:space="0"/>
              <w:bottom w:val="single" w:color="auto" w:sz="6" w:space="0"/>
              <w:right w:val="single" w:color="auto" w:sz="6" w:space="0"/>
            </w:tcBorders>
            <w:vAlign w:val="center"/>
          </w:tcPr>
          <w:p w14:paraId="6A7258D3">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台</w:t>
            </w:r>
          </w:p>
        </w:tc>
        <w:tc>
          <w:tcPr>
            <w:tcW w:w="993" w:type="dxa"/>
            <w:tcBorders>
              <w:top w:val="single" w:color="auto" w:sz="6" w:space="0"/>
              <w:left w:val="single" w:color="auto" w:sz="6" w:space="0"/>
              <w:bottom w:val="single" w:color="auto" w:sz="6" w:space="0"/>
              <w:right w:val="single" w:color="auto" w:sz="6" w:space="0"/>
            </w:tcBorders>
            <w:vAlign w:val="center"/>
          </w:tcPr>
          <w:p w14:paraId="5A869661">
            <w:pPr>
              <w:snapToGrid w:val="0"/>
              <w:spacing w:line="360" w:lineRule="auto"/>
              <w:ind w:firstLine="0" w:firstLineChars="0"/>
              <w:jc w:val="center"/>
              <w:rPr>
                <w:rFonts w:hint="eastAsia" w:ascii="宋体" w:hAnsi="宋体" w:eastAsia="宋体" w:cs="宋体"/>
                <w:color w:val="auto"/>
                <w:sz w:val="21"/>
                <w:szCs w:val="21"/>
                <w:highlight w:val="none"/>
              </w:rPr>
            </w:pPr>
          </w:p>
        </w:tc>
        <w:tc>
          <w:tcPr>
            <w:tcW w:w="2793" w:type="dxa"/>
            <w:tcBorders>
              <w:top w:val="single" w:color="auto" w:sz="6" w:space="0"/>
              <w:left w:val="single" w:color="auto" w:sz="6" w:space="0"/>
              <w:bottom w:val="single" w:color="auto" w:sz="6" w:space="0"/>
              <w:right w:val="single" w:color="auto" w:sz="6" w:space="0"/>
            </w:tcBorders>
            <w:vAlign w:val="center"/>
          </w:tcPr>
          <w:p w14:paraId="57ED8D40">
            <w:pPr>
              <w:snapToGrid w:val="0"/>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检验合格并在有效期内</w:t>
            </w:r>
          </w:p>
        </w:tc>
      </w:tr>
      <w:tr w14:paraId="52BD1968">
        <w:tblPrEx>
          <w:tblCellMar>
            <w:top w:w="0" w:type="dxa"/>
            <w:left w:w="108" w:type="dxa"/>
            <w:bottom w:w="0" w:type="dxa"/>
            <w:right w:w="108" w:type="dxa"/>
          </w:tblCellMar>
        </w:tblPrEx>
        <w:trPr>
          <w:trHeight w:val="170" w:hRule="atLeast"/>
          <w:jc w:val="center"/>
        </w:trPr>
        <w:tc>
          <w:tcPr>
            <w:tcW w:w="761" w:type="dxa"/>
            <w:tcBorders>
              <w:top w:val="single" w:color="auto" w:sz="6" w:space="0"/>
              <w:left w:val="single" w:color="auto" w:sz="6" w:space="0"/>
              <w:bottom w:val="single" w:color="auto" w:sz="6" w:space="0"/>
              <w:right w:val="single" w:color="auto" w:sz="6" w:space="0"/>
            </w:tcBorders>
            <w:vAlign w:val="center"/>
          </w:tcPr>
          <w:p w14:paraId="7FBBD427">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756" w:type="dxa"/>
            <w:tcBorders>
              <w:top w:val="single" w:color="auto" w:sz="6" w:space="0"/>
              <w:left w:val="single" w:color="auto" w:sz="6" w:space="0"/>
              <w:bottom w:val="single" w:color="auto" w:sz="6" w:space="0"/>
              <w:right w:val="single" w:color="auto" w:sz="6" w:space="0"/>
            </w:tcBorders>
            <w:vAlign w:val="center"/>
          </w:tcPr>
          <w:p w14:paraId="66B67AFE">
            <w:pPr>
              <w:snapToGrid w:val="0"/>
              <w:spacing w:line="360" w:lineRule="auto"/>
              <w:ind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内磨机</w:t>
            </w:r>
          </w:p>
        </w:tc>
        <w:tc>
          <w:tcPr>
            <w:tcW w:w="1303" w:type="dxa"/>
            <w:tcBorders>
              <w:top w:val="single" w:color="auto" w:sz="6" w:space="0"/>
              <w:left w:val="single" w:color="auto" w:sz="6" w:space="0"/>
              <w:bottom w:val="single" w:color="auto" w:sz="6" w:space="0"/>
              <w:right w:val="single" w:color="auto" w:sz="6" w:space="0"/>
            </w:tcBorders>
            <w:vAlign w:val="center"/>
          </w:tcPr>
          <w:p w14:paraId="392E7848">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08" w:type="dxa"/>
            <w:tcBorders>
              <w:top w:val="single" w:color="auto" w:sz="6" w:space="0"/>
              <w:left w:val="single" w:color="auto" w:sz="6" w:space="0"/>
              <w:bottom w:val="single" w:color="auto" w:sz="6" w:space="0"/>
              <w:right w:val="single" w:color="auto" w:sz="6" w:space="0"/>
            </w:tcBorders>
            <w:vAlign w:val="center"/>
          </w:tcPr>
          <w:p w14:paraId="411F6A1B">
            <w:pPr>
              <w:snapToGrid w:val="0"/>
              <w:spacing w:line="360" w:lineRule="auto"/>
              <w:ind w:firstLine="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台</w:t>
            </w:r>
          </w:p>
        </w:tc>
        <w:tc>
          <w:tcPr>
            <w:tcW w:w="993" w:type="dxa"/>
            <w:tcBorders>
              <w:top w:val="single" w:color="auto" w:sz="6" w:space="0"/>
              <w:left w:val="single" w:color="auto" w:sz="6" w:space="0"/>
              <w:bottom w:val="single" w:color="auto" w:sz="6" w:space="0"/>
              <w:right w:val="single" w:color="auto" w:sz="6" w:space="0"/>
            </w:tcBorders>
            <w:vAlign w:val="center"/>
          </w:tcPr>
          <w:p w14:paraId="09B81922">
            <w:pPr>
              <w:snapToGrid w:val="0"/>
              <w:spacing w:line="360" w:lineRule="auto"/>
              <w:ind w:firstLine="0" w:firstLineChars="0"/>
              <w:jc w:val="center"/>
              <w:rPr>
                <w:rFonts w:hint="eastAsia" w:ascii="宋体" w:hAnsi="宋体" w:eastAsia="宋体" w:cs="宋体"/>
                <w:color w:val="auto"/>
                <w:sz w:val="21"/>
                <w:szCs w:val="21"/>
                <w:highlight w:val="none"/>
              </w:rPr>
            </w:pPr>
          </w:p>
        </w:tc>
        <w:tc>
          <w:tcPr>
            <w:tcW w:w="2793" w:type="dxa"/>
            <w:tcBorders>
              <w:top w:val="single" w:color="auto" w:sz="6" w:space="0"/>
              <w:left w:val="single" w:color="auto" w:sz="6" w:space="0"/>
              <w:bottom w:val="single" w:color="auto" w:sz="6" w:space="0"/>
              <w:right w:val="single" w:color="auto" w:sz="6" w:space="0"/>
            </w:tcBorders>
            <w:vAlign w:val="center"/>
          </w:tcPr>
          <w:p w14:paraId="0BFE6EBD">
            <w:pPr>
              <w:snapToGrid w:val="0"/>
              <w:spacing w:line="360" w:lineRule="auto"/>
              <w:ind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检验合格并在有效期内</w:t>
            </w:r>
          </w:p>
        </w:tc>
      </w:tr>
      <w:tr w14:paraId="00FB805B">
        <w:tblPrEx>
          <w:tblCellMar>
            <w:top w:w="0" w:type="dxa"/>
            <w:left w:w="108" w:type="dxa"/>
            <w:bottom w:w="0" w:type="dxa"/>
            <w:right w:w="108" w:type="dxa"/>
          </w:tblCellMar>
        </w:tblPrEx>
        <w:trPr>
          <w:trHeight w:val="170" w:hRule="atLeast"/>
          <w:jc w:val="center"/>
        </w:trPr>
        <w:tc>
          <w:tcPr>
            <w:tcW w:w="761" w:type="dxa"/>
            <w:tcBorders>
              <w:top w:val="single" w:color="auto" w:sz="6" w:space="0"/>
              <w:left w:val="single" w:color="auto" w:sz="6" w:space="0"/>
              <w:bottom w:val="single" w:color="auto" w:sz="6" w:space="0"/>
              <w:right w:val="single" w:color="auto" w:sz="6" w:space="0"/>
            </w:tcBorders>
            <w:vAlign w:val="center"/>
          </w:tcPr>
          <w:p w14:paraId="638FF411">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756" w:type="dxa"/>
            <w:tcBorders>
              <w:top w:val="single" w:color="auto" w:sz="6" w:space="0"/>
              <w:left w:val="single" w:color="auto" w:sz="6" w:space="0"/>
              <w:bottom w:val="single" w:color="auto" w:sz="6" w:space="0"/>
              <w:right w:val="single" w:color="auto" w:sz="6" w:space="0"/>
            </w:tcBorders>
            <w:vAlign w:val="center"/>
          </w:tcPr>
          <w:p w14:paraId="0F96753E">
            <w:pPr>
              <w:snapToGrid w:val="0"/>
              <w:spacing w:line="360" w:lineRule="auto"/>
              <w:ind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对口钳</w:t>
            </w:r>
          </w:p>
        </w:tc>
        <w:tc>
          <w:tcPr>
            <w:tcW w:w="1303" w:type="dxa"/>
            <w:tcBorders>
              <w:top w:val="single" w:color="auto" w:sz="6" w:space="0"/>
              <w:left w:val="single" w:color="auto" w:sz="6" w:space="0"/>
              <w:bottom w:val="single" w:color="auto" w:sz="6" w:space="0"/>
              <w:right w:val="single" w:color="auto" w:sz="6" w:space="0"/>
            </w:tcBorders>
            <w:vAlign w:val="center"/>
          </w:tcPr>
          <w:p w14:paraId="707D21E6">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08" w:type="dxa"/>
            <w:tcBorders>
              <w:top w:val="single" w:color="auto" w:sz="6" w:space="0"/>
              <w:left w:val="single" w:color="auto" w:sz="6" w:space="0"/>
              <w:bottom w:val="single" w:color="auto" w:sz="6" w:space="0"/>
              <w:right w:val="single" w:color="auto" w:sz="6" w:space="0"/>
            </w:tcBorders>
            <w:vAlign w:val="center"/>
          </w:tcPr>
          <w:p w14:paraId="43ECBF64">
            <w:pPr>
              <w:snapToGrid w:val="0"/>
              <w:spacing w:line="360" w:lineRule="auto"/>
              <w:ind w:firstLine="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把</w:t>
            </w:r>
          </w:p>
        </w:tc>
        <w:tc>
          <w:tcPr>
            <w:tcW w:w="993" w:type="dxa"/>
            <w:tcBorders>
              <w:top w:val="single" w:color="auto" w:sz="6" w:space="0"/>
              <w:left w:val="single" w:color="auto" w:sz="6" w:space="0"/>
              <w:bottom w:val="single" w:color="auto" w:sz="6" w:space="0"/>
              <w:right w:val="single" w:color="auto" w:sz="6" w:space="0"/>
            </w:tcBorders>
            <w:vAlign w:val="center"/>
          </w:tcPr>
          <w:p w14:paraId="07702FA6">
            <w:pPr>
              <w:snapToGrid w:val="0"/>
              <w:spacing w:line="360" w:lineRule="auto"/>
              <w:ind w:firstLine="0" w:firstLineChars="0"/>
              <w:jc w:val="center"/>
              <w:rPr>
                <w:rFonts w:hint="eastAsia" w:ascii="宋体" w:hAnsi="宋体" w:eastAsia="宋体" w:cs="宋体"/>
                <w:color w:val="auto"/>
                <w:sz w:val="21"/>
                <w:szCs w:val="21"/>
                <w:highlight w:val="none"/>
              </w:rPr>
            </w:pPr>
          </w:p>
        </w:tc>
        <w:tc>
          <w:tcPr>
            <w:tcW w:w="2793" w:type="dxa"/>
            <w:tcBorders>
              <w:top w:val="single" w:color="auto" w:sz="6" w:space="0"/>
              <w:left w:val="single" w:color="auto" w:sz="6" w:space="0"/>
              <w:bottom w:val="single" w:color="auto" w:sz="6" w:space="0"/>
              <w:right w:val="single" w:color="auto" w:sz="6" w:space="0"/>
            </w:tcBorders>
            <w:vAlign w:val="center"/>
          </w:tcPr>
          <w:p w14:paraId="5776D63C">
            <w:pPr>
              <w:snapToGrid w:val="0"/>
              <w:spacing w:line="360" w:lineRule="auto"/>
              <w:ind w:firstLine="0" w:firstLineChars="0"/>
              <w:rPr>
                <w:rFonts w:hint="eastAsia" w:ascii="宋体" w:hAnsi="宋体" w:eastAsia="宋体" w:cs="宋体"/>
                <w:color w:val="auto"/>
                <w:sz w:val="21"/>
                <w:szCs w:val="21"/>
                <w:highlight w:val="none"/>
                <w:lang w:val="zh-CN"/>
              </w:rPr>
            </w:pPr>
          </w:p>
        </w:tc>
      </w:tr>
      <w:tr w14:paraId="593AD29C">
        <w:tblPrEx>
          <w:tblCellMar>
            <w:top w:w="0" w:type="dxa"/>
            <w:left w:w="108" w:type="dxa"/>
            <w:bottom w:w="0" w:type="dxa"/>
            <w:right w:w="108" w:type="dxa"/>
          </w:tblCellMar>
        </w:tblPrEx>
        <w:trPr>
          <w:trHeight w:val="170" w:hRule="atLeast"/>
          <w:jc w:val="center"/>
        </w:trPr>
        <w:tc>
          <w:tcPr>
            <w:tcW w:w="761" w:type="dxa"/>
            <w:tcBorders>
              <w:top w:val="single" w:color="auto" w:sz="6" w:space="0"/>
              <w:left w:val="single" w:color="auto" w:sz="6" w:space="0"/>
              <w:bottom w:val="single" w:color="auto" w:sz="6" w:space="0"/>
              <w:right w:val="single" w:color="auto" w:sz="6" w:space="0"/>
            </w:tcBorders>
            <w:vAlign w:val="center"/>
          </w:tcPr>
          <w:p w14:paraId="609075ED">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756" w:type="dxa"/>
            <w:tcBorders>
              <w:top w:val="single" w:color="auto" w:sz="6" w:space="0"/>
              <w:left w:val="single" w:color="auto" w:sz="6" w:space="0"/>
              <w:bottom w:val="single" w:color="auto" w:sz="6" w:space="0"/>
              <w:right w:val="single" w:color="auto" w:sz="6" w:space="0"/>
            </w:tcBorders>
            <w:vAlign w:val="center"/>
          </w:tcPr>
          <w:p w14:paraId="15C2EF37">
            <w:pPr>
              <w:snapToGrid w:val="0"/>
              <w:spacing w:line="360" w:lineRule="auto"/>
              <w:ind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直流焊机</w:t>
            </w:r>
          </w:p>
        </w:tc>
        <w:tc>
          <w:tcPr>
            <w:tcW w:w="1303" w:type="dxa"/>
            <w:tcBorders>
              <w:top w:val="single" w:color="auto" w:sz="6" w:space="0"/>
              <w:left w:val="single" w:color="auto" w:sz="6" w:space="0"/>
              <w:bottom w:val="single" w:color="auto" w:sz="6" w:space="0"/>
              <w:right w:val="single" w:color="auto" w:sz="6" w:space="0"/>
            </w:tcBorders>
            <w:vAlign w:val="center"/>
          </w:tcPr>
          <w:p w14:paraId="3DE71CE6">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400</w:t>
            </w:r>
          </w:p>
        </w:tc>
        <w:tc>
          <w:tcPr>
            <w:tcW w:w="708" w:type="dxa"/>
            <w:tcBorders>
              <w:top w:val="single" w:color="auto" w:sz="6" w:space="0"/>
              <w:left w:val="single" w:color="auto" w:sz="6" w:space="0"/>
              <w:bottom w:val="single" w:color="auto" w:sz="6" w:space="0"/>
              <w:right w:val="single" w:color="auto" w:sz="6" w:space="0"/>
            </w:tcBorders>
            <w:vAlign w:val="center"/>
          </w:tcPr>
          <w:p w14:paraId="3AA2A153">
            <w:pPr>
              <w:snapToGrid w:val="0"/>
              <w:spacing w:line="360" w:lineRule="auto"/>
              <w:ind w:firstLine="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台</w:t>
            </w:r>
          </w:p>
        </w:tc>
        <w:tc>
          <w:tcPr>
            <w:tcW w:w="993" w:type="dxa"/>
            <w:tcBorders>
              <w:top w:val="single" w:color="auto" w:sz="6" w:space="0"/>
              <w:left w:val="single" w:color="auto" w:sz="6" w:space="0"/>
              <w:bottom w:val="single" w:color="auto" w:sz="6" w:space="0"/>
              <w:right w:val="single" w:color="auto" w:sz="6" w:space="0"/>
            </w:tcBorders>
            <w:vAlign w:val="center"/>
          </w:tcPr>
          <w:p w14:paraId="30FFFE48">
            <w:pPr>
              <w:snapToGrid w:val="0"/>
              <w:spacing w:line="360" w:lineRule="auto"/>
              <w:ind w:firstLine="0" w:firstLineChars="0"/>
              <w:jc w:val="center"/>
              <w:rPr>
                <w:rFonts w:hint="eastAsia" w:ascii="宋体" w:hAnsi="宋体" w:eastAsia="宋体" w:cs="宋体"/>
                <w:color w:val="auto"/>
                <w:sz w:val="21"/>
                <w:szCs w:val="21"/>
                <w:highlight w:val="none"/>
              </w:rPr>
            </w:pPr>
          </w:p>
        </w:tc>
        <w:tc>
          <w:tcPr>
            <w:tcW w:w="2793" w:type="dxa"/>
            <w:tcBorders>
              <w:top w:val="single" w:color="auto" w:sz="6" w:space="0"/>
              <w:left w:val="single" w:color="auto" w:sz="6" w:space="0"/>
              <w:bottom w:val="single" w:color="auto" w:sz="6" w:space="0"/>
              <w:right w:val="single" w:color="auto" w:sz="6" w:space="0"/>
            </w:tcBorders>
            <w:vAlign w:val="center"/>
          </w:tcPr>
          <w:p w14:paraId="77B97CC0">
            <w:pPr>
              <w:snapToGrid w:val="0"/>
              <w:spacing w:line="360" w:lineRule="auto"/>
              <w:ind w:firstLine="0" w:firstLineChars="0"/>
              <w:rPr>
                <w:rFonts w:hint="eastAsia" w:ascii="宋体" w:hAnsi="宋体" w:eastAsia="宋体" w:cs="宋体"/>
                <w:color w:val="auto"/>
                <w:sz w:val="21"/>
                <w:szCs w:val="21"/>
                <w:highlight w:val="none"/>
              </w:rPr>
            </w:pPr>
          </w:p>
        </w:tc>
      </w:tr>
      <w:tr w14:paraId="7E00D5B4">
        <w:tblPrEx>
          <w:tblCellMar>
            <w:top w:w="0" w:type="dxa"/>
            <w:left w:w="108" w:type="dxa"/>
            <w:bottom w:w="0" w:type="dxa"/>
            <w:right w:w="108" w:type="dxa"/>
          </w:tblCellMar>
        </w:tblPrEx>
        <w:trPr>
          <w:trHeight w:val="170" w:hRule="atLeast"/>
          <w:jc w:val="center"/>
        </w:trPr>
        <w:tc>
          <w:tcPr>
            <w:tcW w:w="761" w:type="dxa"/>
            <w:tcBorders>
              <w:top w:val="single" w:color="auto" w:sz="6" w:space="0"/>
              <w:left w:val="single" w:color="auto" w:sz="6" w:space="0"/>
              <w:bottom w:val="single" w:color="auto" w:sz="6" w:space="0"/>
              <w:right w:val="single" w:color="auto" w:sz="6" w:space="0"/>
            </w:tcBorders>
            <w:vAlign w:val="center"/>
          </w:tcPr>
          <w:p w14:paraId="3A75DD4A">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756" w:type="dxa"/>
            <w:tcBorders>
              <w:top w:val="single" w:color="auto" w:sz="6" w:space="0"/>
              <w:left w:val="single" w:color="auto" w:sz="6" w:space="0"/>
              <w:bottom w:val="single" w:color="auto" w:sz="6" w:space="0"/>
              <w:right w:val="single" w:color="auto" w:sz="6" w:space="0"/>
            </w:tcBorders>
            <w:vAlign w:val="center"/>
          </w:tcPr>
          <w:p w14:paraId="348EEA33">
            <w:pPr>
              <w:snapToGrid w:val="0"/>
              <w:spacing w:line="360" w:lineRule="auto"/>
              <w:ind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氩弧焊把</w:t>
            </w:r>
          </w:p>
        </w:tc>
        <w:tc>
          <w:tcPr>
            <w:tcW w:w="1303" w:type="dxa"/>
            <w:tcBorders>
              <w:top w:val="single" w:color="auto" w:sz="6" w:space="0"/>
              <w:left w:val="single" w:color="auto" w:sz="6" w:space="0"/>
              <w:bottom w:val="single" w:color="auto" w:sz="6" w:space="0"/>
              <w:right w:val="single" w:color="auto" w:sz="6" w:space="0"/>
            </w:tcBorders>
            <w:vAlign w:val="center"/>
          </w:tcPr>
          <w:p w14:paraId="1BEFF953">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150A</w:t>
            </w:r>
          </w:p>
        </w:tc>
        <w:tc>
          <w:tcPr>
            <w:tcW w:w="708" w:type="dxa"/>
            <w:tcBorders>
              <w:top w:val="single" w:color="auto" w:sz="6" w:space="0"/>
              <w:left w:val="single" w:color="auto" w:sz="6" w:space="0"/>
              <w:bottom w:val="single" w:color="auto" w:sz="6" w:space="0"/>
              <w:right w:val="single" w:color="auto" w:sz="6" w:space="0"/>
            </w:tcBorders>
            <w:vAlign w:val="center"/>
          </w:tcPr>
          <w:p w14:paraId="286D0988">
            <w:pPr>
              <w:snapToGrid w:val="0"/>
              <w:spacing w:line="360" w:lineRule="auto"/>
              <w:ind w:firstLine="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套</w:t>
            </w:r>
          </w:p>
        </w:tc>
        <w:tc>
          <w:tcPr>
            <w:tcW w:w="993" w:type="dxa"/>
            <w:tcBorders>
              <w:top w:val="single" w:color="auto" w:sz="6" w:space="0"/>
              <w:left w:val="single" w:color="auto" w:sz="6" w:space="0"/>
              <w:bottom w:val="single" w:color="auto" w:sz="6" w:space="0"/>
              <w:right w:val="single" w:color="auto" w:sz="6" w:space="0"/>
            </w:tcBorders>
            <w:vAlign w:val="center"/>
          </w:tcPr>
          <w:p w14:paraId="277AF0DD">
            <w:pPr>
              <w:snapToGrid w:val="0"/>
              <w:spacing w:line="360" w:lineRule="auto"/>
              <w:ind w:firstLine="0" w:firstLineChars="0"/>
              <w:jc w:val="center"/>
              <w:rPr>
                <w:rFonts w:hint="eastAsia" w:ascii="宋体" w:hAnsi="宋体" w:eastAsia="宋体" w:cs="宋体"/>
                <w:color w:val="auto"/>
                <w:sz w:val="21"/>
                <w:szCs w:val="21"/>
                <w:highlight w:val="none"/>
              </w:rPr>
            </w:pPr>
          </w:p>
        </w:tc>
        <w:tc>
          <w:tcPr>
            <w:tcW w:w="2793" w:type="dxa"/>
            <w:tcBorders>
              <w:top w:val="single" w:color="auto" w:sz="6" w:space="0"/>
              <w:left w:val="single" w:color="auto" w:sz="6" w:space="0"/>
              <w:bottom w:val="single" w:color="auto" w:sz="6" w:space="0"/>
              <w:right w:val="single" w:color="auto" w:sz="6" w:space="0"/>
            </w:tcBorders>
            <w:vAlign w:val="center"/>
          </w:tcPr>
          <w:p w14:paraId="7407380E">
            <w:pPr>
              <w:snapToGrid w:val="0"/>
              <w:spacing w:line="360" w:lineRule="auto"/>
              <w:ind w:firstLine="0" w:firstLineChars="0"/>
              <w:rPr>
                <w:rFonts w:hint="eastAsia" w:ascii="宋体" w:hAnsi="宋体" w:eastAsia="宋体" w:cs="宋体"/>
                <w:color w:val="auto"/>
                <w:sz w:val="21"/>
                <w:szCs w:val="21"/>
                <w:highlight w:val="none"/>
              </w:rPr>
            </w:pPr>
          </w:p>
        </w:tc>
      </w:tr>
      <w:tr w14:paraId="036D0B8F">
        <w:tblPrEx>
          <w:tblCellMar>
            <w:top w:w="0" w:type="dxa"/>
            <w:left w:w="108" w:type="dxa"/>
            <w:bottom w:w="0" w:type="dxa"/>
            <w:right w:w="108" w:type="dxa"/>
          </w:tblCellMar>
        </w:tblPrEx>
        <w:trPr>
          <w:trHeight w:val="170" w:hRule="atLeast"/>
          <w:jc w:val="center"/>
        </w:trPr>
        <w:tc>
          <w:tcPr>
            <w:tcW w:w="761" w:type="dxa"/>
            <w:tcBorders>
              <w:top w:val="single" w:color="auto" w:sz="6" w:space="0"/>
              <w:left w:val="single" w:color="auto" w:sz="6" w:space="0"/>
              <w:bottom w:val="single" w:color="auto" w:sz="6" w:space="0"/>
              <w:right w:val="single" w:color="auto" w:sz="6" w:space="0"/>
            </w:tcBorders>
            <w:vAlign w:val="center"/>
          </w:tcPr>
          <w:p w14:paraId="6DAE6169">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756" w:type="dxa"/>
            <w:tcBorders>
              <w:top w:val="single" w:color="auto" w:sz="6" w:space="0"/>
              <w:left w:val="single" w:color="auto" w:sz="6" w:space="0"/>
              <w:bottom w:val="single" w:color="auto" w:sz="6" w:space="0"/>
              <w:right w:val="single" w:color="auto" w:sz="6" w:space="0"/>
            </w:tcBorders>
            <w:vAlign w:val="center"/>
          </w:tcPr>
          <w:p w14:paraId="12D2A0B5">
            <w:pPr>
              <w:snapToGrid w:val="0"/>
              <w:spacing w:line="360" w:lineRule="auto"/>
              <w:ind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氩气</w:t>
            </w:r>
          </w:p>
        </w:tc>
        <w:tc>
          <w:tcPr>
            <w:tcW w:w="1303" w:type="dxa"/>
            <w:tcBorders>
              <w:top w:val="single" w:color="auto" w:sz="6" w:space="0"/>
              <w:left w:val="single" w:color="auto" w:sz="6" w:space="0"/>
              <w:bottom w:val="single" w:color="auto" w:sz="6" w:space="0"/>
              <w:right w:val="single" w:color="auto" w:sz="6" w:space="0"/>
            </w:tcBorders>
            <w:vAlign w:val="center"/>
          </w:tcPr>
          <w:p w14:paraId="5333E151">
            <w:pPr>
              <w:snapToGrid w:val="0"/>
              <w:spacing w:line="360" w:lineRule="auto"/>
              <w:ind w:firstLine="0" w:firstLineChars="0"/>
              <w:jc w:val="center"/>
              <w:rPr>
                <w:rFonts w:hint="eastAsia" w:ascii="宋体" w:hAnsi="宋体" w:eastAsia="宋体" w:cs="宋体"/>
                <w:color w:val="auto"/>
                <w:sz w:val="21"/>
                <w:szCs w:val="21"/>
                <w:highlight w:val="none"/>
              </w:rPr>
            </w:pPr>
          </w:p>
        </w:tc>
        <w:tc>
          <w:tcPr>
            <w:tcW w:w="708" w:type="dxa"/>
            <w:tcBorders>
              <w:top w:val="single" w:color="auto" w:sz="6" w:space="0"/>
              <w:left w:val="single" w:color="auto" w:sz="6" w:space="0"/>
              <w:bottom w:val="single" w:color="auto" w:sz="6" w:space="0"/>
              <w:right w:val="single" w:color="auto" w:sz="6" w:space="0"/>
            </w:tcBorders>
            <w:vAlign w:val="center"/>
          </w:tcPr>
          <w:p w14:paraId="1221F987">
            <w:pPr>
              <w:snapToGrid w:val="0"/>
              <w:spacing w:line="360" w:lineRule="auto"/>
              <w:ind w:firstLine="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瓶</w:t>
            </w:r>
          </w:p>
        </w:tc>
        <w:tc>
          <w:tcPr>
            <w:tcW w:w="993" w:type="dxa"/>
            <w:tcBorders>
              <w:top w:val="single" w:color="auto" w:sz="6" w:space="0"/>
              <w:left w:val="single" w:color="auto" w:sz="6" w:space="0"/>
              <w:bottom w:val="single" w:color="auto" w:sz="6" w:space="0"/>
              <w:right w:val="single" w:color="auto" w:sz="6" w:space="0"/>
            </w:tcBorders>
            <w:vAlign w:val="center"/>
          </w:tcPr>
          <w:p w14:paraId="077512B3">
            <w:pPr>
              <w:snapToGrid w:val="0"/>
              <w:spacing w:line="360" w:lineRule="auto"/>
              <w:ind w:firstLine="0" w:firstLineChars="0"/>
              <w:jc w:val="center"/>
              <w:rPr>
                <w:rFonts w:hint="eastAsia" w:ascii="宋体" w:hAnsi="宋体" w:eastAsia="宋体" w:cs="宋体"/>
                <w:color w:val="auto"/>
                <w:sz w:val="21"/>
                <w:szCs w:val="21"/>
                <w:highlight w:val="none"/>
              </w:rPr>
            </w:pPr>
          </w:p>
        </w:tc>
        <w:tc>
          <w:tcPr>
            <w:tcW w:w="2793" w:type="dxa"/>
            <w:tcBorders>
              <w:top w:val="single" w:color="auto" w:sz="6" w:space="0"/>
              <w:left w:val="single" w:color="auto" w:sz="6" w:space="0"/>
              <w:bottom w:val="single" w:color="auto" w:sz="6" w:space="0"/>
              <w:right w:val="single" w:color="auto" w:sz="6" w:space="0"/>
            </w:tcBorders>
            <w:vAlign w:val="center"/>
          </w:tcPr>
          <w:p w14:paraId="0BCE5981">
            <w:pPr>
              <w:snapToGrid w:val="0"/>
              <w:spacing w:line="360" w:lineRule="auto"/>
              <w:ind w:firstLine="0" w:firstLineChars="0"/>
              <w:rPr>
                <w:rFonts w:hint="eastAsia" w:ascii="宋体" w:hAnsi="宋体" w:eastAsia="宋体" w:cs="宋体"/>
                <w:color w:val="auto"/>
                <w:sz w:val="21"/>
                <w:szCs w:val="21"/>
                <w:highlight w:val="none"/>
              </w:rPr>
            </w:pPr>
          </w:p>
        </w:tc>
      </w:tr>
      <w:tr w14:paraId="0581E35F">
        <w:tblPrEx>
          <w:tblCellMar>
            <w:top w:w="0" w:type="dxa"/>
            <w:left w:w="108" w:type="dxa"/>
            <w:bottom w:w="0" w:type="dxa"/>
            <w:right w:w="108" w:type="dxa"/>
          </w:tblCellMar>
        </w:tblPrEx>
        <w:trPr>
          <w:trHeight w:val="170" w:hRule="atLeast"/>
          <w:jc w:val="center"/>
        </w:trPr>
        <w:tc>
          <w:tcPr>
            <w:tcW w:w="761" w:type="dxa"/>
            <w:tcBorders>
              <w:top w:val="single" w:color="auto" w:sz="6" w:space="0"/>
              <w:left w:val="single" w:color="auto" w:sz="6" w:space="0"/>
              <w:bottom w:val="single" w:color="auto" w:sz="6" w:space="0"/>
              <w:right w:val="single" w:color="auto" w:sz="6" w:space="0"/>
            </w:tcBorders>
            <w:vAlign w:val="center"/>
          </w:tcPr>
          <w:p w14:paraId="7B8311CB">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756" w:type="dxa"/>
            <w:tcBorders>
              <w:top w:val="single" w:color="auto" w:sz="6" w:space="0"/>
              <w:left w:val="single" w:color="auto" w:sz="6" w:space="0"/>
              <w:bottom w:val="single" w:color="auto" w:sz="6" w:space="0"/>
              <w:right w:val="single" w:color="auto" w:sz="6" w:space="0"/>
            </w:tcBorders>
            <w:vAlign w:val="center"/>
          </w:tcPr>
          <w:p w14:paraId="7AAF162F">
            <w:pPr>
              <w:snapToGrid w:val="0"/>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X射线机</w:t>
            </w:r>
          </w:p>
        </w:tc>
        <w:tc>
          <w:tcPr>
            <w:tcW w:w="1303" w:type="dxa"/>
            <w:tcBorders>
              <w:top w:val="single" w:color="auto" w:sz="6" w:space="0"/>
              <w:left w:val="single" w:color="auto" w:sz="6" w:space="0"/>
              <w:bottom w:val="single" w:color="auto" w:sz="6" w:space="0"/>
              <w:right w:val="single" w:color="auto" w:sz="6" w:space="0"/>
            </w:tcBorders>
            <w:vAlign w:val="center"/>
          </w:tcPr>
          <w:p w14:paraId="5BB2B1A4">
            <w:pPr>
              <w:snapToGrid w:val="0"/>
              <w:spacing w:line="360" w:lineRule="auto"/>
              <w:ind w:firstLine="0" w:firstLineChars="0"/>
              <w:jc w:val="center"/>
              <w:rPr>
                <w:rFonts w:hint="eastAsia" w:ascii="宋体" w:hAnsi="宋体" w:eastAsia="宋体" w:cs="宋体"/>
                <w:color w:val="auto"/>
                <w:sz w:val="21"/>
                <w:szCs w:val="21"/>
                <w:highlight w:val="none"/>
              </w:rPr>
            </w:pPr>
          </w:p>
        </w:tc>
        <w:tc>
          <w:tcPr>
            <w:tcW w:w="708" w:type="dxa"/>
            <w:tcBorders>
              <w:top w:val="single" w:color="auto" w:sz="6" w:space="0"/>
              <w:left w:val="single" w:color="auto" w:sz="6" w:space="0"/>
              <w:bottom w:val="single" w:color="auto" w:sz="6" w:space="0"/>
              <w:right w:val="single" w:color="auto" w:sz="6" w:space="0"/>
            </w:tcBorders>
            <w:vAlign w:val="center"/>
          </w:tcPr>
          <w:p w14:paraId="232CA2C7">
            <w:pPr>
              <w:snapToGrid w:val="0"/>
              <w:spacing w:line="360" w:lineRule="auto"/>
              <w:ind w:firstLine="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台</w:t>
            </w:r>
          </w:p>
        </w:tc>
        <w:tc>
          <w:tcPr>
            <w:tcW w:w="993" w:type="dxa"/>
            <w:tcBorders>
              <w:top w:val="single" w:color="auto" w:sz="6" w:space="0"/>
              <w:left w:val="single" w:color="auto" w:sz="6" w:space="0"/>
              <w:bottom w:val="single" w:color="auto" w:sz="6" w:space="0"/>
              <w:right w:val="single" w:color="auto" w:sz="6" w:space="0"/>
            </w:tcBorders>
            <w:vAlign w:val="center"/>
          </w:tcPr>
          <w:p w14:paraId="7C7612DB">
            <w:pPr>
              <w:snapToGrid w:val="0"/>
              <w:spacing w:line="360" w:lineRule="auto"/>
              <w:ind w:firstLine="0" w:firstLineChars="0"/>
              <w:jc w:val="center"/>
              <w:rPr>
                <w:rFonts w:hint="eastAsia" w:ascii="宋体" w:hAnsi="宋体" w:eastAsia="宋体" w:cs="宋体"/>
                <w:color w:val="auto"/>
                <w:sz w:val="21"/>
                <w:szCs w:val="21"/>
                <w:highlight w:val="none"/>
              </w:rPr>
            </w:pPr>
          </w:p>
        </w:tc>
        <w:tc>
          <w:tcPr>
            <w:tcW w:w="2793" w:type="dxa"/>
            <w:tcBorders>
              <w:top w:val="single" w:color="auto" w:sz="6" w:space="0"/>
              <w:left w:val="single" w:color="auto" w:sz="6" w:space="0"/>
              <w:bottom w:val="single" w:color="auto" w:sz="6" w:space="0"/>
              <w:right w:val="single" w:color="auto" w:sz="6" w:space="0"/>
            </w:tcBorders>
            <w:vAlign w:val="center"/>
          </w:tcPr>
          <w:p w14:paraId="13EE1CC1">
            <w:pPr>
              <w:snapToGrid w:val="0"/>
              <w:spacing w:line="360" w:lineRule="auto"/>
              <w:ind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焊口无损检测用</w:t>
            </w:r>
          </w:p>
        </w:tc>
      </w:tr>
      <w:tr w14:paraId="5E75554C">
        <w:tblPrEx>
          <w:tblCellMar>
            <w:top w:w="0" w:type="dxa"/>
            <w:left w:w="108" w:type="dxa"/>
            <w:bottom w:w="0" w:type="dxa"/>
            <w:right w:w="108" w:type="dxa"/>
          </w:tblCellMar>
        </w:tblPrEx>
        <w:trPr>
          <w:trHeight w:val="170" w:hRule="atLeast"/>
          <w:jc w:val="center"/>
        </w:trPr>
        <w:tc>
          <w:tcPr>
            <w:tcW w:w="761" w:type="dxa"/>
            <w:tcBorders>
              <w:top w:val="single" w:color="auto" w:sz="6" w:space="0"/>
              <w:left w:val="single" w:color="auto" w:sz="6" w:space="0"/>
              <w:bottom w:val="single" w:color="auto" w:sz="6" w:space="0"/>
              <w:right w:val="single" w:color="auto" w:sz="6" w:space="0"/>
            </w:tcBorders>
            <w:vAlign w:val="center"/>
          </w:tcPr>
          <w:p w14:paraId="259125FB">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756" w:type="dxa"/>
            <w:tcBorders>
              <w:top w:val="single" w:color="auto" w:sz="6" w:space="0"/>
              <w:left w:val="single" w:color="auto" w:sz="6" w:space="0"/>
              <w:bottom w:val="single" w:color="auto" w:sz="6" w:space="0"/>
              <w:right w:val="single" w:color="auto" w:sz="6" w:space="0"/>
            </w:tcBorders>
            <w:vAlign w:val="center"/>
          </w:tcPr>
          <w:p w14:paraId="4FEFF17F">
            <w:pPr>
              <w:snapToGrid w:val="0"/>
              <w:spacing w:line="360" w:lineRule="auto"/>
              <w:ind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红外线测温枪</w:t>
            </w:r>
          </w:p>
        </w:tc>
        <w:tc>
          <w:tcPr>
            <w:tcW w:w="1303" w:type="dxa"/>
            <w:tcBorders>
              <w:top w:val="single" w:color="auto" w:sz="6" w:space="0"/>
              <w:left w:val="single" w:color="auto" w:sz="6" w:space="0"/>
              <w:bottom w:val="single" w:color="auto" w:sz="6" w:space="0"/>
              <w:right w:val="single" w:color="auto" w:sz="6" w:space="0"/>
            </w:tcBorders>
            <w:vAlign w:val="center"/>
          </w:tcPr>
          <w:p w14:paraId="69B8DF2F">
            <w:pPr>
              <w:snapToGrid w:val="0"/>
              <w:spacing w:line="360" w:lineRule="auto"/>
              <w:ind w:firstLine="0" w:firstLineChars="0"/>
              <w:jc w:val="center"/>
              <w:rPr>
                <w:rFonts w:hint="eastAsia" w:ascii="宋体" w:hAnsi="宋体" w:eastAsia="宋体" w:cs="宋体"/>
                <w:color w:val="auto"/>
                <w:sz w:val="21"/>
                <w:szCs w:val="21"/>
                <w:highlight w:val="none"/>
              </w:rPr>
            </w:pPr>
          </w:p>
        </w:tc>
        <w:tc>
          <w:tcPr>
            <w:tcW w:w="708" w:type="dxa"/>
            <w:tcBorders>
              <w:top w:val="single" w:color="auto" w:sz="6" w:space="0"/>
              <w:left w:val="single" w:color="auto" w:sz="6" w:space="0"/>
              <w:bottom w:val="single" w:color="auto" w:sz="6" w:space="0"/>
              <w:right w:val="single" w:color="auto" w:sz="6" w:space="0"/>
            </w:tcBorders>
            <w:vAlign w:val="center"/>
          </w:tcPr>
          <w:p w14:paraId="6C57CC0B">
            <w:pPr>
              <w:snapToGrid w:val="0"/>
              <w:spacing w:line="360" w:lineRule="auto"/>
              <w:ind w:firstLine="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台</w:t>
            </w:r>
          </w:p>
        </w:tc>
        <w:tc>
          <w:tcPr>
            <w:tcW w:w="993" w:type="dxa"/>
            <w:tcBorders>
              <w:top w:val="single" w:color="auto" w:sz="6" w:space="0"/>
              <w:left w:val="single" w:color="auto" w:sz="6" w:space="0"/>
              <w:bottom w:val="single" w:color="auto" w:sz="6" w:space="0"/>
              <w:right w:val="single" w:color="auto" w:sz="6" w:space="0"/>
            </w:tcBorders>
            <w:vAlign w:val="center"/>
          </w:tcPr>
          <w:p w14:paraId="32FE705A">
            <w:pPr>
              <w:snapToGrid w:val="0"/>
              <w:spacing w:line="360" w:lineRule="auto"/>
              <w:ind w:firstLine="0" w:firstLineChars="0"/>
              <w:jc w:val="center"/>
              <w:rPr>
                <w:rFonts w:hint="eastAsia" w:ascii="宋体" w:hAnsi="宋体" w:eastAsia="宋体" w:cs="宋体"/>
                <w:color w:val="auto"/>
                <w:sz w:val="21"/>
                <w:szCs w:val="21"/>
                <w:highlight w:val="none"/>
              </w:rPr>
            </w:pPr>
          </w:p>
        </w:tc>
        <w:tc>
          <w:tcPr>
            <w:tcW w:w="2793" w:type="dxa"/>
            <w:tcBorders>
              <w:top w:val="single" w:color="auto" w:sz="6" w:space="0"/>
              <w:left w:val="single" w:color="auto" w:sz="6" w:space="0"/>
              <w:bottom w:val="single" w:color="auto" w:sz="6" w:space="0"/>
              <w:right w:val="single" w:color="auto" w:sz="6" w:space="0"/>
            </w:tcBorders>
            <w:vAlign w:val="center"/>
          </w:tcPr>
          <w:p w14:paraId="30CF35FE">
            <w:pPr>
              <w:snapToGrid w:val="0"/>
              <w:spacing w:line="360" w:lineRule="auto"/>
              <w:ind w:firstLine="0" w:firstLineChars="0"/>
              <w:rPr>
                <w:rFonts w:hint="eastAsia" w:ascii="宋体" w:hAnsi="宋体" w:eastAsia="宋体" w:cs="宋体"/>
                <w:color w:val="auto"/>
                <w:sz w:val="21"/>
                <w:szCs w:val="21"/>
                <w:highlight w:val="none"/>
                <w:lang w:val="zh-CN"/>
              </w:rPr>
            </w:pPr>
          </w:p>
        </w:tc>
      </w:tr>
      <w:tr w14:paraId="4CC3C608">
        <w:tblPrEx>
          <w:tblCellMar>
            <w:top w:w="0" w:type="dxa"/>
            <w:left w:w="108" w:type="dxa"/>
            <w:bottom w:w="0" w:type="dxa"/>
            <w:right w:w="108" w:type="dxa"/>
          </w:tblCellMar>
        </w:tblPrEx>
        <w:trPr>
          <w:trHeight w:val="170" w:hRule="atLeast"/>
          <w:jc w:val="center"/>
        </w:trPr>
        <w:tc>
          <w:tcPr>
            <w:tcW w:w="761" w:type="dxa"/>
            <w:tcBorders>
              <w:top w:val="single" w:color="auto" w:sz="6" w:space="0"/>
              <w:left w:val="single" w:color="auto" w:sz="6" w:space="0"/>
              <w:bottom w:val="single" w:color="auto" w:sz="6" w:space="0"/>
              <w:right w:val="single" w:color="auto" w:sz="6" w:space="0"/>
            </w:tcBorders>
            <w:vAlign w:val="center"/>
          </w:tcPr>
          <w:p w14:paraId="5BEFE2CD">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756" w:type="dxa"/>
            <w:tcBorders>
              <w:top w:val="single" w:color="auto" w:sz="6" w:space="0"/>
              <w:left w:val="single" w:color="auto" w:sz="6" w:space="0"/>
              <w:bottom w:val="single" w:color="auto" w:sz="6" w:space="0"/>
              <w:right w:val="single" w:color="auto" w:sz="6" w:space="0"/>
            </w:tcBorders>
            <w:vAlign w:val="center"/>
          </w:tcPr>
          <w:p w14:paraId="73218BFB">
            <w:pPr>
              <w:snapToGrid w:val="0"/>
              <w:spacing w:line="360" w:lineRule="auto"/>
              <w:ind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焊材烘干箱</w:t>
            </w:r>
          </w:p>
        </w:tc>
        <w:tc>
          <w:tcPr>
            <w:tcW w:w="1303" w:type="dxa"/>
            <w:tcBorders>
              <w:top w:val="single" w:color="auto" w:sz="6" w:space="0"/>
              <w:left w:val="single" w:color="auto" w:sz="6" w:space="0"/>
              <w:bottom w:val="single" w:color="auto" w:sz="6" w:space="0"/>
              <w:right w:val="single" w:color="auto" w:sz="6" w:space="0"/>
            </w:tcBorders>
            <w:vAlign w:val="center"/>
          </w:tcPr>
          <w:p w14:paraId="6C6E5253">
            <w:pPr>
              <w:snapToGrid w:val="0"/>
              <w:spacing w:line="360" w:lineRule="auto"/>
              <w:ind w:firstLine="0" w:firstLineChars="0"/>
              <w:jc w:val="center"/>
              <w:rPr>
                <w:rFonts w:hint="eastAsia" w:ascii="宋体" w:hAnsi="宋体" w:eastAsia="宋体" w:cs="宋体"/>
                <w:color w:val="auto"/>
                <w:sz w:val="21"/>
                <w:szCs w:val="21"/>
                <w:highlight w:val="none"/>
              </w:rPr>
            </w:pPr>
          </w:p>
        </w:tc>
        <w:tc>
          <w:tcPr>
            <w:tcW w:w="708" w:type="dxa"/>
            <w:tcBorders>
              <w:top w:val="single" w:color="auto" w:sz="6" w:space="0"/>
              <w:left w:val="single" w:color="auto" w:sz="6" w:space="0"/>
              <w:bottom w:val="single" w:color="auto" w:sz="6" w:space="0"/>
              <w:right w:val="single" w:color="auto" w:sz="6" w:space="0"/>
            </w:tcBorders>
            <w:vAlign w:val="center"/>
          </w:tcPr>
          <w:p w14:paraId="1B9FBDCE">
            <w:pPr>
              <w:snapToGrid w:val="0"/>
              <w:spacing w:line="360" w:lineRule="auto"/>
              <w:ind w:firstLine="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台</w:t>
            </w:r>
          </w:p>
        </w:tc>
        <w:tc>
          <w:tcPr>
            <w:tcW w:w="993" w:type="dxa"/>
            <w:tcBorders>
              <w:top w:val="single" w:color="auto" w:sz="6" w:space="0"/>
              <w:left w:val="single" w:color="auto" w:sz="6" w:space="0"/>
              <w:bottom w:val="single" w:color="auto" w:sz="6" w:space="0"/>
              <w:right w:val="single" w:color="auto" w:sz="6" w:space="0"/>
            </w:tcBorders>
            <w:vAlign w:val="center"/>
          </w:tcPr>
          <w:p w14:paraId="1F4460D6">
            <w:pPr>
              <w:snapToGrid w:val="0"/>
              <w:spacing w:line="360" w:lineRule="auto"/>
              <w:ind w:firstLine="0" w:firstLineChars="0"/>
              <w:jc w:val="center"/>
              <w:rPr>
                <w:rFonts w:hint="eastAsia" w:ascii="宋体" w:hAnsi="宋体" w:eastAsia="宋体" w:cs="宋体"/>
                <w:color w:val="auto"/>
                <w:sz w:val="21"/>
                <w:szCs w:val="21"/>
                <w:highlight w:val="none"/>
              </w:rPr>
            </w:pPr>
          </w:p>
        </w:tc>
        <w:tc>
          <w:tcPr>
            <w:tcW w:w="2793" w:type="dxa"/>
            <w:tcBorders>
              <w:top w:val="single" w:color="auto" w:sz="6" w:space="0"/>
              <w:left w:val="single" w:color="auto" w:sz="6" w:space="0"/>
              <w:bottom w:val="single" w:color="auto" w:sz="6" w:space="0"/>
              <w:right w:val="single" w:color="auto" w:sz="6" w:space="0"/>
            </w:tcBorders>
            <w:vAlign w:val="center"/>
          </w:tcPr>
          <w:p w14:paraId="7AC97515">
            <w:pPr>
              <w:snapToGrid w:val="0"/>
              <w:spacing w:line="360" w:lineRule="auto"/>
              <w:ind w:firstLine="0" w:firstLineChars="0"/>
              <w:rPr>
                <w:rFonts w:hint="eastAsia" w:ascii="宋体" w:hAnsi="宋体" w:eastAsia="宋体" w:cs="宋体"/>
                <w:color w:val="auto"/>
                <w:sz w:val="21"/>
                <w:szCs w:val="21"/>
                <w:highlight w:val="none"/>
                <w:lang w:val="zh-CN"/>
              </w:rPr>
            </w:pPr>
          </w:p>
        </w:tc>
      </w:tr>
      <w:tr w14:paraId="64A9B458">
        <w:tblPrEx>
          <w:tblCellMar>
            <w:top w:w="0" w:type="dxa"/>
            <w:left w:w="108" w:type="dxa"/>
            <w:bottom w:w="0" w:type="dxa"/>
            <w:right w:w="108" w:type="dxa"/>
          </w:tblCellMar>
        </w:tblPrEx>
        <w:trPr>
          <w:trHeight w:val="170" w:hRule="atLeast"/>
          <w:jc w:val="center"/>
        </w:trPr>
        <w:tc>
          <w:tcPr>
            <w:tcW w:w="761" w:type="dxa"/>
            <w:tcBorders>
              <w:top w:val="single" w:color="auto" w:sz="6" w:space="0"/>
              <w:left w:val="single" w:color="auto" w:sz="6" w:space="0"/>
              <w:bottom w:val="single" w:color="auto" w:sz="6" w:space="0"/>
              <w:right w:val="single" w:color="auto" w:sz="6" w:space="0"/>
            </w:tcBorders>
            <w:vAlign w:val="center"/>
          </w:tcPr>
          <w:p w14:paraId="05B3F815">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756" w:type="dxa"/>
            <w:tcBorders>
              <w:top w:val="single" w:color="auto" w:sz="6" w:space="0"/>
              <w:left w:val="single" w:color="auto" w:sz="6" w:space="0"/>
              <w:bottom w:val="single" w:color="auto" w:sz="6" w:space="0"/>
              <w:right w:val="single" w:color="auto" w:sz="6" w:space="0"/>
            </w:tcBorders>
            <w:vAlign w:val="center"/>
          </w:tcPr>
          <w:p w14:paraId="693D136A">
            <w:pPr>
              <w:snapToGrid w:val="0"/>
              <w:spacing w:line="360" w:lineRule="auto"/>
              <w:ind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焊条筒</w:t>
            </w:r>
          </w:p>
        </w:tc>
        <w:tc>
          <w:tcPr>
            <w:tcW w:w="1303" w:type="dxa"/>
            <w:tcBorders>
              <w:top w:val="single" w:color="auto" w:sz="6" w:space="0"/>
              <w:left w:val="single" w:color="auto" w:sz="6" w:space="0"/>
              <w:bottom w:val="single" w:color="auto" w:sz="6" w:space="0"/>
              <w:right w:val="single" w:color="auto" w:sz="6" w:space="0"/>
            </w:tcBorders>
            <w:vAlign w:val="center"/>
          </w:tcPr>
          <w:p w14:paraId="6A8ECC15">
            <w:pPr>
              <w:snapToGrid w:val="0"/>
              <w:spacing w:line="360" w:lineRule="auto"/>
              <w:ind w:firstLine="0" w:firstLineChars="0"/>
              <w:jc w:val="center"/>
              <w:rPr>
                <w:rFonts w:hint="eastAsia" w:ascii="宋体" w:hAnsi="宋体" w:eastAsia="宋体" w:cs="宋体"/>
                <w:color w:val="auto"/>
                <w:sz w:val="21"/>
                <w:szCs w:val="21"/>
                <w:highlight w:val="none"/>
              </w:rPr>
            </w:pPr>
          </w:p>
        </w:tc>
        <w:tc>
          <w:tcPr>
            <w:tcW w:w="708" w:type="dxa"/>
            <w:tcBorders>
              <w:top w:val="single" w:color="auto" w:sz="6" w:space="0"/>
              <w:left w:val="single" w:color="auto" w:sz="6" w:space="0"/>
              <w:bottom w:val="single" w:color="auto" w:sz="6" w:space="0"/>
              <w:right w:val="single" w:color="auto" w:sz="6" w:space="0"/>
            </w:tcBorders>
            <w:vAlign w:val="center"/>
          </w:tcPr>
          <w:p w14:paraId="39372D2D">
            <w:pPr>
              <w:snapToGrid w:val="0"/>
              <w:spacing w:line="360" w:lineRule="auto"/>
              <w:ind w:firstLine="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台</w:t>
            </w:r>
          </w:p>
        </w:tc>
        <w:tc>
          <w:tcPr>
            <w:tcW w:w="993" w:type="dxa"/>
            <w:tcBorders>
              <w:top w:val="single" w:color="auto" w:sz="6" w:space="0"/>
              <w:left w:val="single" w:color="auto" w:sz="6" w:space="0"/>
              <w:bottom w:val="single" w:color="auto" w:sz="6" w:space="0"/>
              <w:right w:val="single" w:color="auto" w:sz="6" w:space="0"/>
            </w:tcBorders>
            <w:vAlign w:val="center"/>
          </w:tcPr>
          <w:p w14:paraId="06AB979D">
            <w:pPr>
              <w:snapToGrid w:val="0"/>
              <w:spacing w:line="360" w:lineRule="auto"/>
              <w:ind w:firstLine="0" w:firstLineChars="0"/>
              <w:jc w:val="center"/>
              <w:rPr>
                <w:rFonts w:hint="eastAsia" w:ascii="宋体" w:hAnsi="宋体" w:eastAsia="宋体" w:cs="宋体"/>
                <w:color w:val="auto"/>
                <w:sz w:val="21"/>
                <w:szCs w:val="21"/>
                <w:highlight w:val="none"/>
              </w:rPr>
            </w:pPr>
          </w:p>
        </w:tc>
        <w:tc>
          <w:tcPr>
            <w:tcW w:w="2793" w:type="dxa"/>
            <w:tcBorders>
              <w:top w:val="single" w:color="auto" w:sz="6" w:space="0"/>
              <w:left w:val="single" w:color="auto" w:sz="6" w:space="0"/>
              <w:bottom w:val="single" w:color="auto" w:sz="6" w:space="0"/>
              <w:right w:val="single" w:color="auto" w:sz="6" w:space="0"/>
            </w:tcBorders>
            <w:vAlign w:val="center"/>
          </w:tcPr>
          <w:p w14:paraId="174FB274">
            <w:pPr>
              <w:snapToGrid w:val="0"/>
              <w:spacing w:line="360" w:lineRule="auto"/>
              <w:ind w:firstLine="0" w:firstLineChars="0"/>
              <w:rPr>
                <w:rFonts w:hint="eastAsia" w:ascii="宋体" w:hAnsi="宋体" w:eastAsia="宋体" w:cs="宋体"/>
                <w:color w:val="auto"/>
                <w:sz w:val="21"/>
                <w:szCs w:val="21"/>
                <w:highlight w:val="none"/>
                <w:lang w:val="zh-CN"/>
              </w:rPr>
            </w:pPr>
          </w:p>
        </w:tc>
      </w:tr>
      <w:tr w14:paraId="031F1A03">
        <w:tblPrEx>
          <w:tblCellMar>
            <w:top w:w="0" w:type="dxa"/>
            <w:left w:w="108" w:type="dxa"/>
            <w:bottom w:w="0" w:type="dxa"/>
            <w:right w:w="108" w:type="dxa"/>
          </w:tblCellMar>
        </w:tblPrEx>
        <w:trPr>
          <w:trHeight w:val="170" w:hRule="atLeast"/>
          <w:jc w:val="center"/>
        </w:trPr>
        <w:tc>
          <w:tcPr>
            <w:tcW w:w="761" w:type="dxa"/>
            <w:tcBorders>
              <w:top w:val="single" w:color="auto" w:sz="6" w:space="0"/>
              <w:left w:val="single" w:color="auto" w:sz="6" w:space="0"/>
              <w:bottom w:val="single" w:color="auto" w:sz="6" w:space="0"/>
              <w:right w:val="single" w:color="auto" w:sz="6" w:space="0"/>
            </w:tcBorders>
            <w:vAlign w:val="center"/>
          </w:tcPr>
          <w:p w14:paraId="2CC7001D">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756" w:type="dxa"/>
            <w:tcBorders>
              <w:top w:val="single" w:color="auto" w:sz="6" w:space="0"/>
              <w:left w:val="single" w:color="auto" w:sz="6" w:space="0"/>
              <w:bottom w:val="single" w:color="auto" w:sz="6" w:space="0"/>
              <w:right w:val="single" w:color="auto" w:sz="6" w:space="0"/>
            </w:tcBorders>
            <w:vAlign w:val="center"/>
          </w:tcPr>
          <w:p w14:paraId="05EEF294">
            <w:pPr>
              <w:snapToGrid w:val="0"/>
              <w:spacing w:line="360" w:lineRule="auto"/>
              <w:ind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超吊设备</w:t>
            </w:r>
          </w:p>
        </w:tc>
        <w:tc>
          <w:tcPr>
            <w:tcW w:w="1303" w:type="dxa"/>
            <w:tcBorders>
              <w:top w:val="single" w:color="auto" w:sz="6" w:space="0"/>
              <w:left w:val="single" w:color="auto" w:sz="6" w:space="0"/>
              <w:bottom w:val="single" w:color="auto" w:sz="6" w:space="0"/>
              <w:right w:val="single" w:color="auto" w:sz="6" w:space="0"/>
            </w:tcBorders>
            <w:vAlign w:val="center"/>
          </w:tcPr>
          <w:p w14:paraId="34D26937">
            <w:pPr>
              <w:snapToGrid w:val="0"/>
              <w:spacing w:line="360" w:lineRule="auto"/>
              <w:ind w:firstLine="0" w:firstLineChars="0"/>
              <w:jc w:val="center"/>
              <w:rPr>
                <w:rFonts w:hint="eastAsia" w:ascii="宋体" w:hAnsi="宋体" w:eastAsia="宋体" w:cs="宋体"/>
                <w:color w:val="auto"/>
                <w:sz w:val="21"/>
                <w:szCs w:val="21"/>
                <w:highlight w:val="none"/>
              </w:rPr>
            </w:pPr>
          </w:p>
        </w:tc>
        <w:tc>
          <w:tcPr>
            <w:tcW w:w="708" w:type="dxa"/>
            <w:tcBorders>
              <w:top w:val="single" w:color="auto" w:sz="6" w:space="0"/>
              <w:left w:val="single" w:color="auto" w:sz="6" w:space="0"/>
              <w:bottom w:val="single" w:color="auto" w:sz="6" w:space="0"/>
              <w:right w:val="single" w:color="auto" w:sz="6" w:space="0"/>
            </w:tcBorders>
            <w:vAlign w:val="center"/>
          </w:tcPr>
          <w:p w14:paraId="22152886">
            <w:pPr>
              <w:snapToGrid w:val="0"/>
              <w:spacing w:line="360" w:lineRule="auto"/>
              <w:ind w:firstLine="0" w:firstLineChars="0"/>
              <w:jc w:val="center"/>
              <w:rPr>
                <w:rFonts w:hint="eastAsia" w:ascii="宋体" w:hAnsi="宋体" w:eastAsia="宋体" w:cs="宋体"/>
                <w:color w:val="auto"/>
                <w:sz w:val="21"/>
                <w:szCs w:val="21"/>
                <w:highlight w:val="none"/>
                <w:lang w:val="zh-CN"/>
              </w:rPr>
            </w:pPr>
          </w:p>
        </w:tc>
        <w:tc>
          <w:tcPr>
            <w:tcW w:w="993" w:type="dxa"/>
            <w:tcBorders>
              <w:top w:val="single" w:color="auto" w:sz="6" w:space="0"/>
              <w:left w:val="single" w:color="auto" w:sz="6" w:space="0"/>
              <w:bottom w:val="single" w:color="auto" w:sz="6" w:space="0"/>
              <w:right w:val="single" w:color="auto" w:sz="6" w:space="0"/>
            </w:tcBorders>
            <w:vAlign w:val="center"/>
          </w:tcPr>
          <w:p w14:paraId="4F0F6640">
            <w:pPr>
              <w:snapToGrid w:val="0"/>
              <w:spacing w:line="360" w:lineRule="auto"/>
              <w:ind w:firstLine="0" w:firstLineChars="0"/>
              <w:jc w:val="center"/>
              <w:rPr>
                <w:rFonts w:hint="eastAsia" w:ascii="宋体" w:hAnsi="宋体" w:eastAsia="宋体" w:cs="宋体"/>
                <w:color w:val="auto"/>
                <w:sz w:val="21"/>
                <w:szCs w:val="21"/>
                <w:highlight w:val="none"/>
              </w:rPr>
            </w:pPr>
          </w:p>
        </w:tc>
        <w:tc>
          <w:tcPr>
            <w:tcW w:w="2793" w:type="dxa"/>
            <w:tcBorders>
              <w:top w:val="single" w:color="auto" w:sz="6" w:space="0"/>
              <w:left w:val="single" w:color="auto" w:sz="6" w:space="0"/>
              <w:bottom w:val="single" w:color="auto" w:sz="6" w:space="0"/>
              <w:right w:val="single" w:color="auto" w:sz="6" w:space="0"/>
            </w:tcBorders>
            <w:vAlign w:val="center"/>
          </w:tcPr>
          <w:p w14:paraId="726B4A40">
            <w:pPr>
              <w:snapToGrid w:val="0"/>
              <w:spacing w:line="360" w:lineRule="auto"/>
              <w:ind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满足现场施工要求</w:t>
            </w:r>
          </w:p>
        </w:tc>
      </w:tr>
      <w:tr w14:paraId="6F815638">
        <w:tblPrEx>
          <w:tblCellMar>
            <w:top w:w="0" w:type="dxa"/>
            <w:left w:w="108" w:type="dxa"/>
            <w:bottom w:w="0" w:type="dxa"/>
            <w:right w:w="108" w:type="dxa"/>
          </w:tblCellMar>
        </w:tblPrEx>
        <w:trPr>
          <w:trHeight w:val="170" w:hRule="atLeast"/>
          <w:jc w:val="center"/>
        </w:trPr>
        <w:tc>
          <w:tcPr>
            <w:tcW w:w="761" w:type="dxa"/>
            <w:tcBorders>
              <w:top w:val="single" w:color="auto" w:sz="6" w:space="0"/>
              <w:left w:val="single" w:color="auto" w:sz="6" w:space="0"/>
              <w:bottom w:val="single" w:color="auto" w:sz="6" w:space="0"/>
              <w:right w:val="single" w:color="auto" w:sz="6" w:space="0"/>
            </w:tcBorders>
            <w:vAlign w:val="center"/>
          </w:tcPr>
          <w:p w14:paraId="1F51F747">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756" w:type="dxa"/>
            <w:tcBorders>
              <w:top w:val="single" w:color="auto" w:sz="6" w:space="0"/>
              <w:left w:val="single" w:color="auto" w:sz="6" w:space="0"/>
              <w:bottom w:val="single" w:color="auto" w:sz="6" w:space="0"/>
              <w:right w:val="single" w:color="auto" w:sz="6" w:space="0"/>
            </w:tcBorders>
            <w:vAlign w:val="center"/>
          </w:tcPr>
          <w:p w14:paraId="7CADCF11">
            <w:pPr>
              <w:snapToGrid w:val="0"/>
              <w:spacing w:line="360" w:lineRule="auto"/>
              <w:ind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其它</w:t>
            </w:r>
          </w:p>
        </w:tc>
        <w:tc>
          <w:tcPr>
            <w:tcW w:w="1303" w:type="dxa"/>
            <w:tcBorders>
              <w:top w:val="single" w:color="auto" w:sz="6" w:space="0"/>
              <w:left w:val="single" w:color="auto" w:sz="6" w:space="0"/>
              <w:bottom w:val="single" w:color="auto" w:sz="6" w:space="0"/>
              <w:right w:val="single" w:color="auto" w:sz="6" w:space="0"/>
            </w:tcBorders>
            <w:vAlign w:val="center"/>
          </w:tcPr>
          <w:p w14:paraId="30C292A2">
            <w:pPr>
              <w:snapToGrid w:val="0"/>
              <w:spacing w:line="360" w:lineRule="auto"/>
              <w:ind w:firstLine="0" w:firstLineChars="0"/>
              <w:jc w:val="center"/>
              <w:rPr>
                <w:rFonts w:hint="eastAsia" w:ascii="宋体" w:hAnsi="宋体" w:eastAsia="宋体" w:cs="宋体"/>
                <w:color w:val="auto"/>
                <w:sz w:val="21"/>
                <w:szCs w:val="21"/>
                <w:highlight w:val="none"/>
              </w:rPr>
            </w:pPr>
          </w:p>
        </w:tc>
        <w:tc>
          <w:tcPr>
            <w:tcW w:w="708" w:type="dxa"/>
            <w:tcBorders>
              <w:top w:val="single" w:color="auto" w:sz="6" w:space="0"/>
              <w:left w:val="single" w:color="auto" w:sz="6" w:space="0"/>
              <w:bottom w:val="single" w:color="auto" w:sz="6" w:space="0"/>
              <w:right w:val="single" w:color="auto" w:sz="6" w:space="0"/>
            </w:tcBorders>
            <w:vAlign w:val="center"/>
          </w:tcPr>
          <w:p w14:paraId="55558E59">
            <w:pPr>
              <w:snapToGrid w:val="0"/>
              <w:spacing w:line="360" w:lineRule="auto"/>
              <w:ind w:firstLine="0" w:firstLineChars="0"/>
              <w:jc w:val="center"/>
              <w:rPr>
                <w:rFonts w:hint="eastAsia" w:ascii="宋体" w:hAnsi="宋体" w:eastAsia="宋体" w:cs="宋体"/>
                <w:color w:val="auto"/>
                <w:sz w:val="21"/>
                <w:szCs w:val="21"/>
                <w:highlight w:val="none"/>
                <w:lang w:val="zh-CN"/>
              </w:rPr>
            </w:pPr>
          </w:p>
        </w:tc>
        <w:tc>
          <w:tcPr>
            <w:tcW w:w="993" w:type="dxa"/>
            <w:tcBorders>
              <w:top w:val="single" w:color="auto" w:sz="6" w:space="0"/>
              <w:left w:val="single" w:color="auto" w:sz="6" w:space="0"/>
              <w:bottom w:val="single" w:color="auto" w:sz="6" w:space="0"/>
              <w:right w:val="single" w:color="auto" w:sz="6" w:space="0"/>
            </w:tcBorders>
            <w:vAlign w:val="center"/>
          </w:tcPr>
          <w:p w14:paraId="64B4C522">
            <w:pPr>
              <w:snapToGrid w:val="0"/>
              <w:spacing w:line="360" w:lineRule="auto"/>
              <w:ind w:firstLine="0" w:firstLineChars="0"/>
              <w:jc w:val="center"/>
              <w:rPr>
                <w:rFonts w:hint="eastAsia" w:ascii="宋体" w:hAnsi="宋体" w:eastAsia="宋体" w:cs="宋体"/>
                <w:color w:val="auto"/>
                <w:sz w:val="21"/>
                <w:szCs w:val="21"/>
                <w:highlight w:val="none"/>
              </w:rPr>
            </w:pPr>
          </w:p>
        </w:tc>
        <w:tc>
          <w:tcPr>
            <w:tcW w:w="2793" w:type="dxa"/>
            <w:tcBorders>
              <w:top w:val="single" w:color="auto" w:sz="6" w:space="0"/>
              <w:left w:val="single" w:color="auto" w:sz="6" w:space="0"/>
              <w:bottom w:val="single" w:color="auto" w:sz="6" w:space="0"/>
              <w:right w:val="single" w:color="auto" w:sz="6" w:space="0"/>
            </w:tcBorders>
            <w:vAlign w:val="center"/>
          </w:tcPr>
          <w:p w14:paraId="4232344B">
            <w:pPr>
              <w:snapToGrid w:val="0"/>
              <w:spacing w:line="360" w:lineRule="auto"/>
              <w:ind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未列明而施工需要的</w:t>
            </w:r>
          </w:p>
        </w:tc>
      </w:tr>
    </w:tbl>
    <w:p w14:paraId="187D7572">
      <w:pPr>
        <w:bidi w:val="0"/>
        <w:rPr>
          <w:rFonts w:hint="eastAsia" w:ascii="宋体" w:hAnsi="宋体" w:eastAsia="宋体" w:cs="宋体"/>
          <w:color w:val="auto"/>
          <w:highlight w:val="none"/>
        </w:rPr>
      </w:pPr>
    </w:p>
    <w:p w14:paraId="7FE1F022">
      <w:pPr>
        <w:rPr>
          <w:rFonts w:hint="eastAsia" w:ascii="宋体" w:hAnsi="宋体" w:eastAsia="宋体" w:cs="宋体"/>
          <w:color w:val="auto"/>
          <w:szCs w:val="21"/>
          <w:highlight w:val="none"/>
        </w:rPr>
      </w:pPr>
    </w:p>
    <w:p w14:paraId="4473A59D">
      <w:pPr>
        <w:bidi w:val="0"/>
        <w:rPr>
          <w:rFonts w:hint="eastAsia" w:ascii="宋体" w:hAnsi="宋体" w:eastAsia="宋体" w:cs="宋体"/>
          <w:color w:val="auto"/>
          <w:highlight w:val="none"/>
        </w:rPr>
      </w:pPr>
    </w:p>
    <w:p w14:paraId="2FB85CAC">
      <w:pPr>
        <w:rPr>
          <w:rFonts w:hint="eastAsia" w:ascii="宋体" w:hAnsi="宋体" w:eastAsia="宋体" w:cs="宋体"/>
          <w:color w:val="auto"/>
          <w:szCs w:val="21"/>
          <w:highlight w:val="none"/>
        </w:rPr>
      </w:pPr>
    </w:p>
    <w:p w14:paraId="77BDC16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1E31C5F8">
      <w:pPr>
        <w:pStyle w:val="13"/>
        <w:rPr>
          <w:rFonts w:hint="eastAsia" w:ascii="宋体" w:hAnsi="宋体" w:eastAsia="宋体" w:cs="宋体"/>
          <w:color w:val="auto"/>
          <w:szCs w:val="21"/>
          <w:highlight w:val="none"/>
        </w:rPr>
        <w:sectPr>
          <w:headerReference r:id="rId14" w:type="first"/>
          <w:footerReference r:id="rId16" w:type="first"/>
          <w:headerReference r:id="rId12" w:type="default"/>
          <w:footerReference r:id="rId15" w:type="default"/>
          <w:headerReference r:id="rId13" w:type="even"/>
          <w:pgSz w:w="11906" w:h="16838"/>
          <w:pgMar w:top="1440" w:right="1800" w:bottom="1440" w:left="1800" w:header="708" w:footer="708" w:gutter="0"/>
          <w:pgBorders>
            <w:top w:val="none" w:sz="0" w:space="0"/>
            <w:left w:val="none" w:sz="0" w:space="0"/>
            <w:bottom w:val="none" w:sz="0" w:space="0"/>
            <w:right w:val="none" w:sz="0" w:space="0"/>
          </w:pgBorders>
          <w:cols w:space="708" w:num="1"/>
          <w:titlePg/>
          <w:docGrid w:type="lines" w:linePitch="360" w:charSpace="0"/>
        </w:sectPr>
      </w:pPr>
    </w:p>
    <w:p w14:paraId="5DADBC4F">
      <w:pPr>
        <w:pStyle w:val="5"/>
        <w:widowControl w:val="0"/>
        <w:overflowPunct w:val="0"/>
        <w:spacing w:line="240" w:lineRule="auto"/>
        <w:rPr>
          <w:rFonts w:hint="eastAsia" w:ascii="宋体" w:hAnsi="宋体" w:eastAsia="宋体" w:cs="宋体"/>
          <w:color w:val="auto"/>
          <w:highlight w:val="none"/>
        </w:rPr>
      </w:pPr>
      <w:bookmarkStart w:id="183" w:name="_Toc4222"/>
      <w:r>
        <w:rPr>
          <w:rFonts w:hint="eastAsia" w:ascii="宋体" w:hAnsi="宋体" w:eastAsia="宋体" w:cs="宋体"/>
          <w:color w:val="auto"/>
          <w:sz w:val="21"/>
          <w:szCs w:val="21"/>
          <w:highlight w:val="none"/>
        </w:rPr>
        <w:t>附件1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.联合体协议书</w:t>
      </w:r>
      <w:r>
        <w:rPr>
          <w:rFonts w:hint="eastAsia" w:ascii="宋体" w:hAnsi="宋体" w:eastAsia="宋体" w:cs="宋体"/>
          <w:color w:val="auto"/>
          <w:highlight w:val="none"/>
        </w:rPr>
        <w:t>（如有）</w:t>
      </w:r>
      <w:bookmarkEnd w:id="183"/>
    </w:p>
    <w:p w14:paraId="18FAC320">
      <w:pPr>
        <w:rPr>
          <w:rFonts w:hint="eastAsia" w:ascii="宋体" w:hAnsi="宋体" w:eastAsia="宋体" w:cs="宋体"/>
          <w:color w:val="auto"/>
          <w:highlight w:val="none"/>
        </w:rPr>
      </w:pPr>
    </w:p>
    <w:p w14:paraId="41B9119C">
      <w:pPr>
        <w:jc w:val="center"/>
        <w:rPr>
          <w:rFonts w:hint="eastAsia" w:ascii="宋体" w:hAnsi="宋体" w:eastAsia="宋体" w:cs="宋体"/>
          <w:color w:val="auto"/>
          <w:highlight w:val="none"/>
        </w:rPr>
      </w:pPr>
      <w:r>
        <w:rPr>
          <w:rFonts w:hint="eastAsia" w:ascii="宋体" w:hAnsi="宋体" w:eastAsia="宋体" w:cs="宋体"/>
          <w:b/>
          <w:bCs/>
          <w:color w:val="auto"/>
          <w:highlight w:val="none"/>
        </w:rPr>
        <w:t>联合体共同投标协议书</w:t>
      </w:r>
    </w:p>
    <w:p w14:paraId="37D50E24">
      <w:pPr>
        <w:jc w:val="center"/>
        <w:rPr>
          <w:rFonts w:hint="eastAsia" w:ascii="宋体" w:hAnsi="宋体" w:eastAsia="宋体" w:cs="宋体"/>
          <w:color w:val="auto"/>
          <w:highlight w:val="none"/>
        </w:rPr>
      </w:pPr>
    </w:p>
    <w:p w14:paraId="219E424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立约方：（甲公司全称）</w:t>
      </w:r>
    </w:p>
    <w:p w14:paraId="38EEE87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（乙公司全称）</w:t>
      </w:r>
    </w:p>
    <w:p w14:paraId="5C33B7E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（……公司全称）</w:t>
      </w:r>
    </w:p>
    <w:p w14:paraId="1E591427">
      <w:pP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（甲公司全称）、（乙公司全称）、（……公司全称）</w:t>
      </w:r>
      <w:r>
        <w:rPr>
          <w:rFonts w:hint="eastAsia" w:ascii="宋体" w:hAnsi="宋体" w:eastAsia="宋体" w:cs="宋体"/>
          <w:color w:val="auto"/>
          <w:szCs w:val="21"/>
          <w:highlight w:val="none"/>
        </w:rPr>
        <w:t>自愿组成联合体，以一个投标人的身份共同参加</w:t>
      </w:r>
      <w:r>
        <w:rPr>
          <w:rFonts w:hint="eastAsia" w:ascii="宋体" w:hAnsi="宋体" w:eastAsia="宋体" w:cs="宋体"/>
          <w:color w:val="auto"/>
          <w:szCs w:val="21"/>
          <w:highlight w:val="none"/>
          <w:u w:val="single"/>
        </w:rPr>
        <w:t>（xxxx项目） （项目编号：xxxx）</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活动。经各方充分协商一致，就项目的投标和合同实施阶段的有关事务协商一致订立协议如下：</w:t>
      </w:r>
    </w:p>
    <w:p w14:paraId="1B79F52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一、联合体各方关系</w:t>
      </w:r>
    </w:p>
    <w:p w14:paraId="693F9CB6">
      <w:pP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1.（甲公司全称）、（乙公司全称）、（……公司全称）</w:t>
      </w:r>
      <w:r>
        <w:rPr>
          <w:rFonts w:hint="eastAsia" w:ascii="宋体" w:hAnsi="宋体" w:eastAsia="宋体" w:cs="宋体"/>
          <w:color w:val="auto"/>
          <w:szCs w:val="21"/>
          <w:highlight w:val="none"/>
        </w:rPr>
        <w:t>共同组成一个联合体，以一个投标人的身份共同参加本项目的投标。</w:t>
      </w:r>
      <w:r>
        <w:rPr>
          <w:rFonts w:hint="eastAsia" w:ascii="宋体" w:hAnsi="宋体" w:eastAsia="宋体" w:cs="宋体"/>
          <w:color w:val="auto"/>
          <w:szCs w:val="21"/>
          <w:highlight w:val="none"/>
          <w:u w:val="single"/>
        </w:rPr>
        <w:t>（甲公司全称）、（乙公司全称）、（……公司全称）</w:t>
      </w:r>
      <w:r>
        <w:rPr>
          <w:rFonts w:hint="eastAsia" w:ascii="宋体" w:hAnsi="宋体" w:eastAsia="宋体" w:cs="宋体"/>
          <w:color w:val="auto"/>
          <w:szCs w:val="21"/>
          <w:highlight w:val="none"/>
        </w:rPr>
        <w:t>作为联合体成员，若中标，联合体各方共同与</w:t>
      </w:r>
      <w:r>
        <w:rPr>
          <w:rFonts w:hint="eastAsia" w:ascii="宋体" w:hAnsi="宋体" w:eastAsia="宋体" w:cs="宋体"/>
          <w:color w:val="auto"/>
          <w:szCs w:val="21"/>
          <w:highlight w:val="none"/>
          <w:u w:val="single"/>
        </w:rPr>
        <w:t>（采购人）</w:t>
      </w:r>
      <w:r>
        <w:rPr>
          <w:rFonts w:hint="eastAsia" w:ascii="宋体" w:hAnsi="宋体" w:eastAsia="宋体" w:cs="宋体"/>
          <w:color w:val="auto"/>
          <w:szCs w:val="21"/>
          <w:highlight w:val="none"/>
        </w:rPr>
        <w:t>签订合同。</w:t>
      </w:r>
    </w:p>
    <w:p w14:paraId="7D6E13F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2.本次投标中，以</w:t>
      </w:r>
      <w:r>
        <w:rPr>
          <w:rFonts w:hint="eastAsia" w:ascii="宋体" w:hAnsi="宋体" w:eastAsia="宋体" w:cs="宋体"/>
          <w:color w:val="auto"/>
          <w:szCs w:val="21"/>
          <w:highlight w:val="none"/>
          <w:u w:val="single"/>
        </w:rPr>
        <w:t>（公司全称）</w:t>
      </w:r>
      <w:r>
        <w:rPr>
          <w:rFonts w:hint="eastAsia" w:ascii="宋体" w:hAnsi="宋体" w:eastAsia="宋体" w:cs="宋体"/>
          <w:color w:val="auto"/>
          <w:szCs w:val="21"/>
          <w:highlight w:val="none"/>
        </w:rPr>
        <w:t>为联合体牵头人。</w:t>
      </w:r>
    </w:p>
    <w:p w14:paraId="7AFE24F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二、联合体内部有关事项约定如下：</w:t>
      </w:r>
    </w:p>
    <w:p w14:paraId="76055A9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1.联合体牵头人合法代表联合体各成员，负责本项目投标文件编制和投标工作，并代表联合体成员递交和接受相关的资料、信息及指示，并处理与之有关的一切事务，负责合同实施阶段的主办、组织和协调工作。</w:t>
      </w:r>
    </w:p>
    <w:p w14:paraId="29B78FA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2.联合体将严格按照文件的各项要求，递交投标文件，切实执行一切合同文件，共同承担合同规定的一切义务和责任，同时按照内部职责的划分，承担自身所负的责任和风险，在法律上承担连带责任。</w:t>
      </w:r>
    </w:p>
    <w:p w14:paraId="5EA0588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3.如中标，联合体各方共同与（采购人）签订合同书，并就中标项目向采购人负有连带的和各自的法律责任；</w:t>
      </w:r>
    </w:p>
    <w:p w14:paraId="03D1A08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4.联合体各成员单位内部的职责分工如下：</w:t>
      </w:r>
    </w:p>
    <w:p w14:paraId="25916A7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p w14:paraId="4CFC9979">
      <w:pPr>
        <w:rPr>
          <w:rFonts w:hint="eastAsia" w:ascii="宋体" w:hAnsi="宋体" w:eastAsia="宋体" w:cs="宋体"/>
          <w:color w:val="auto"/>
          <w:highlight w:val="none"/>
        </w:rPr>
      </w:pPr>
      <w:r>
        <w:rPr>
          <w:rFonts w:hint="eastAsia" w:ascii="宋体" w:hAnsi="宋体" w:eastAsia="宋体" w:cs="宋体"/>
          <w:color w:val="auto"/>
          <w:szCs w:val="21"/>
          <w:highlight w:val="none"/>
        </w:rPr>
        <w:t>（2）</w:t>
      </w:r>
    </w:p>
    <w:p w14:paraId="0947457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三、联合体各方不得再以自己名义参与本项目投标，联合体各方不能作为其它联合体或单独</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的项目组成员参加本项目投标。因发生上述问题导致联合体成为无效投标，联合体的其他成员可追究其违约责任和经济损失。</w:t>
      </w:r>
    </w:p>
    <w:p w14:paraId="5069B91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四、联合体如因违约过失责任而导致采购人经济损失或被索赔时，本联合体任何一方均同意无条件优先清偿采购人的一切债务和经济赔偿。</w:t>
      </w:r>
    </w:p>
    <w:p w14:paraId="5A68F1C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五、联合体中标后，本联合体协议是合同的附件，对联合体各成员单位有合同约束力。</w:t>
      </w:r>
    </w:p>
    <w:p w14:paraId="0CCBBDE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六、本协议在自签署之日起生效，投标有效期内有效，如获中标资格，本协议有效期延续至合同履行完毕之日。</w:t>
      </w:r>
    </w:p>
    <w:p w14:paraId="15431F4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七、本协议书一式____份，联合体成员和采购人各执一份。 </w:t>
      </w:r>
    </w:p>
    <w:p w14:paraId="28AF89F4">
      <w:pPr>
        <w:rPr>
          <w:rFonts w:hint="eastAsia" w:ascii="宋体" w:hAnsi="宋体" w:eastAsia="宋体" w:cs="宋体"/>
          <w:color w:val="auto"/>
          <w:szCs w:val="21"/>
          <w:highlight w:val="none"/>
        </w:rPr>
      </w:pPr>
    </w:p>
    <w:p w14:paraId="5A4F3E46">
      <w:pPr>
        <w:pStyle w:val="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注：本协议书由委托人签字的，应附法定代表人签字的授权委托书。</w:t>
      </w:r>
    </w:p>
    <w:p w14:paraId="6773B339">
      <w:pPr>
        <w:pStyle w:val="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牵头人名称：_______________________（盖单位公章）</w:t>
      </w:r>
    </w:p>
    <w:p w14:paraId="54B8009B">
      <w:pPr>
        <w:pStyle w:val="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法定代表人或其委托代理人：_____________（签字）</w:t>
      </w:r>
    </w:p>
    <w:p w14:paraId="72023DE3">
      <w:pPr>
        <w:pStyle w:val="13"/>
        <w:rPr>
          <w:rFonts w:hint="eastAsia" w:ascii="宋体" w:hAnsi="宋体" w:eastAsia="宋体" w:cs="宋体"/>
          <w:color w:val="auto"/>
          <w:sz w:val="21"/>
          <w:szCs w:val="21"/>
          <w:highlight w:val="none"/>
        </w:rPr>
      </w:pPr>
    </w:p>
    <w:p w14:paraId="02680D58">
      <w:pPr>
        <w:pStyle w:val="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成员一名称：_______________________（盖单位公章）</w:t>
      </w:r>
    </w:p>
    <w:p w14:paraId="61DE45BF">
      <w:pPr>
        <w:pStyle w:val="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法定代表人或其委托代理人：_____________（签字）</w:t>
      </w:r>
    </w:p>
    <w:p w14:paraId="7DCA974C">
      <w:pPr>
        <w:pStyle w:val="13"/>
        <w:rPr>
          <w:rFonts w:hint="eastAsia" w:ascii="宋体" w:hAnsi="宋体" w:eastAsia="宋体" w:cs="宋体"/>
          <w:color w:val="auto"/>
          <w:sz w:val="21"/>
          <w:szCs w:val="21"/>
          <w:highlight w:val="none"/>
        </w:rPr>
      </w:pPr>
    </w:p>
    <w:p w14:paraId="3E1E3233">
      <w:pPr>
        <w:pStyle w:val="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成员二名称：_______________________（盖单位公章）</w:t>
      </w:r>
    </w:p>
    <w:p w14:paraId="3D2BF7E4">
      <w:pPr>
        <w:pStyle w:val="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法定代表人或其委托代理人：_____________（签字）</w:t>
      </w:r>
    </w:p>
    <w:p w14:paraId="2EBC5158">
      <w:pPr>
        <w:pStyle w:val="13"/>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6F8CF13A">
      <w:pPr>
        <w:pStyle w:val="13"/>
        <w:rPr>
          <w:rFonts w:hint="eastAsia" w:ascii="宋体" w:hAnsi="宋体" w:eastAsia="宋体" w:cs="宋体"/>
          <w:color w:val="auto"/>
          <w:highlight w:val="none"/>
          <w:lang w:val="en-US"/>
        </w:rPr>
        <w:sectPr>
          <w:pgSz w:w="11906" w:h="16838"/>
          <w:pgMar w:top="1440" w:right="1800" w:bottom="1440" w:left="1800" w:header="708" w:footer="708" w:gutter="0"/>
          <w:pgBorders>
            <w:top w:val="none" w:sz="0" w:space="0"/>
            <w:left w:val="none" w:sz="0" w:space="0"/>
            <w:bottom w:val="none" w:sz="0" w:space="0"/>
            <w:right w:val="none" w:sz="0" w:space="0"/>
          </w:pgBorders>
          <w:cols w:space="708" w:num="1"/>
          <w:titlePg/>
          <w:docGrid w:type="lines" w:linePitch="360" w:charSpace="0"/>
        </w:sectPr>
      </w:pPr>
      <w:r>
        <w:rPr>
          <w:rFonts w:hint="eastAsia" w:ascii="宋体" w:hAnsi="宋体" w:eastAsia="宋体" w:cs="宋体"/>
          <w:color w:val="auto"/>
          <w:sz w:val="21"/>
          <w:szCs w:val="21"/>
          <w:highlight w:val="none"/>
        </w:rPr>
        <w:t xml:space="preserve">        年     月     日</w:t>
      </w:r>
    </w:p>
    <w:p w14:paraId="3E00D7D0">
      <w:pPr>
        <w:pStyle w:val="13"/>
        <w:rPr>
          <w:rFonts w:hint="eastAsia" w:ascii="宋体" w:hAnsi="宋体" w:eastAsia="宋体" w:cs="宋体"/>
          <w:color w:val="auto"/>
          <w:highlight w:val="none"/>
        </w:rPr>
      </w:pPr>
    </w:p>
    <w:p w14:paraId="09299D47">
      <w:pPr>
        <w:pStyle w:val="3"/>
        <w:spacing w:before="0" w:after="0" w:line="360" w:lineRule="auto"/>
        <w:jc w:val="center"/>
        <w:rPr>
          <w:rFonts w:hint="eastAsia" w:ascii="宋体" w:hAnsi="宋体" w:eastAsia="宋体" w:cs="宋体"/>
          <w:color w:val="auto"/>
          <w:sz w:val="72"/>
          <w:szCs w:val="72"/>
          <w:highlight w:val="none"/>
        </w:rPr>
      </w:pPr>
      <w:bookmarkStart w:id="184" w:name="_Toc17454"/>
      <w:r>
        <w:rPr>
          <w:rFonts w:hint="eastAsia" w:ascii="宋体" w:hAnsi="宋体" w:eastAsia="宋体" w:cs="宋体"/>
          <w:color w:val="auto"/>
          <w:sz w:val="72"/>
          <w:szCs w:val="72"/>
          <w:highlight w:val="none"/>
        </w:rPr>
        <w:t>技术文件</w:t>
      </w:r>
      <w:bookmarkEnd w:id="184"/>
    </w:p>
    <w:p w14:paraId="11816A8E">
      <w:pPr>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（单独装订成册）</w:t>
      </w:r>
    </w:p>
    <w:p w14:paraId="48D30B4F">
      <w:pPr>
        <w:rPr>
          <w:rFonts w:hint="eastAsia" w:ascii="宋体" w:hAnsi="宋体" w:eastAsia="宋体" w:cs="宋体"/>
          <w:color w:val="auto"/>
          <w:highlight w:val="none"/>
        </w:rPr>
      </w:pPr>
    </w:p>
    <w:p w14:paraId="3FFF4C83">
      <w:pPr>
        <w:pStyle w:val="13"/>
        <w:rPr>
          <w:rFonts w:hint="eastAsia" w:ascii="宋体" w:hAnsi="宋体" w:eastAsia="宋体" w:cs="宋体"/>
          <w:color w:val="auto"/>
          <w:highlight w:val="none"/>
        </w:rPr>
      </w:pPr>
    </w:p>
    <w:p w14:paraId="35B1451E">
      <w:pPr>
        <w:pStyle w:val="34"/>
        <w:ind w:firstLine="240"/>
        <w:rPr>
          <w:rFonts w:hint="eastAsia" w:ascii="宋体" w:hAnsi="宋体" w:eastAsia="宋体" w:cs="宋体"/>
          <w:color w:val="auto"/>
          <w:highlight w:val="none"/>
        </w:rPr>
      </w:pPr>
    </w:p>
    <w:p w14:paraId="3CBFF84A">
      <w:pPr>
        <w:rPr>
          <w:rFonts w:hint="eastAsia" w:ascii="宋体" w:hAnsi="宋体" w:eastAsia="宋体" w:cs="宋体"/>
          <w:b/>
          <w:bCs/>
          <w:color w:val="auto"/>
          <w:spacing w:val="-6"/>
          <w:sz w:val="32"/>
          <w:szCs w:val="32"/>
          <w:highlight w:val="none"/>
        </w:rPr>
      </w:pPr>
      <w:r>
        <w:rPr>
          <w:rFonts w:hint="eastAsia" w:ascii="宋体" w:hAnsi="宋体" w:eastAsia="宋体" w:cs="宋体"/>
          <w:b/>
          <w:bCs/>
          <w:color w:val="auto"/>
          <w:spacing w:val="53"/>
          <w:kern w:val="0"/>
          <w:sz w:val="32"/>
          <w:szCs w:val="32"/>
          <w:highlight w:val="none"/>
          <w:fitText w:val="1600" w:id="8"/>
        </w:rPr>
        <w:t>项目名</w:t>
      </w:r>
      <w:r>
        <w:rPr>
          <w:rFonts w:hint="eastAsia" w:ascii="宋体" w:hAnsi="宋体" w:eastAsia="宋体" w:cs="宋体"/>
          <w:b/>
          <w:bCs/>
          <w:color w:val="auto"/>
          <w:spacing w:val="1"/>
          <w:kern w:val="0"/>
          <w:sz w:val="32"/>
          <w:szCs w:val="32"/>
          <w:highlight w:val="none"/>
          <w:fitText w:val="1600" w:id="8"/>
        </w:rPr>
        <w:t>称</w:t>
      </w:r>
      <w:r>
        <w:rPr>
          <w:rFonts w:hint="eastAsia" w:ascii="宋体" w:hAnsi="宋体" w:eastAsia="宋体" w:cs="宋体"/>
          <w:b/>
          <w:bCs/>
          <w:color w:val="auto"/>
          <w:spacing w:val="-6"/>
          <w:sz w:val="32"/>
          <w:szCs w:val="32"/>
          <w:highlight w:val="none"/>
        </w:rPr>
        <w:t>：</w:t>
      </w:r>
    </w:p>
    <w:p w14:paraId="6E6891E2">
      <w:pPr>
        <w:rPr>
          <w:rFonts w:hint="eastAsia" w:ascii="宋体" w:hAnsi="宋体" w:eastAsia="宋体" w:cs="宋体"/>
          <w:b/>
          <w:bCs/>
          <w:color w:val="auto"/>
          <w:sz w:val="32"/>
          <w:szCs w:val="32"/>
          <w:highlight w:val="none"/>
        </w:rPr>
      </w:pPr>
      <w:r>
        <w:rPr>
          <w:rFonts w:hint="eastAsia" w:ascii="宋体" w:hAnsi="宋体" w:eastAsia="宋体" w:cs="宋体"/>
          <w:b/>
          <w:bCs/>
          <w:color w:val="auto"/>
          <w:spacing w:val="53"/>
          <w:kern w:val="0"/>
          <w:sz w:val="32"/>
          <w:szCs w:val="32"/>
          <w:highlight w:val="none"/>
          <w:fitText w:val="1600" w:id="9"/>
        </w:rPr>
        <w:t>项目编</w:t>
      </w:r>
      <w:r>
        <w:rPr>
          <w:rFonts w:hint="eastAsia" w:ascii="宋体" w:hAnsi="宋体" w:eastAsia="宋体" w:cs="宋体"/>
          <w:b/>
          <w:bCs/>
          <w:color w:val="auto"/>
          <w:spacing w:val="1"/>
          <w:kern w:val="0"/>
          <w:sz w:val="32"/>
          <w:szCs w:val="32"/>
          <w:highlight w:val="none"/>
          <w:fitText w:val="1600" w:id="9"/>
        </w:rPr>
        <w:t>号</w:t>
      </w:r>
      <w:r>
        <w:rPr>
          <w:rFonts w:hint="eastAsia" w:ascii="宋体" w:hAnsi="宋体" w:eastAsia="宋体" w:cs="宋体"/>
          <w:b/>
          <w:bCs/>
          <w:color w:val="auto"/>
          <w:sz w:val="32"/>
          <w:szCs w:val="32"/>
          <w:highlight w:val="none"/>
        </w:rPr>
        <w:t>：</w:t>
      </w:r>
    </w:p>
    <w:p w14:paraId="79A3D6FD">
      <w:pPr>
        <w:pStyle w:val="13"/>
        <w:ind w:left="0"/>
        <w:rPr>
          <w:rFonts w:hint="eastAsia" w:ascii="宋体" w:hAnsi="宋体" w:eastAsia="宋体" w:cs="宋体"/>
          <w:b/>
          <w:color w:val="auto"/>
          <w:spacing w:val="1280"/>
          <w:sz w:val="32"/>
          <w:szCs w:val="32"/>
          <w:highlight w:val="none"/>
        </w:rPr>
      </w:pPr>
      <w:r>
        <w:rPr>
          <w:rFonts w:hint="eastAsia" w:ascii="宋体" w:hAnsi="宋体" w:eastAsia="宋体" w:cs="宋体"/>
          <w:b/>
          <w:color w:val="auto"/>
          <w:spacing w:val="106"/>
          <w:sz w:val="32"/>
          <w:szCs w:val="32"/>
          <w:highlight w:val="none"/>
          <w:lang w:val="en-US" w:bidi="ar-SA"/>
        </w:rPr>
        <w:t>包组号（如有）：</w:t>
      </w:r>
    </w:p>
    <w:p w14:paraId="24FBBEA5">
      <w:pPr>
        <w:rPr>
          <w:rFonts w:hint="eastAsia" w:ascii="宋体" w:hAnsi="宋体" w:eastAsia="宋体" w:cs="宋体"/>
          <w:b/>
          <w:color w:val="auto"/>
          <w:sz w:val="32"/>
          <w:szCs w:val="32"/>
          <w:highlight w:val="none"/>
        </w:rPr>
      </w:pPr>
      <w:r>
        <w:rPr>
          <w:rFonts w:hint="eastAsia" w:ascii="宋体" w:hAnsi="宋体" w:eastAsia="宋体" w:cs="宋体"/>
          <w:b/>
          <w:color w:val="auto"/>
          <w:spacing w:val="0"/>
          <w:kern w:val="0"/>
          <w:sz w:val="32"/>
          <w:szCs w:val="32"/>
          <w:highlight w:val="none"/>
          <w:fitText w:val="1600" w:id="10"/>
        </w:rPr>
        <w:t>投标人名称</w:t>
      </w:r>
      <w:r>
        <w:rPr>
          <w:rFonts w:hint="eastAsia" w:ascii="宋体" w:hAnsi="宋体" w:eastAsia="宋体" w:cs="宋体"/>
          <w:b/>
          <w:color w:val="auto"/>
          <w:sz w:val="32"/>
          <w:szCs w:val="32"/>
          <w:highlight w:val="none"/>
        </w:rPr>
        <w:t>：</w:t>
      </w:r>
    </w:p>
    <w:p w14:paraId="2613ACD9">
      <w:pPr>
        <w:rPr>
          <w:rFonts w:hint="eastAsia" w:ascii="宋体" w:hAnsi="宋体" w:eastAsia="宋体" w:cs="宋体"/>
          <w:b/>
          <w:color w:val="auto"/>
          <w:sz w:val="32"/>
          <w:szCs w:val="32"/>
          <w:highlight w:val="none"/>
        </w:rPr>
      </w:pPr>
      <w:r>
        <w:rPr>
          <w:rFonts w:hint="eastAsia" w:ascii="宋体" w:hAnsi="宋体" w:eastAsia="宋体" w:cs="宋体"/>
          <w:b/>
          <w:color w:val="auto"/>
          <w:spacing w:val="32"/>
          <w:kern w:val="0"/>
          <w:sz w:val="32"/>
          <w:szCs w:val="32"/>
          <w:highlight w:val="none"/>
          <w:fitText w:val="1600" w:id="11"/>
        </w:rPr>
        <w:t xml:space="preserve">日    </w:t>
      </w:r>
      <w:r>
        <w:rPr>
          <w:rFonts w:hint="eastAsia" w:ascii="宋体" w:hAnsi="宋体" w:eastAsia="宋体" w:cs="宋体"/>
          <w:b/>
          <w:color w:val="auto"/>
          <w:spacing w:val="0"/>
          <w:kern w:val="0"/>
          <w:sz w:val="32"/>
          <w:szCs w:val="32"/>
          <w:highlight w:val="none"/>
          <w:fitText w:val="1600" w:id="11"/>
        </w:rPr>
        <w:t>期</w:t>
      </w:r>
      <w:r>
        <w:rPr>
          <w:rFonts w:hint="eastAsia" w:ascii="宋体" w:hAnsi="宋体" w:eastAsia="宋体" w:cs="宋体"/>
          <w:b/>
          <w:color w:val="auto"/>
          <w:sz w:val="32"/>
          <w:szCs w:val="32"/>
          <w:highlight w:val="none"/>
        </w:rPr>
        <w:t>：</w:t>
      </w:r>
    </w:p>
    <w:p w14:paraId="25613F2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1E6C4314">
      <w:pPr>
        <w:pStyle w:val="5"/>
        <w:widowControl w:val="0"/>
        <w:overflowPunct w:val="0"/>
        <w:spacing w:line="240" w:lineRule="auto"/>
        <w:rPr>
          <w:rFonts w:hint="eastAsia" w:ascii="宋体" w:hAnsi="宋体" w:eastAsia="宋体" w:cs="宋体"/>
          <w:color w:val="auto"/>
          <w:sz w:val="21"/>
          <w:szCs w:val="21"/>
          <w:highlight w:val="none"/>
        </w:rPr>
      </w:pPr>
      <w:bookmarkStart w:id="185" w:name="_Toc3704"/>
      <w:r>
        <w:rPr>
          <w:rFonts w:hint="eastAsia" w:ascii="宋体" w:hAnsi="宋体" w:eastAsia="宋体" w:cs="宋体"/>
          <w:color w:val="auto"/>
          <w:sz w:val="21"/>
          <w:szCs w:val="21"/>
          <w:highlight w:val="none"/>
        </w:rPr>
        <w:t>附件1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 技术规格偏离表格式</w:t>
      </w:r>
      <w:bookmarkEnd w:id="185"/>
    </w:p>
    <w:p w14:paraId="3F3D3724">
      <w:pPr>
        <w:jc w:val="center"/>
        <w:rPr>
          <w:rFonts w:hint="eastAsia" w:ascii="宋体" w:hAnsi="宋体" w:eastAsia="宋体" w:cs="宋体"/>
          <w:color w:val="auto"/>
          <w:sz w:val="28"/>
          <w:szCs w:val="28"/>
          <w:highlight w:val="none"/>
        </w:rPr>
      </w:pPr>
    </w:p>
    <w:p w14:paraId="02EB9BA4">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技术规格偏离表</w:t>
      </w:r>
    </w:p>
    <w:tbl>
      <w:tblPr>
        <w:tblStyle w:val="3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14:paraId="7D947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8" w:type="dxa"/>
            <w:vAlign w:val="center"/>
          </w:tcPr>
          <w:p w14:paraId="0B36133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902" w:type="dxa"/>
            <w:vAlign w:val="center"/>
          </w:tcPr>
          <w:p w14:paraId="1D5DE06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服务项目名称</w:t>
            </w:r>
          </w:p>
        </w:tc>
        <w:tc>
          <w:tcPr>
            <w:tcW w:w="1370" w:type="dxa"/>
            <w:vAlign w:val="center"/>
          </w:tcPr>
          <w:p w14:paraId="2277DEB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采购要求</w:t>
            </w:r>
          </w:p>
        </w:tc>
        <w:tc>
          <w:tcPr>
            <w:tcW w:w="1629" w:type="dxa"/>
            <w:vAlign w:val="center"/>
          </w:tcPr>
          <w:p w14:paraId="270CEB0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投标实际响应</w:t>
            </w:r>
          </w:p>
        </w:tc>
        <w:tc>
          <w:tcPr>
            <w:tcW w:w="1239" w:type="dxa"/>
            <w:vAlign w:val="center"/>
          </w:tcPr>
          <w:p w14:paraId="2D8AFE5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是否偏离</w:t>
            </w:r>
          </w:p>
        </w:tc>
        <w:tc>
          <w:tcPr>
            <w:tcW w:w="1544" w:type="dxa"/>
            <w:vAlign w:val="center"/>
          </w:tcPr>
          <w:p w14:paraId="0F7430B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tc>
      </w:tr>
      <w:tr w14:paraId="4DBB9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511F5764">
            <w:pPr>
              <w:jc w:val="center"/>
              <w:rPr>
                <w:rFonts w:hint="eastAsia" w:ascii="宋体" w:hAnsi="宋体" w:eastAsia="宋体" w:cs="宋体"/>
                <w:color w:val="auto"/>
                <w:szCs w:val="21"/>
                <w:highlight w:val="none"/>
              </w:rPr>
            </w:pPr>
          </w:p>
        </w:tc>
        <w:tc>
          <w:tcPr>
            <w:tcW w:w="1902" w:type="dxa"/>
            <w:vAlign w:val="center"/>
          </w:tcPr>
          <w:p w14:paraId="29C7BD11">
            <w:pPr>
              <w:jc w:val="center"/>
              <w:rPr>
                <w:rFonts w:hint="eastAsia" w:ascii="宋体" w:hAnsi="宋体" w:eastAsia="宋体" w:cs="宋体"/>
                <w:color w:val="auto"/>
                <w:szCs w:val="21"/>
                <w:highlight w:val="none"/>
              </w:rPr>
            </w:pPr>
          </w:p>
        </w:tc>
        <w:tc>
          <w:tcPr>
            <w:tcW w:w="1370" w:type="dxa"/>
            <w:vAlign w:val="center"/>
          </w:tcPr>
          <w:p w14:paraId="3F1FD51E">
            <w:pPr>
              <w:jc w:val="center"/>
              <w:rPr>
                <w:rFonts w:hint="eastAsia" w:ascii="宋体" w:hAnsi="宋体" w:eastAsia="宋体" w:cs="宋体"/>
                <w:color w:val="auto"/>
                <w:szCs w:val="21"/>
                <w:highlight w:val="none"/>
              </w:rPr>
            </w:pPr>
          </w:p>
        </w:tc>
        <w:tc>
          <w:tcPr>
            <w:tcW w:w="1629" w:type="dxa"/>
            <w:vAlign w:val="center"/>
          </w:tcPr>
          <w:p w14:paraId="18511BF7">
            <w:pPr>
              <w:jc w:val="center"/>
              <w:rPr>
                <w:rFonts w:hint="eastAsia" w:ascii="宋体" w:hAnsi="宋体" w:eastAsia="宋体" w:cs="宋体"/>
                <w:color w:val="auto"/>
                <w:szCs w:val="21"/>
                <w:highlight w:val="none"/>
              </w:rPr>
            </w:pPr>
          </w:p>
        </w:tc>
        <w:tc>
          <w:tcPr>
            <w:tcW w:w="1239" w:type="dxa"/>
            <w:vAlign w:val="center"/>
          </w:tcPr>
          <w:p w14:paraId="3FEF3CCD">
            <w:pPr>
              <w:jc w:val="center"/>
              <w:rPr>
                <w:rFonts w:hint="eastAsia" w:ascii="宋体" w:hAnsi="宋体" w:eastAsia="宋体" w:cs="宋体"/>
                <w:color w:val="auto"/>
                <w:szCs w:val="21"/>
                <w:highlight w:val="none"/>
              </w:rPr>
            </w:pPr>
          </w:p>
        </w:tc>
        <w:tc>
          <w:tcPr>
            <w:tcW w:w="1544" w:type="dxa"/>
            <w:vAlign w:val="center"/>
          </w:tcPr>
          <w:p w14:paraId="3B878F99">
            <w:pPr>
              <w:jc w:val="center"/>
              <w:rPr>
                <w:rFonts w:hint="eastAsia" w:ascii="宋体" w:hAnsi="宋体" w:eastAsia="宋体" w:cs="宋体"/>
                <w:color w:val="auto"/>
                <w:szCs w:val="21"/>
                <w:highlight w:val="none"/>
              </w:rPr>
            </w:pPr>
          </w:p>
        </w:tc>
      </w:tr>
      <w:tr w14:paraId="4E7DE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6D253F08">
            <w:pPr>
              <w:jc w:val="center"/>
              <w:rPr>
                <w:rFonts w:hint="eastAsia" w:ascii="宋体" w:hAnsi="宋体" w:eastAsia="宋体" w:cs="宋体"/>
                <w:color w:val="auto"/>
                <w:szCs w:val="21"/>
                <w:highlight w:val="none"/>
              </w:rPr>
            </w:pPr>
          </w:p>
        </w:tc>
        <w:tc>
          <w:tcPr>
            <w:tcW w:w="1902" w:type="dxa"/>
            <w:vAlign w:val="center"/>
          </w:tcPr>
          <w:p w14:paraId="15247558">
            <w:pPr>
              <w:jc w:val="center"/>
              <w:rPr>
                <w:rFonts w:hint="eastAsia" w:ascii="宋体" w:hAnsi="宋体" w:eastAsia="宋体" w:cs="宋体"/>
                <w:color w:val="auto"/>
                <w:szCs w:val="21"/>
                <w:highlight w:val="none"/>
              </w:rPr>
            </w:pPr>
          </w:p>
        </w:tc>
        <w:tc>
          <w:tcPr>
            <w:tcW w:w="1370" w:type="dxa"/>
            <w:vAlign w:val="center"/>
          </w:tcPr>
          <w:p w14:paraId="0D2EBCF4">
            <w:pPr>
              <w:jc w:val="center"/>
              <w:rPr>
                <w:rFonts w:hint="eastAsia" w:ascii="宋体" w:hAnsi="宋体" w:eastAsia="宋体" w:cs="宋体"/>
                <w:color w:val="auto"/>
                <w:szCs w:val="21"/>
                <w:highlight w:val="none"/>
              </w:rPr>
            </w:pPr>
          </w:p>
        </w:tc>
        <w:tc>
          <w:tcPr>
            <w:tcW w:w="1629" w:type="dxa"/>
            <w:vAlign w:val="center"/>
          </w:tcPr>
          <w:p w14:paraId="032CE197">
            <w:pPr>
              <w:jc w:val="center"/>
              <w:rPr>
                <w:rFonts w:hint="eastAsia" w:ascii="宋体" w:hAnsi="宋体" w:eastAsia="宋体" w:cs="宋体"/>
                <w:color w:val="auto"/>
                <w:szCs w:val="21"/>
                <w:highlight w:val="none"/>
              </w:rPr>
            </w:pPr>
          </w:p>
        </w:tc>
        <w:tc>
          <w:tcPr>
            <w:tcW w:w="1239" w:type="dxa"/>
            <w:vAlign w:val="center"/>
          </w:tcPr>
          <w:p w14:paraId="393A688F">
            <w:pPr>
              <w:jc w:val="center"/>
              <w:rPr>
                <w:rFonts w:hint="eastAsia" w:ascii="宋体" w:hAnsi="宋体" w:eastAsia="宋体" w:cs="宋体"/>
                <w:color w:val="auto"/>
                <w:szCs w:val="21"/>
                <w:highlight w:val="none"/>
              </w:rPr>
            </w:pPr>
          </w:p>
        </w:tc>
        <w:tc>
          <w:tcPr>
            <w:tcW w:w="1544" w:type="dxa"/>
            <w:vAlign w:val="center"/>
          </w:tcPr>
          <w:p w14:paraId="08BD9BFC">
            <w:pPr>
              <w:jc w:val="center"/>
              <w:rPr>
                <w:rFonts w:hint="eastAsia" w:ascii="宋体" w:hAnsi="宋体" w:eastAsia="宋体" w:cs="宋体"/>
                <w:color w:val="auto"/>
                <w:szCs w:val="21"/>
                <w:highlight w:val="none"/>
              </w:rPr>
            </w:pPr>
          </w:p>
        </w:tc>
      </w:tr>
      <w:tr w14:paraId="2CBFF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567A6AC1">
            <w:pPr>
              <w:jc w:val="center"/>
              <w:rPr>
                <w:rFonts w:hint="eastAsia" w:ascii="宋体" w:hAnsi="宋体" w:eastAsia="宋体" w:cs="宋体"/>
                <w:color w:val="auto"/>
                <w:szCs w:val="21"/>
                <w:highlight w:val="none"/>
              </w:rPr>
            </w:pPr>
          </w:p>
        </w:tc>
        <w:tc>
          <w:tcPr>
            <w:tcW w:w="1902" w:type="dxa"/>
            <w:vAlign w:val="center"/>
          </w:tcPr>
          <w:p w14:paraId="10107D02">
            <w:pPr>
              <w:jc w:val="center"/>
              <w:rPr>
                <w:rFonts w:hint="eastAsia" w:ascii="宋体" w:hAnsi="宋体" w:eastAsia="宋体" w:cs="宋体"/>
                <w:color w:val="auto"/>
                <w:szCs w:val="21"/>
                <w:highlight w:val="none"/>
              </w:rPr>
            </w:pPr>
          </w:p>
        </w:tc>
        <w:tc>
          <w:tcPr>
            <w:tcW w:w="1370" w:type="dxa"/>
            <w:vAlign w:val="center"/>
          </w:tcPr>
          <w:p w14:paraId="1C3A1C53">
            <w:pPr>
              <w:jc w:val="center"/>
              <w:rPr>
                <w:rFonts w:hint="eastAsia" w:ascii="宋体" w:hAnsi="宋体" w:eastAsia="宋体" w:cs="宋体"/>
                <w:color w:val="auto"/>
                <w:szCs w:val="21"/>
                <w:highlight w:val="none"/>
              </w:rPr>
            </w:pPr>
          </w:p>
        </w:tc>
        <w:tc>
          <w:tcPr>
            <w:tcW w:w="1629" w:type="dxa"/>
            <w:vAlign w:val="center"/>
          </w:tcPr>
          <w:p w14:paraId="432EC5FD">
            <w:pPr>
              <w:jc w:val="center"/>
              <w:rPr>
                <w:rFonts w:hint="eastAsia" w:ascii="宋体" w:hAnsi="宋体" w:eastAsia="宋体" w:cs="宋体"/>
                <w:color w:val="auto"/>
                <w:szCs w:val="21"/>
                <w:highlight w:val="none"/>
              </w:rPr>
            </w:pPr>
          </w:p>
        </w:tc>
        <w:tc>
          <w:tcPr>
            <w:tcW w:w="1239" w:type="dxa"/>
            <w:vAlign w:val="center"/>
          </w:tcPr>
          <w:p w14:paraId="505F5DFD">
            <w:pPr>
              <w:jc w:val="center"/>
              <w:rPr>
                <w:rFonts w:hint="eastAsia" w:ascii="宋体" w:hAnsi="宋体" w:eastAsia="宋体" w:cs="宋体"/>
                <w:color w:val="auto"/>
                <w:szCs w:val="21"/>
                <w:highlight w:val="none"/>
              </w:rPr>
            </w:pPr>
          </w:p>
        </w:tc>
        <w:tc>
          <w:tcPr>
            <w:tcW w:w="1544" w:type="dxa"/>
            <w:vAlign w:val="center"/>
          </w:tcPr>
          <w:p w14:paraId="23870382">
            <w:pPr>
              <w:jc w:val="center"/>
              <w:rPr>
                <w:rFonts w:hint="eastAsia" w:ascii="宋体" w:hAnsi="宋体" w:eastAsia="宋体" w:cs="宋体"/>
                <w:color w:val="auto"/>
                <w:szCs w:val="21"/>
                <w:highlight w:val="none"/>
              </w:rPr>
            </w:pPr>
          </w:p>
        </w:tc>
      </w:tr>
      <w:tr w14:paraId="34EB7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3192A325">
            <w:pPr>
              <w:jc w:val="center"/>
              <w:rPr>
                <w:rFonts w:hint="eastAsia" w:ascii="宋体" w:hAnsi="宋体" w:eastAsia="宋体" w:cs="宋体"/>
                <w:color w:val="auto"/>
                <w:szCs w:val="21"/>
                <w:highlight w:val="none"/>
              </w:rPr>
            </w:pPr>
          </w:p>
        </w:tc>
        <w:tc>
          <w:tcPr>
            <w:tcW w:w="1902" w:type="dxa"/>
            <w:vAlign w:val="center"/>
          </w:tcPr>
          <w:p w14:paraId="565D2577">
            <w:pPr>
              <w:jc w:val="center"/>
              <w:rPr>
                <w:rFonts w:hint="eastAsia" w:ascii="宋体" w:hAnsi="宋体" w:eastAsia="宋体" w:cs="宋体"/>
                <w:color w:val="auto"/>
                <w:szCs w:val="21"/>
                <w:highlight w:val="none"/>
              </w:rPr>
            </w:pPr>
          </w:p>
        </w:tc>
        <w:tc>
          <w:tcPr>
            <w:tcW w:w="1370" w:type="dxa"/>
            <w:vAlign w:val="center"/>
          </w:tcPr>
          <w:p w14:paraId="10143D2C">
            <w:pPr>
              <w:jc w:val="center"/>
              <w:rPr>
                <w:rFonts w:hint="eastAsia" w:ascii="宋体" w:hAnsi="宋体" w:eastAsia="宋体" w:cs="宋体"/>
                <w:color w:val="auto"/>
                <w:szCs w:val="21"/>
                <w:highlight w:val="none"/>
              </w:rPr>
            </w:pPr>
          </w:p>
        </w:tc>
        <w:tc>
          <w:tcPr>
            <w:tcW w:w="1629" w:type="dxa"/>
            <w:vAlign w:val="center"/>
          </w:tcPr>
          <w:p w14:paraId="276E5C12">
            <w:pPr>
              <w:jc w:val="center"/>
              <w:rPr>
                <w:rFonts w:hint="eastAsia" w:ascii="宋体" w:hAnsi="宋体" w:eastAsia="宋体" w:cs="宋体"/>
                <w:color w:val="auto"/>
                <w:szCs w:val="21"/>
                <w:highlight w:val="none"/>
              </w:rPr>
            </w:pPr>
          </w:p>
        </w:tc>
        <w:tc>
          <w:tcPr>
            <w:tcW w:w="1239" w:type="dxa"/>
            <w:vAlign w:val="center"/>
          </w:tcPr>
          <w:p w14:paraId="5C8A5047">
            <w:pPr>
              <w:jc w:val="center"/>
              <w:rPr>
                <w:rFonts w:hint="eastAsia" w:ascii="宋体" w:hAnsi="宋体" w:eastAsia="宋体" w:cs="宋体"/>
                <w:color w:val="auto"/>
                <w:szCs w:val="21"/>
                <w:highlight w:val="none"/>
              </w:rPr>
            </w:pPr>
          </w:p>
        </w:tc>
        <w:tc>
          <w:tcPr>
            <w:tcW w:w="1544" w:type="dxa"/>
            <w:vAlign w:val="center"/>
          </w:tcPr>
          <w:p w14:paraId="7AC4D550">
            <w:pPr>
              <w:jc w:val="center"/>
              <w:rPr>
                <w:rFonts w:hint="eastAsia" w:ascii="宋体" w:hAnsi="宋体" w:eastAsia="宋体" w:cs="宋体"/>
                <w:color w:val="auto"/>
                <w:szCs w:val="21"/>
                <w:highlight w:val="none"/>
              </w:rPr>
            </w:pPr>
          </w:p>
        </w:tc>
      </w:tr>
      <w:tr w14:paraId="17CAF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48DD819D">
            <w:pPr>
              <w:jc w:val="center"/>
              <w:rPr>
                <w:rFonts w:hint="eastAsia" w:ascii="宋体" w:hAnsi="宋体" w:eastAsia="宋体" w:cs="宋体"/>
                <w:color w:val="auto"/>
                <w:szCs w:val="21"/>
                <w:highlight w:val="none"/>
              </w:rPr>
            </w:pPr>
          </w:p>
        </w:tc>
        <w:tc>
          <w:tcPr>
            <w:tcW w:w="1902" w:type="dxa"/>
            <w:vAlign w:val="center"/>
          </w:tcPr>
          <w:p w14:paraId="1D9229A0">
            <w:pPr>
              <w:jc w:val="center"/>
              <w:rPr>
                <w:rFonts w:hint="eastAsia" w:ascii="宋体" w:hAnsi="宋体" w:eastAsia="宋体" w:cs="宋体"/>
                <w:color w:val="auto"/>
                <w:szCs w:val="21"/>
                <w:highlight w:val="none"/>
              </w:rPr>
            </w:pPr>
          </w:p>
        </w:tc>
        <w:tc>
          <w:tcPr>
            <w:tcW w:w="1370" w:type="dxa"/>
            <w:vAlign w:val="center"/>
          </w:tcPr>
          <w:p w14:paraId="249B68FA">
            <w:pPr>
              <w:jc w:val="center"/>
              <w:rPr>
                <w:rFonts w:hint="eastAsia" w:ascii="宋体" w:hAnsi="宋体" w:eastAsia="宋体" w:cs="宋体"/>
                <w:color w:val="auto"/>
                <w:szCs w:val="21"/>
                <w:highlight w:val="none"/>
              </w:rPr>
            </w:pPr>
          </w:p>
        </w:tc>
        <w:tc>
          <w:tcPr>
            <w:tcW w:w="1629" w:type="dxa"/>
            <w:vAlign w:val="center"/>
          </w:tcPr>
          <w:p w14:paraId="312B2685">
            <w:pPr>
              <w:jc w:val="center"/>
              <w:rPr>
                <w:rFonts w:hint="eastAsia" w:ascii="宋体" w:hAnsi="宋体" w:eastAsia="宋体" w:cs="宋体"/>
                <w:color w:val="auto"/>
                <w:szCs w:val="21"/>
                <w:highlight w:val="none"/>
              </w:rPr>
            </w:pPr>
          </w:p>
        </w:tc>
        <w:tc>
          <w:tcPr>
            <w:tcW w:w="1239" w:type="dxa"/>
            <w:vAlign w:val="center"/>
          </w:tcPr>
          <w:p w14:paraId="7A9D2BC7">
            <w:pPr>
              <w:jc w:val="center"/>
              <w:rPr>
                <w:rFonts w:hint="eastAsia" w:ascii="宋体" w:hAnsi="宋体" w:eastAsia="宋体" w:cs="宋体"/>
                <w:color w:val="auto"/>
                <w:szCs w:val="21"/>
                <w:highlight w:val="none"/>
              </w:rPr>
            </w:pPr>
          </w:p>
        </w:tc>
        <w:tc>
          <w:tcPr>
            <w:tcW w:w="1544" w:type="dxa"/>
            <w:vAlign w:val="center"/>
          </w:tcPr>
          <w:p w14:paraId="6ED7A44A">
            <w:pPr>
              <w:jc w:val="center"/>
              <w:rPr>
                <w:rFonts w:hint="eastAsia" w:ascii="宋体" w:hAnsi="宋体" w:eastAsia="宋体" w:cs="宋体"/>
                <w:color w:val="auto"/>
                <w:szCs w:val="21"/>
                <w:highlight w:val="none"/>
              </w:rPr>
            </w:pPr>
          </w:p>
        </w:tc>
      </w:tr>
      <w:tr w14:paraId="398A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44A05EE6">
            <w:pPr>
              <w:jc w:val="center"/>
              <w:rPr>
                <w:rFonts w:hint="eastAsia" w:ascii="宋体" w:hAnsi="宋体" w:eastAsia="宋体" w:cs="宋体"/>
                <w:color w:val="auto"/>
                <w:szCs w:val="21"/>
                <w:highlight w:val="none"/>
              </w:rPr>
            </w:pPr>
          </w:p>
        </w:tc>
        <w:tc>
          <w:tcPr>
            <w:tcW w:w="1902" w:type="dxa"/>
            <w:vAlign w:val="center"/>
          </w:tcPr>
          <w:p w14:paraId="4C841A0E">
            <w:pPr>
              <w:jc w:val="center"/>
              <w:rPr>
                <w:rFonts w:hint="eastAsia" w:ascii="宋体" w:hAnsi="宋体" w:eastAsia="宋体" w:cs="宋体"/>
                <w:color w:val="auto"/>
                <w:szCs w:val="21"/>
                <w:highlight w:val="none"/>
              </w:rPr>
            </w:pPr>
          </w:p>
        </w:tc>
        <w:tc>
          <w:tcPr>
            <w:tcW w:w="1370" w:type="dxa"/>
            <w:vAlign w:val="center"/>
          </w:tcPr>
          <w:p w14:paraId="5FE1ED4A">
            <w:pPr>
              <w:jc w:val="center"/>
              <w:rPr>
                <w:rFonts w:hint="eastAsia" w:ascii="宋体" w:hAnsi="宋体" w:eastAsia="宋体" w:cs="宋体"/>
                <w:color w:val="auto"/>
                <w:szCs w:val="21"/>
                <w:highlight w:val="none"/>
              </w:rPr>
            </w:pPr>
          </w:p>
        </w:tc>
        <w:tc>
          <w:tcPr>
            <w:tcW w:w="1629" w:type="dxa"/>
            <w:vAlign w:val="center"/>
          </w:tcPr>
          <w:p w14:paraId="015DEA71">
            <w:pPr>
              <w:jc w:val="center"/>
              <w:rPr>
                <w:rFonts w:hint="eastAsia" w:ascii="宋体" w:hAnsi="宋体" w:eastAsia="宋体" w:cs="宋体"/>
                <w:color w:val="auto"/>
                <w:szCs w:val="21"/>
                <w:highlight w:val="none"/>
              </w:rPr>
            </w:pPr>
          </w:p>
        </w:tc>
        <w:tc>
          <w:tcPr>
            <w:tcW w:w="1239" w:type="dxa"/>
            <w:vAlign w:val="center"/>
          </w:tcPr>
          <w:p w14:paraId="1B2F9E91">
            <w:pPr>
              <w:jc w:val="center"/>
              <w:rPr>
                <w:rFonts w:hint="eastAsia" w:ascii="宋体" w:hAnsi="宋体" w:eastAsia="宋体" w:cs="宋体"/>
                <w:color w:val="auto"/>
                <w:szCs w:val="21"/>
                <w:highlight w:val="none"/>
              </w:rPr>
            </w:pPr>
          </w:p>
        </w:tc>
        <w:tc>
          <w:tcPr>
            <w:tcW w:w="1544" w:type="dxa"/>
            <w:vAlign w:val="center"/>
          </w:tcPr>
          <w:p w14:paraId="48971CB5">
            <w:pPr>
              <w:jc w:val="center"/>
              <w:rPr>
                <w:rFonts w:hint="eastAsia" w:ascii="宋体" w:hAnsi="宋体" w:eastAsia="宋体" w:cs="宋体"/>
                <w:color w:val="auto"/>
                <w:szCs w:val="21"/>
                <w:highlight w:val="none"/>
              </w:rPr>
            </w:pPr>
          </w:p>
        </w:tc>
      </w:tr>
      <w:tr w14:paraId="4D08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29091055">
            <w:pPr>
              <w:jc w:val="center"/>
              <w:rPr>
                <w:rFonts w:hint="eastAsia" w:ascii="宋体" w:hAnsi="宋体" w:eastAsia="宋体" w:cs="宋体"/>
                <w:color w:val="auto"/>
                <w:szCs w:val="21"/>
                <w:highlight w:val="none"/>
              </w:rPr>
            </w:pPr>
          </w:p>
        </w:tc>
        <w:tc>
          <w:tcPr>
            <w:tcW w:w="1902" w:type="dxa"/>
            <w:vAlign w:val="center"/>
          </w:tcPr>
          <w:p w14:paraId="48362ECB">
            <w:pPr>
              <w:jc w:val="center"/>
              <w:rPr>
                <w:rFonts w:hint="eastAsia" w:ascii="宋体" w:hAnsi="宋体" w:eastAsia="宋体" w:cs="宋体"/>
                <w:color w:val="auto"/>
                <w:szCs w:val="21"/>
                <w:highlight w:val="none"/>
              </w:rPr>
            </w:pPr>
          </w:p>
        </w:tc>
        <w:tc>
          <w:tcPr>
            <w:tcW w:w="1370" w:type="dxa"/>
            <w:vAlign w:val="center"/>
          </w:tcPr>
          <w:p w14:paraId="76C9B3AD">
            <w:pPr>
              <w:jc w:val="center"/>
              <w:rPr>
                <w:rFonts w:hint="eastAsia" w:ascii="宋体" w:hAnsi="宋体" w:eastAsia="宋体" w:cs="宋体"/>
                <w:color w:val="auto"/>
                <w:szCs w:val="21"/>
                <w:highlight w:val="none"/>
              </w:rPr>
            </w:pPr>
          </w:p>
        </w:tc>
        <w:tc>
          <w:tcPr>
            <w:tcW w:w="1629" w:type="dxa"/>
            <w:vAlign w:val="center"/>
          </w:tcPr>
          <w:p w14:paraId="2BD4E843">
            <w:pPr>
              <w:jc w:val="center"/>
              <w:rPr>
                <w:rFonts w:hint="eastAsia" w:ascii="宋体" w:hAnsi="宋体" w:eastAsia="宋体" w:cs="宋体"/>
                <w:color w:val="auto"/>
                <w:szCs w:val="21"/>
                <w:highlight w:val="none"/>
              </w:rPr>
            </w:pPr>
          </w:p>
        </w:tc>
        <w:tc>
          <w:tcPr>
            <w:tcW w:w="1239" w:type="dxa"/>
            <w:vAlign w:val="center"/>
          </w:tcPr>
          <w:p w14:paraId="7C1BC1F1">
            <w:pPr>
              <w:jc w:val="center"/>
              <w:rPr>
                <w:rFonts w:hint="eastAsia" w:ascii="宋体" w:hAnsi="宋体" w:eastAsia="宋体" w:cs="宋体"/>
                <w:color w:val="auto"/>
                <w:szCs w:val="21"/>
                <w:highlight w:val="none"/>
              </w:rPr>
            </w:pPr>
          </w:p>
        </w:tc>
        <w:tc>
          <w:tcPr>
            <w:tcW w:w="1544" w:type="dxa"/>
            <w:vAlign w:val="center"/>
          </w:tcPr>
          <w:p w14:paraId="6945D1AD">
            <w:pPr>
              <w:jc w:val="center"/>
              <w:rPr>
                <w:rFonts w:hint="eastAsia" w:ascii="宋体" w:hAnsi="宋体" w:eastAsia="宋体" w:cs="宋体"/>
                <w:color w:val="auto"/>
                <w:szCs w:val="21"/>
                <w:highlight w:val="none"/>
              </w:rPr>
            </w:pPr>
          </w:p>
        </w:tc>
      </w:tr>
      <w:tr w14:paraId="1D02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0BFFA778">
            <w:pPr>
              <w:jc w:val="center"/>
              <w:rPr>
                <w:rFonts w:hint="eastAsia" w:ascii="宋体" w:hAnsi="宋体" w:eastAsia="宋体" w:cs="宋体"/>
                <w:color w:val="auto"/>
                <w:szCs w:val="21"/>
                <w:highlight w:val="none"/>
              </w:rPr>
            </w:pPr>
          </w:p>
        </w:tc>
        <w:tc>
          <w:tcPr>
            <w:tcW w:w="1902" w:type="dxa"/>
            <w:vAlign w:val="center"/>
          </w:tcPr>
          <w:p w14:paraId="5D6F00D9">
            <w:pPr>
              <w:jc w:val="center"/>
              <w:rPr>
                <w:rFonts w:hint="eastAsia" w:ascii="宋体" w:hAnsi="宋体" w:eastAsia="宋体" w:cs="宋体"/>
                <w:color w:val="auto"/>
                <w:szCs w:val="21"/>
                <w:highlight w:val="none"/>
              </w:rPr>
            </w:pPr>
          </w:p>
        </w:tc>
        <w:tc>
          <w:tcPr>
            <w:tcW w:w="1370" w:type="dxa"/>
            <w:vAlign w:val="center"/>
          </w:tcPr>
          <w:p w14:paraId="17A0D3AD">
            <w:pPr>
              <w:jc w:val="center"/>
              <w:rPr>
                <w:rFonts w:hint="eastAsia" w:ascii="宋体" w:hAnsi="宋体" w:eastAsia="宋体" w:cs="宋体"/>
                <w:color w:val="auto"/>
                <w:szCs w:val="21"/>
                <w:highlight w:val="none"/>
              </w:rPr>
            </w:pPr>
          </w:p>
        </w:tc>
        <w:tc>
          <w:tcPr>
            <w:tcW w:w="1629" w:type="dxa"/>
            <w:vAlign w:val="center"/>
          </w:tcPr>
          <w:p w14:paraId="4710F151">
            <w:pPr>
              <w:jc w:val="center"/>
              <w:rPr>
                <w:rFonts w:hint="eastAsia" w:ascii="宋体" w:hAnsi="宋体" w:eastAsia="宋体" w:cs="宋体"/>
                <w:color w:val="auto"/>
                <w:szCs w:val="21"/>
                <w:highlight w:val="none"/>
              </w:rPr>
            </w:pPr>
          </w:p>
        </w:tc>
        <w:tc>
          <w:tcPr>
            <w:tcW w:w="1239" w:type="dxa"/>
            <w:vAlign w:val="center"/>
          </w:tcPr>
          <w:p w14:paraId="69FACDBC">
            <w:pPr>
              <w:jc w:val="center"/>
              <w:rPr>
                <w:rFonts w:hint="eastAsia" w:ascii="宋体" w:hAnsi="宋体" w:eastAsia="宋体" w:cs="宋体"/>
                <w:color w:val="auto"/>
                <w:szCs w:val="21"/>
                <w:highlight w:val="none"/>
              </w:rPr>
            </w:pPr>
          </w:p>
        </w:tc>
        <w:tc>
          <w:tcPr>
            <w:tcW w:w="1544" w:type="dxa"/>
            <w:vAlign w:val="center"/>
          </w:tcPr>
          <w:p w14:paraId="2FC317C4">
            <w:pPr>
              <w:jc w:val="center"/>
              <w:rPr>
                <w:rFonts w:hint="eastAsia" w:ascii="宋体" w:hAnsi="宋体" w:eastAsia="宋体" w:cs="宋体"/>
                <w:color w:val="auto"/>
                <w:szCs w:val="21"/>
                <w:highlight w:val="none"/>
              </w:rPr>
            </w:pPr>
          </w:p>
        </w:tc>
      </w:tr>
      <w:tr w14:paraId="47B07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1AF80F7D">
            <w:pPr>
              <w:jc w:val="center"/>
              <w:rPr>
                <w:rFonts w:hint="eastAsia" w:ascii="宋体" w:hAnsi="宋体" w:eastAsia="宋体" w:cs="宋体"/>
                <w:color w:val="auto"/>
                <w:szCs w:val="21"/>
                <w:highlight w:val="none"/>
              </w:rPr>
            </w:pPr>
          </w:p>
        </w:tc>
        <w:tc>
          <w:tcPr>
            <w:tcW w:w="1902" w:type="dxa"/>
            <w:vAlign w:val="center"/>
          </w:tcPr>
          <w:p w14:paraId="36737FCE">
            <w:pPr>
              <w:jc w:val="center"/>
              <w:rPr>
                <w:rFonts w:hint="eastAsia" w:ascii="宋体" w:hAnsi="宋体" w:eastAsia="宋体" w:cs="宋体"/>
                <w:color w:val="auto"/>
                <w:szCs w:val="21"/>
                <w:highlight w:val="none"/>
              </w:rPr>
            </w:pPr>
          </w:p>
        </w:tc>
        <w:tc>
          <w:tcPr>
            <w:tcW w:w="1370" w:type="dxa"/>
            <w:vAlign w:val="center"/>
          </w:tcPr>
          <w:p w14:paraId="6885B248">
            <w:pPr>
              <w:jc w:val="center"/>
              <w:rPr>
                <w:rFonts w:hint="eastAsia" w:ascii="宋体" w:hAnsi="宋体" w:eastAsia="宋体" w:cs="宋体"/>
                <w:color w:val="auto"/>
                <w:szCs w:val="21"/>
                <w:highlight w:val="none"/>
              </w:rPr>
            </w:pPr>
          </w:p>
        </w:tc>
        <w:tc>
          <w:tcPr>
            <w:tcW w:w="1629" w:type="dxa"/>
            <w:vAlign w:val="center"/>
          </w:tcPr>
          <w:p w14:paraId="1DCE3938">
            <w:pPr>
              <w:jc w:val="center"/>
              <w:rPr>
                <w:rFonts w:hint="eastAsia" w:ascii="宋体" w:hAnsi="宋体" w:eastAsia="宋体" w:cs="宋体"/>
                <w:color w:val="auto"/>
                <w:szCs w:val="21"/>
                <w:highlight w:val="none"/>
              </w:rPr>
            </w:pPr>
          </w:p>
        </w:tc>
        <w:tc>
          <w:tcPr>
            <w:tcW w:w="1239" w:type="dxa"/>
            <w:vAlign w:val="center"/>
          </w:tcPr>
          <w:p w14:paraId="4D3F8858">
            <w:pPr>
              <w:jc w:val="center"/>
              <w:rPr>
                <w:rFonts w:hint="eastAsia" w:ascii="宋体" w:hAnsi="宋体" w:eastAsia="宋体" w:cs="宋体"/>
                <w:color w:val="auto"/>
                <w:szCs w:val="21"/>
                <w:highlight w:val="none"/>
              </w:rPr>
            </w:pPr>
          </w:p>
        </w:tc>
        <w:tc>
          <w:tcPr>
            <w:tcW w:w="1544" w:type="dxa"/>
            <w:vAlign w:val="center"/>
          </w:tcPr>
          <w:p w14:paraId="7B06C25A">
            <w:pPr>
              <w:jc w:val="center"/>
              <w:rPr>
                <w:rFonts w:hint="eastAsia" w:ascii="宋体" w:hAnsi="宋体" w:eastAsia="宋体" w:cs="宋体"/>
                <w:color w:val="auto"/>
                <w:szCs w:val="21"/>
                <w:highlight w:val="none"/>
              </w:rPr>
            </w:pPr>
          </w:p>
        </w:tc>
      </w:tr>
      <w:tr w14:paraId="07C5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5BB1A44C">
            <w:pPr>
              <w:jc w:val="center"/>
              <w:rPr>
                <w:rFonts w:hint="eastAsia" w:ascii="宋体" w:hAnsi="宋体" w:eastAsia="宋体" w:cs="宋体"/>
                <w:color w:val="auto"/>
                <w:szCs w:val="21"/>
                <w:highlight w:val="none"/>
              </w:rPr>
            </w:pPr>
          </w:p>
        </w:tc>
        <w:tc>
          <w:tcPr>
            <w:tcW w:w="1902" w:type="dxa"/>
            <w:vAlign w:val="center"/>
          </w:tcPr>
          <w:p w14:paraId="6DC0E1D4">
            <w:pPr>
              <w:jc w:val="center"/>
              <w:rPr>
                <w:rFonts w:hint="eastAsia" w:ascii="宋体" w:hAnsi="宋体" w:eastAsia="宋体" w:cs="宋体"/>
                <w:color w:val="auto"/>
                <w:szCs w:val="21"/>
                <w:highlight w:val="none"/>
              </w:rPr>
            </w:pPr>
          </w:p>
        </w:tc>
        <w:tc>
          <w:tcPr>
            <w:tcW w:w="1370" w:type="dxa"/>
            <w:vAlign w:val="center"/>
          </w:tcPr>
          <w:p w14:paraId="5DD1C338">
            <w:pPr>
              <w:jc w:val="center"/>
              <w:rPr>
                <w:rFonts w:hint="eastAsia" w:ascii="宋体" w:hAnsi="宋体" w:eastAsia="宋体" w:cs="宋体"/>
                <w:color w:val="auto"/>
                <w:szCs w:val="21"/>
                <w:highlight w:val="none"/>
              </w:rPr>
            </w:pPr>
          </w:p>
        </w:tc>
        <w:tc>
          <w:tcPr>
            <w:tcW w:w="1629" w:type="dxa"/>
            <w:vAlign w:val="center"/>
          </w:tcPr>
          <w:p w14:paraId="5595BB51">
            <w:pPr>
              <w:jc w:val="center"/>
              <w:rPr>
                <w:rFonts w:hint="eastAsia" w:ascii="宋体" w:hAnsi="宋体" w:eastAsia="宋体" w:cs="宋体"/>
                <w:color w:val="auto"/>
                <w:szCs w:val="21"/>
                <w:highlight w:val="none"/>
              </w:rPr>
            </w:pPr>
          </w:p>
        </w:tc>
        <w:tc>
          <w:tcPr>
            <w:tcW w:w="1239" w:type="dxa"/>
            <w:vAlign w:val="center"/>
          </w:tcPr>
          <w:p w14:paraId="70B60295">
            <w:pPr>
              <w:jc w:val="center"/>
              <w:rPr>
                <w:rFonts w:hint="eastAsia" w:ascii="宋体" w:hAnsi="宋体" w:eastAsia="宋体" w:cs="宋体"/>
                <w:color w:val="auto"/>
                <w:szCs w:val="21"/>
                <w:highlight w:val="none"/>
              </w:rPr>
            </w:pPr>
          </w:p>
        </w:tc>
        <w:tc>
          <w:tcPr>
            <w:tcW w:w="1544" w:type="dxa"/>
            <w:vAlign w:val="center"/>
          </w:tcPr>
          <w:p w14:paraId="6E47C768">
            <w:pPr>
              <w:jc w:val="center"/>
              <w:rPr>
                <w:rFonts w:hint="eastAsia" w:ascii="宋体" w:hAnsi="宋体" w:eastAsia="宋体" w:cs="宋体"/>
                <w:color w:val="auto"/>
                <w:szCs w:val="21"/>
                <w:highlight w:val="none"/>
              </w:rPr>
            </w:pPr>
          </w:p>
        </w:tc>
      </w:tr>
    </w:tbl>
    <w:p w14:paraId="6A04DE77">
      <w:pPr>
        <w:rPr>
          <w:rFonts w:hint="eastAsia" w:ascii="宋体" w:hAnsi="宋体" w:eastAsia="宋体" w:cs="宋体"/>
          <w:color w:val="auto"/>
          <w:szCs w:val="21"/>
          <w:highlight w:val="none"/>
        </w:rPr>
      </w:pPr>
    </w:p>
    <w:p w14:paraId="2051E94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投标人代表签字：</w:t>
      </w:r>
    </w:p>
    <w:p w14:paraId="2397163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投标人盖章：</w:t>
      </w:r>
    </w:p>
    <w:p w14:paraId="2DF712ED">
      <w:pPr>
        <w:ind w:firstLine="178" w:firstLineChars="85"/>
        <w:rPr>
          <w:rFonts w:hint="eastAsia" w:ascii="宋体" w:hAnsi="宋体" w:eastAsia="宋体" w:cs="宋体"/>
          <w:color w:val="auto"/>
          <w:szCs w:val="21"/>
          <w:highlight w:val="none"/>
        </w:rPr>
      </w:pPr>
    </w:p>
    <w:p w14:paraId="5D8771C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25DACCB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应对照采购文件技术需求书中技术规格，说明所提供服务已对采购文件的技术规格做出了实质性的响应，并申明与技术规格条文的偏差和例外。特别对有具体参数要求的指标，投标人必须提供所投设备的具体参数值。</w:t>
      </w:r>
    </w:p>
    <w:p w14:paraId="2710189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论出于何种原因此表未填写完整，投标人都被认为已清楚了解采购文件“技术需求书”的内容并对采购人所需的服务要求作全面响应，投标人必须承担完成“技术需求书”所描述内容的义务，因此对投标人投标产生负面影响的，投标人自行承担后果。</w:t>
      </w:r>
    </w:p>
    <w:p w14:paraId="322FDAB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3、如有偏离，应在“偏离情况”栏内注明“正”、“负”或“无”，并在“说明”栏内予以说明。</w:t>
      </w:r>
    </w:p>
    <w:p w14:paraId="222F667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4、如投标人差异内容较多可另附页说明。</w:t>
      </w:r>
    </w:p>
    <w:p w14:paraId="08D100A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5、如投标人对用户需求书商务要求的条款全部响应的，也可以在表格下面用文字总括性的说明。</w:t>
      </w:r>
    </w:p>
    <w:p w14:paraId="4FE6F6B1">
      <w:pPr>
        <w:adjustRightInd/>
        <w:snapToGrid/>
        <w:spacing w:line="276" w:lineRule="auto"/>
        <w:rPr>
          <w:rFonts w:hint="eastAsia" w:ascii="宋体" w:hAnsi="宋体" w:eastAsia="宋体" w:cs="宋体"/>
          <w:color w:val="auto"/>
          <w:highlight w:val="none"/>
        </w:rPr>
      </w:pPr>
    </w:p>
    <w:p w14:paraId="423D3EE0">
      <w:pPr>
        <w:adjustRightInd/>
        <w:snapToGrid/>
        <w:spacing w:line="276" w:lineRule="auto"/>
        <w:rPr>
          <w:rFonts w:hint="eastAsia" w:ascii="宋体" w:hAnsi="宋体" w:eastAsia="宋体" w:cs="宋体"/>
          <w:color w:val="auto"/>
          <w:highlight w:val="none"/>
        </w:rPr>
      </w:pPr>
    </w:p>
    <w:p w14:paraId="16CBB01C">
      <w:pPr>
        <w:rPr>
          <w:rFonts w:hint="eastAsia" w:ascii="宋体" w:hAnsi="宋体" w:eastAsia="宋体" w:cs="宋体"/>
          <w:color w:val="auto"/>
          <w:szCs w:val="21"/>
          <w:highlight w:val="none"/>
        </w:rPr>
      </w:pPr>
      <w:bookmarkStart w:id="186" w:name="_Toc17691"/>
      <w:r>
        <w:rPr>
          <w:rFonts w:hint="eastAsia" w:ascii="宋体" w:hAnsi="宋体" w:eastAsia="宋体" w:cs="宋体"/>
          <w:color w:val="auto"/>
          <w:szCs w:val="21"/>
          <w:highlight w:val="none"/>
        </w:rPr>
        <w:br w:type="page"/>
      </w:r>
    </w:p>
    <w:bookmarkEnd w:id="186"/>
    <w:p w14:paraId="6D5920D6">
      <w:pPr>
        <w:pStyle w:val="5"/>
        <w:widowControl w:val="0"/>
        <w:overflowPunct w:val="0"/>
        <w:spacing w:line="240" w:lineRule="auto"/>
        <w:rPr>
          <w:rFonts w:hint="eastAsia" w:ascii="宋体" w:hAnsi="宋体" w:eastAsia="宋体" w:cs="宋体"/>
          <w:color w:val="auto"/>
          <w:sz w:val="21"/>
          <w:szCs w:val="21"/>
          <w:highlight w:val="none"/>
        </w:rPr>
      </w:pPr>
      <w:bookmarkStart w:id="187" w:name="_Toc13819"/>
      <w:r>
        <w:rPr>
          <w:rFonts w:hint="eastAsia" w:ascii="宋体" w:hAnsi="宋体" w:eastAsia="宋体" w:cs="宋体"/>
          <w:color w:val="auto"/>
          <w:sz w:val="21"/>
          <w:szCs w:val="21"/>
          <w:highlight w:val="none"/>
        </w:rPr>
        <w:t>附件1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.项目实施方案格式</w:t>
      </w:r>
      <w:bookmarkEnd w:id="187"/>
    </w:p>
    <w:p w14:paraId="1A479230">
      <w:pPr>
        <w:jc w:val="center"/>
        <w:rPr>
          <w:rFonts w:hint="eastAsia" w:ascii="宋体" w:hAnsi="宋体" w:eastAsia="宋体" w:cs="宋体"/>
          <w:color w:val="auto"/>
          <w:sz w:val="32"/>
          <w:szCs w:val="32"/>
          <w:highlight w:val="none"/>
        </w:rPr>
      </w:pPr>
    </w:p>
    <w:p w14:paraId="5D4B5353">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项目实施方案</w:t>
      </w:r>
    </w:p>
    <w:p w14:paraId="34B182F4">
      <w:pPr>
        <w:jc w:val="center"/>
        <w:rPr>
          <w:rFonts w:hint="eastAsia" w:ascii="宋体" w:hAnsi="宋体" w:eastAsia="宋体" w:cs="宋体"/>
          <w:color w:val="auto"/>
          <w:sz w:val="32"/>
          <w:szCs w:val="32"/>
          <w:highlight w:val="none"/>
        </w:rPr>
      </w:pPr>
    </w:p>
    <w:p w14:paraId="62CDE6B7">
      <w:pPr>
        <w:ind w:left="718" w:leftChars="200" w:hanging="298" w:hangingChars="142"/>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1、为完成本项目投标人临时投入的设备</w:t>
      </w:r>
    </w:p>
    <w:p w14:paraId="6BBADE0B">
      <w:pPr>
        <w:ind w:left="718" w:leftChars="200" w:hanging="298" w:hangingChars="142"/>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2、为完成本项目投标人投入的人员以及具体工作安排</w:t>
      </w:r>
    </w:p>
    <w:p w14:paraId="311C9B30">
      <w:pPr>
        <w:ind w:left="718" w:leftChars="200" w:hanging="298" w:hangingChars="142"/>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3、投标人为本项目制定的具体项目实施方案与项目实施流程</w:t>
      </w:r>
    </w:p>
    <w:p w14:paraId="7B06C076">
      <w:pPr>
        <w:ind w:left="718" w:leftChars="200" w:hanging="298" w:hangingChars="142"/>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4、服务方案</w:t>
      </w:r>
    </w:p>
    <w:p w14:paraId="2C5BBDC0">
      <w:pPr>
        <w:ind w:left="718" w:leftChars="200" w:hanging="298" w:hangingChars="142"/>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p w14:paraId="3E4FC4CE">
      <w:pPr>
        <w:ind w:left="718" w:leftChars="200" w:hanging="298" w:hangingChars="142"/>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自行编写。</w:t>
      </w:r>
    </w:p>
    <w:p w14:paraId="0CF77BB0">
      <w:pPr>
        <w:ind w:left="718" w:leftChars="200" w:hanging="298" w:hangingChars="142"/>
        <w:rPr>
          <w:rFonts w:hint="eastAsia" w:ascii="宋体" w:hAnsi="宋体" w:eastAsia="宋体" w:cs="宋体"/>
          <w:color w:val="auto"/>
          <w:szCs w:val="21"/>
          <w:highlight w:val="none"/>
        </w:rPr>
      </w:pPr>
    </w:p>
    <w:p w14:paraId="35CB0D86">
      <w:pPr>
        <w:ind w:left="718" w:leftChars="200" w:hanging="298" w:hangingChars="142"/>
        <w:rPr>
          <w:rFonts w:hint="eastAsia" w:ascii="宋体" w:hAnsi="宋体" w:eastAsia="宋体" w:cs="宋体"/>
          <w:color w:val="auto"/>
          <w:szCs w:val="21"/>
          <w:highlight w:val="none"/>
        </w:rPr>
      </w:pPr>
    </w:p>
    <w:p w14:paraId="4831500B">
      <w:pPr>
        <w:ind w:left="718" w:leftChars="200" w:hanging="298" w:hangingChars="142"/>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631DA7E2">
      <w:pPr>
        <w:pStyle w:val="5"/>
        <w:widowControl w:val="0"/>
        <w:overflowPunct w:val="0"/>
        <w:spacing w:line="240" w:lineRule="auto"/>
        <w:rPr>
          <w:rFonts w:hint="eastAsia" w:ascii="宋体" w:hAnsi="宋体" w:eastAsia="宋体" w:cs="宋体"/>
          <w:color w:val="auto"/>
          <w:sz w:val="21"/>
          <w:szCs w:val="21"/>
          <w:highlight w:val="none"/>
        </w:rPr>
      </w:pPr>
      <w:bookmarkStart w:id="188" w:name="_Toc23846"/>
      <w:r>
        <w:rPr>
          <w:rFonts w:hint="eastAsia" w:ascii="宋体" w:hAnsi="宋体" w:eastAsia="宋体" w:cs="宋体"/>
          <w:color w:val="auto"/>
          <w:sz w:val="21"/>
          <w:szCs w:val="21"/>
          <w:highlight w:val="none"/>
        </w:rPr>
        <w:t>附件1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.实施本项目的有关人员资料表格式</w:t>
      </w:r>
      <w:bookmarkEnd w:id="188"/>
    </w:p>
    <w:p w14:paraId="1105C718">
      <w:pPr>
        <w:jc w:val="center"/>
        <w:rPr>
          <w:rFonts w:hint="eastAsia" w:ascii="宋体" w:hAnsi="宋体" w:eastAsia="宋体" w:cs="宋体"/>
          <w:color w:val="auto"/>
          <w:szCs w:val="21"/>
          <w:highlight w:val="none"/>
        </w:rPr>
      </w:pPr>
    </w:p>
    <w:p w14:paraId="28C90244">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实施本项目的有关人员资料表</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702"/>
        <w:gridCol w:w="1861"/>
        <w:gridCol w:w="702"/>
        <w:gridCol w:w="702"/>
        <w:gridCol w:w="1164"/>
        <w:gridCol w:w="818"/>
        <w:gridCol w:w="1165"/>
        <w:gridCol w:w="703"/>
      </w:tblGrid>
      <w:tr w14:paraId="03C46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118C6AD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702" w:type="dxa"/>
            <w:vAlign w:val="center"/>
          </w:tcPr>
          <w:p w14:paraId="4A4FAA2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861" w:type="dxa"/>
            <w:vAlign w:val="center"/>
          </w:tcPr>
          <w:p w14:paraId="5C9FFE0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本项目拟任岗位</w:t>
            </w:r>
          </w:p>
        </w:tc>
        <w:tc>
          <w:tcPr>
            <w:tcW w:w="702" w:type="dxa"/>
            <w:vAlign w:val="center"/>
          </w:tcPr>
          <w:p w14:paraId="69C20D8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702" w:type="dxa"/>
            <w:vAlign w:val="center"/>
          </w:tcPr>
          <w:p w14:paraId="7178182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1164" w:type="dxa"/>
            <w:vAlign w:val="center"/>
          </w:tcPr>
          <w:p w14:paraId="4F70F3C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818" w:type="dxa"/>
            <w:vAlign w:val="center"/>
          </w:tcPr>
          <w:p w14:paraId="15BD5D5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 业</w:t>
            </w:r>
          </w:p>
        </w:tc>
        <w:tc>
          <w:tcPr>
            <w:tcW w:w="1165" w:type="dxa"/>
            <w:vAlign w:val="center"/>
          </w:tcPr>
          <w:p w14:paraId="60DE222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资质证书</w:t>
            </w:r>
          </w:p>
        </w:tc>
        <w:tc>
          <w:tcPr>
            <w:tcW w:w="703" w:type="dxa"/>
            <w:tcBorders>
              <w:right w:val="single" w:color="auto" w:sz="6" w:space="0"/>
            </w:tcBorders>
            <w:vAlign w:val="center"/>
          </w:tcPr>
          <w:p w14:paraId="214AAFE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3574E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163029FE">
            <w:pPr>
              <w:spacing w:line="288" w:lineRule="auto"/>
              <w:jc w:val="center"/>
              <w:rPr>
                <w:rFonts w:hint="eastAsia" w:ascii="宋体" w:hAnsi="宋体" w:eastAsia="宋体" w:cs="宋体"/>
                <w:color w:val="auto"/>
                <w:szCs w:val="21"/>
                <w:highlight w:val="none"/>
              </w:rPr>
            </w:pPr>
          </w:p>
        </w:tc>
        <w:tc>
          <w:tcPr>
            <w:tcW w:w="702" w:type="dxa"/>
            <w:vAlign w:val="center"/>
          </w:tcPr>
          <w:p w14:paraId="6D6E40B9">
            <w:pPr>
              <w:spacing w:line="288" w:lineRule="auto"/>
              <w:jc w:val="center"/>
              <w:rPr>
                <w:rFonts w:hint="eastAsia" w:ascii="宋体" w:hAnsi="宋体" w:eastAsia="宋体" w:cs="宋体"/>
                <w:color w:val="auto"/>
                <w:szCs w:val="21"/>
                <w:highlight w:val="none"/>
              </w:rPr>
            </w:pPr>
          </w:p>
        </w:tc>
        <w:tc>
          <w:tcPr>
            <w:tcW w:w="1861" w:type="dxa"/>
            <w:vAlign w:val="center"/>
          </w:tcPr>
          <w:p w14:paraId="606BA7BD">
            <w:pPr>
              <w:spacing w:line="288" w:lineRule="auto"/>
              <w:jc w:val="center"/>
              <w:rPr>
                <w:rFonts w:hint="eastAsia" w:ascii="宋体" w:hAnsi="宋体" w:eastAsia="宋体" w:cs="宋体"/>
                <w:color w:val="auto"/>
                <w:szCs w:val="21"/>
                <w:highlight w:val="none"/>
              </w:rPr>
            </w:pPr>
          </w:p>
        </w:tc>
        <w:tc>
          <w:tcPr>
            <w:tcW w:w="702" w:type="dxa"/>
            <w:vAlign w:val="center"/>
          </w:tcPr>
          <w:p w14:paraId="1878C9A9">
            <w:pPr>
              <w:spacing w:line="288" w:lineRule="auto"/>
              <w:jc w:val="center"/>
              <w:rPr>
                <w:rFonts w:hint="eastAsia" w:ascii="宋体" w:hAnsi="宋体" w:eastAsia="宋体" w:cs="宋体"/>
                <w:color w:val="auto"/>
                <w:szCs w:val="21"/>
                <w:highlight w:val="none"/>
              </w:rPr>
            </w:pPr>
          </w:p>
        </w:tc>
        <w:tc>
          <w:tcPr>
            <w:tcW w:w="702" w:type="dxa"/>
            <w:vAlign w:val="center"/>
          </w:tcPr>
          <w:p w14:paraId="730F58D7">
            <w:pPr>
              <w:spacing w:line="288" w:lineRule="auto"/>
              <w:jc w:val="center"/>
              <w:rPr>
                <w:rFonts w:hint="eastAsia" w:ascii="宋体" w:hAnsi="宋体" w:eastAsia="宋体" w:cs="宋体"/>
                <w:color w:val="auto"/>
                <w:szCs w:val="21"/>
                <w:highlight w:val="none"/>
              </w:rPr>
            </w:pPr>
          </w:p>
        </w:tc>
        <w:tc>
          <w:tcPr>
            <w:tcW w:w="1164" w:type="dxa"/>
            <w:vAlign w:val="center"/>
          </w:tcPr>
          <w:p w14:paraId="2D0A0D6D">
            <w:pPr>
              <w:spacing w:line="288" w:lineRule="auto"/>
              <w:jc w:val="center"/>
              <w:rPr>
                <w:rFonts w:hint="eastAsia" w:ascii="宋体" w:hAnsi="宋体" w:eastAsia="宋体" w:cs="宋体"/>
                <w:color w:val="auto"/>
                <w:szCs w:val="21"/>
                <w:highlight w:val="none"/>
              </w:rPr>
            </w:pPr>
          </w:p>
        </w:tc>
        <w:tc>
          <w:tcPr>
            <w:tcW w:w="818" w:type="dxa"/>
            <w:vAlign w:val="center"/>
          </w:tcPr>
          <w:p w14:paraId="7091D018">
            <w:pPr>
              <w:spacing w:line="288" w:lineRule="auto"/>
              <w:jc w:val="center"/>
              <w:rPr>
                <w:rFonts w:hint="eastAsia" w:ascii="宋体" w:hAnsi="宋体" w:eastAsia="宋体" w:cs="宋体"/>
                <w:color w:val="auto"/>
                <w:szCs w:val="21"/>
                <w:highlight w:val="none"/>
              </w:rPr>
            </w:pPr>
          </w:p>
        </w:tc>
        <w:tc>
          <w:tcPr>
            <w:tcW w:w="1165" w:type="dxa"/>
            <w:vAlign w:val="center"/>
          </w:tcPr>
          <w:p w14:paraId="3858546E">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14:paraId="77FC2F5A">
            <w:pPr>
              <w:spacing w:line="288" w:lineRule="auto"/>
              <w:jc w:val="center"/>
              <w:rPr>
                <w:rFonts w:hint="eastAsia" w:ascii="宋体" w:hAnsi="宋体" w:eastAsia="宋体" w:cs="宋体"/>
                <w:color w:val="auto"/>
                <w:szCs w:val="21"/>
                <w:highlight w:val="none"/>
              </w:rPr>
            </w:pPr>
          </w:p>
        </w:tc>
      </w:tr>
      <w:tr w14:paraId="5230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6408A7F2">
            <w:pPr>
              <w:spacing w:line="288" w:lineRule="auto"/>
              <w:jc w:val="center"/>
              <w:rPr>
                <w:rFonts w:hint="eastAsia" w:ascii="宋体" w:hAnsi="宋体" w:eastAsia="宋体" w:cs="宋体"/>
                <w:color w:val="auto"/>
                <w:szCs w:val="21"/>
                <w:highlight w:val="none"/>
              </w:rPr>
            </w:pPr>
          </w:p>
        </w:tc>
        <w:tc>
          <w:tcPr>
            <w:tcW w:w="702" w:type="dxa"/>
            <w:vAlign w:val="center"/>
          </w:tcPr>
          <w:p w14:paraId="29DF13CE">
            <w:pPr>
              <w:spacing w:line="288" w:lineRule="auto"/>
              <w:jc w:val="center"/>
              <w:rPr>
                <w:rFonts w:hint="eastAsia" w:ascii="宋体" w:hAnsi="宋体" w:eastAsia="宋体" w:cs="宋体"/>
                <w:color w:val="auto"/>
                <w:szCs w:val="21"/>
                <w:highlight w:val="none"/>
              </w:rPr>
            </w:pPr>
          </w:p>
        </w:tc>
        <w:tc>
          <w:tcPr>
            <w:tcW w:w="1861" w:type="dxa"/>
            <w:vAlign w:val="center"/>
          </w:tcPr>
          <w:p w14:paraId="4FEA46AF">
            <w:pPr>
              <w:spacing w:line="288" w:lineRule="auto"/>
              <w:jc w:val="center"/>
              <w:rPr>
                <w:rFonts w:hint="eastAsia" w:ascii="宋体" w:hAnsi="宋体" w:eastAsia="宋体" w:cs="宋体"/>
                <w:color w:val="auto"/>
                <w:szCs w:val="21"/>
                <w:highlight w:val="none"/>
              </w:rPr>
            </w:pPr>
          </w:p>
        </w:tc>
        <w:tc>
          <w:tcPr>
            <w:tcW w:w="702" w:type="dxa"/>
            <w:vAlign w:val="center"/>
          </w:tcPr>
          <w:p w14:paraId="76D94B15">
            <w:pPr>
              <w:spacing w:line="288" w:lineRule="auto"/>
              <w:jc w:val="center"/>
              <w:rPr>
                <w:rFonts w:hint="eastAsia" w:ascii="宋体" w:hAnsi="宋体" w:eastAsia="宋体" w:cs="宋体"/>
                <w:color w:val="auto"/>
                <w:szCs w:val="21"/>
                <w:highlight w:val="none"/>
              </w:rPr>
            </w:pPr>
          </w:p>
        </w:tc>
        <w:tc>
          <w:tcPr>
            <w:tcW w:w="702" w:type="dxa"/>
            <w:vAlign w:val="center"/>
          </w:tcPr>
          <w:p w14:paraId="668A963E">
            <w:pPr>
              <w:spacing w:line="288" w:lineRule="auto"/>
              <w:jc w:val="center"/>
              <w:rPr>
                <w:rFonts w:hint="eastAsia" w:ascii="宋体" w:hAnsi="宋体" w:eastAsia="宋体" w:cs="宋体"/>
                <w:color w:val="auto"/>
                <w:szCs w:val="21"/>
                <w:highlight w:val="none"/>
              </w:rPr>
            </w:pPr>
          </w:p>
        </w:tc>
        <w:tc>
          <w:tcPr>
            <w:tcW w:w="1164" w:type="dxa"/>
            <w:vAlign w:val="center"/>
          </w:tcPr>
          <w:p w14:paraId="6A711E89">
            <w:pPr>
              <w:spacing w:line="288" w:lineRule="auto"/>
              <w:jc w:val="center"/>
              <w:rPr>
                <w:rFonts w:hint="eastAsia" w:ascii="宋体" w:hAnsi="宋体" w:eastAsia="宋体" w:cs="宋体"/>
                <w:color w:val="auto"/>
                <w:szCs w:val="21"/>
                <w:highlight w:val="none"/>
              </w:rPr>
            </w:pPr>
          </w:p>
        </w:tc>
        <w:tc>
          <w:tcPr>
            <w:tcW w:w="818" w:type="dxa"/>
            <w:vAlign w:val="center"/>
          </w:tcPr>
          <w:p w14:paraId="685758FE">
            <w:pPr>
              <w:spacing w:line="288" w:lineRule="auto"/>
              <w:jc w:val="center"/>
              <w:rPr>
                <w:rFonts w:hint="eastAsia" w:ascii="宋体" w:hAnsi="宋体" w:eastAsia="宋体" w:cs="宋体"/>
                <w:color w:val="auto"/>
                <w:szCs w:val="21"/>
                <w:highlight w:val="none"/>
              </w:rPr>
            </w:pPr>
          </w:p>
        </w:tc>
        <w:tc>
          <w:tcPr>
            <w:tcW w:w="1165" w:type="dxa"/>
            <w:vAlign w:val="center"/>
          </w:tcPr>
          <w:p w14:paraId="253E09F6">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14:paraId="1750B728">
            <w:pPr>
              <w:spacing w:line="288" w:lineRule="auto"/>
              <w:jc w:val="center"/>
              <w:rPr>
                <w:rFonts w:hint="eastAsia" w:ascii="宋体" w:hAnsi="宋体" w:eastAsia="宋体" w:cs="宋体"/>
                <w:color w:val="auto"/>
                <w:szCs w:val="21"/>
                <w:highlight w:val="none"/>
              </w:rPr>
            </w:pPr>
          </w:p>
        </w:tc>
      </w:tr>
      <w:tr w14:paraId="00F4E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0870CE73">
            <w:pPr>
              <w:spacing w:line="288" w:lineRule="auto"/>
              <w:jc w:val="center"/>
              <w:rPr>
                <w:rFonts w:hint="eastAsia" w:ascii="宋体" w:hAnsi="宋体" w:eastAsia="宋体" w:cs="宋体"/>
                <w:color w:val="auto"/>
                <w:szCs w:val="21"/>
                <w:highlight w:val="none"/>
              </w:rPr>
            </w:pPr>
          </w:p>
        </w:tc>
        <w:tc>
          <w:tcPr>
            <w:tcW w:w="702" w:type="dxa"/>
            <w:vAlign w:val="center"/>
          </w:tcPr>
          <w:p w14:paraId="3E8FCEBD">
            <w:pPr>
              <w:spacing w:line="288" w:lineRule="auto"/>
              <w:jc w:val="center"/>
              <w:rPr>
                <w:rFonts w:hint="eastAsia" w:ascii="宋体" w:hAnsi="宋体" w:eastAsia="宋体" w:cs="宋体"/>
                <w:color w:val="auto"/>
                <w:szCs w:val="21"/>
                <w:highlight w:val="none"/>
              </w:rPr>
            </w:pPr>
          </w:p>
        </w:tc>
        <w:tc>
          <w:tcPr>
            <w:tcW w:w="1861" w:type="dxa"/>
            <w:vAlign w:val="center"/>
          </w:tcPr>
          <w:p w14:paraId="12CEC9C6">
            <w:pPr>
              <w:spacing w:line="288" w:lineRule="auto"/>
              <w:jc w:val="center"/>
              <w:rPr>
                <w:rFonts w:hint="eastAsia" w:ascii="宋体" w:hAnsi="宋体" w:eastAsia="宋体" w:cs="宋体"/>
                <w:color w:val="auto"/>
                <w:szCs w:val="21"/>
                <w:highlight w:val="none"/>
              </w:rPr>
            </w:pPr>
          </w:p>
        </w:tc>
        <w:tc>
          <w:tcPr>
            <w:tcW w:w="702" w:type="dxa"/>
            <w:vAlign w:val="center"/>
          </w:tcPr>
          <w:p w14:paraId="2EC87934">
            <w:pPr>
              <w:spacing w:line="288" w:lineRule="auto"/>
              <w:jc w:val="center"/>
              <w:rPr>
                <w:rFonts w:hint="eastAsia" w:ascii="宋体" w:hAnsi="宋体" w:eastAsia="宋体" w:cs="宋体"/>
                <w:color w:val="auto"/>
                <w:szCs w:val="21"/>
                <w:highlight w:val="none"/>
              </w:rPr>
            </w:pPr>
          </w:p>
        </w:tc>
        <w:tc>
          <w:tcPr>
            <w:tcW w:w="702" w:type="dxa"/>
            <w:vAlign w:val="center"/>
          </w:tcPr>
          <w:p w14:paraId="4B1DB998">
            <w:pPr>
              <w:spacing w:line="288" w:lineRule="auto"/>
              <w:jc w:val="center"/>
              <w:rPr>
                <w:rFonts w:hint="eastAsia" w:ascii="宋体" w:hAnsi="宋体" w:eastAsia="宋体" w:cs="宋体"/>
                <w:color w:val="auto"/>
                <w:szCs w:val="21"/>
                <w:highlight w:val="none"/>
              </w:rPr>
            </w:pPr>
          </w:p>
        </w:tc>
        <w:tc>
          <w:tcPr>
            <w:tcW w:w="1164" w:type="dxa"/>
            <w:vAlign w:val="center"/>
          </w:tcPr>
          <w:p w14:paraId="50F804B4">
            <w:pPr>
              <w:spacing w:line="288" w:lineRule="auto"/>
              <w:jc w:val="center"/>
              <w:rPr>
                <w:rFonts w:hint="eastAsia" w:ascii="宋体" w:hAnsi="宋体" w:eastAsia="宋体" w:cs="宋体"/>
                <w:color w:val="auto"/>
                <w:szCs w:val="21"/>
                <w:highlight w:val="none"/>
              </w:rPr>
            </w:pPr>
          </w:p>
        </w:tc>
        <w:tc>
          <w:tcPr>
            <w:tcW w:w="818" w:type="dxa"/>
            <w:vAlign w:val="center"/>
          </w:tcPr>
          <w:p w14:paraId="1B295574">
            <w:pPr>
              <w:spacing w:line="288" w:lineRule="auto"/>
              <w:jc w:val="center"/>
              <w:rPr>
                <w:rFonts w:hint="eastAsia" w:ascii="宋体" w:hAnsi="宋体" w:eastAsia="宋体" w:cs="宋体"/>
                <w:color w:val="auto"/>
                <w:szCs w:val="21"/>
                <w:highlight w:val="none"/>
              </w:rPr>
            </w:pPr>
          </w:p>
        </w:tc>
        <w:tc>
          <w:tcPr>
            <w:tcW w:w="1165" w:type="dxa"/>
            <w:vAlign w:val="center"/>
          </w:tcPr>
          <w:p w14:paraId="3265E5F5">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14:paraId="09142A6E">
            <w:pPr>
              <w:spacing w:line="288" w:lineRule="auto"/>
              <w:jc w:val="center"/>
              <w:rPr>
                <w:rFonts w:hint="eastAsia" w:ascii="宋体" w:hAnsi="宋体" w:eastAsia="宋体" w:cs="宋体"/>
                <w:color w:val="auto"/>
                <w:szCs w:val="21"/>
                <w:highlight w:val="none"/>
              </w:rPr>
            </w:pPr>
          </w:p>
        </w:tc>
      </w:tr>
      <w:tr w14:paraId="7C2E3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58070242">
            <w:pPr>
              <w:spacing w:line="288" w:lineRule="auto"/>
              <w:jc w:val="center"/>
              <w:rPr>
                <w:rFonts w:hint="eastAsia" w:ascii="宋体" w:hAnsi="宋体" w:eastAsia="宋体" w:cs="宋体"/>
                <w:color w:val="auto"/>
                <w:szCs w:val="21"/>
                <w:highlight w:val="none"/>
              </w:rPr>
            </w:pPr>
          </w:p>
        </w:tc>
        <w:tc>
          <w:tcPr>
            <w:tcW w:w="702" w:type="dxa"/>
            <w:vAlign w:val="center"/>
          </w:tcPr>
          <w:p w14:paraId="3B14F792">
            <w:pPr>
              <w:spacing w:line="288" w:lineRule="auto"/>
              <w:jc w:val="center"/>
              <w:rPr>
                <w:rFonts w:hint="eastAsia" w:ascii="宋体" w:hAnsi="宋体" w:eastAsia="宋体" w:cs="宋体"/>
                <w:color w:val="auto"/>
                <w:szCs w:val="21"/>
                <w:highlight w:val="none"/>
              </w:rPr>
            </w:pPr>
          </w:p>
        </w:tc>
        <w:tc>
          <w:tcPr>
            <w:tcW w:w="1861" w:type="dxa"/>
            <w:vAlign w:val="center"/>
          </w:tcPr>
          <w:p w14:paraId="58D56976">
            <w:pPr>
              <w:spacing w:line="288" w:lineRule="auto"/>
              <w:jc w:val="center"/>
              <w:rPr>
                <w:rFonts w:hint="eastAsia" w:ascii="宋体" w:hAnsi="宋体" w:eastAsia="宋体" w:cs="宋体"/>
                <w:color w:val="auto"/>
                <w:szCs w:val="21"/>
                <w:highlight w:val="none"/>
              </w:rPr>
            </w:pPr>
          </w:p>
        </w:tc>
        <w:tc>
          <w:tcPr>
            <w:tcW w:w="702" w:type="dxa"/>
            <w:vAlign w:val="center"/>
          </w:tcPr>
          <w:p w14:paraId="5E1F50C2">
            <w:pPr>
              <w:spacing w:line="288" w:lineRule="auto"/>
              <w:jc w:val="center"/>
              <w:rPr>
                <w:rFonts w:hint="eastAsia" w:ascii="宋体" w:hAnsi="宋体" w:eastAsia="宋体" w:cs="宋体"/>
                <w:color w:val="auto"/>
                <w:szCs w:val="21"/>
                <w:highlight w:val="none"/>
              </w:rPr>
            </w:pPr>
          </w:p>
        </w:tc>
        <w:tc>
          <w:tcPr>
            <w:tcW w:w="702" w:type="dxa"/>
            <w:vAlign w:val="center"/>
          </w:tcPr>
          <w:p w14:paraId="18462E2B">
            <w:pPr>
              <w:spacing w:line="288" w:lineRule="auto"/>
              <w:jc w:val="center"/>
              <w:rPr>
                <w:rFonts w:hint="eastAsia" w:ascii="宋体" w:hAnsi="宋体" w:eastAsia="宋体" w:cs="宋体"/>
                <w:color w:val="auto"/>
                <w:szCs w:val="21"/>
                <w:highlight w:val="none"/>
              </w:rPr>
            </w:pPr>
          </w:p>
        </w:tc>
        <w:tc>
          <w:tcPr>
            <w:tcW w:w="1164" w:type="dxa"/>
            <w:vAlign w:val="center"/>
          </w:tcPr>
          <w:p w14:paraId="1DC4769F">
            <w:pPr>
              <w:spacing w:line="288" w:lineRule="auto"/>
              <w:jc w:val="center"/>
              <w:rPr>
                <w:rFonts w:hint="eastAsia" w:ascii="宋体" w:hAnsi="宋体" w:eastAsia="宋体" w:cs="宋体"/>
                <w:color w:val="auto"/>
                <w:szCs w:val="21"/>
                <w:highlight w:val="none"/>
              </w:rPr>
            </w:pPr>
          </w:p>
        </w:tc>
        <w:tc>
          <w:tcPr>
            <w:tcW w:w="818" w:type="dxa"/>
            <w:vAlign w:val="center"/>
          </w:tcPr>
          <w:p w14:paraId="2A13EA9D">
            <w:pPr>
              <w:spacing w:line="288" w:lineRule="auto"/>
              <w:jc w:val="center"/>
              <w:rPr>
                <w:rFonts w:hint="eastAsia" w:ascii="宋体" w:hAnsi="宋体" w:eastAsia="宋体" w:cs="宋体"/>
                <w:color w:val="auto"/>
                <w:szCs w:val="21"/>
                <w:highlight w:val="none"/>
              </w:rPr>
            </w:pPr>
          </w:p>
        </w:tc>
        <w:tc>
          <w:tcPr>
            <w:tcW w:w="1165" w:type="dxa"/>
            <w:vAlign w:val="center"/>
          </w:tcPr>
          <w:p w14:paraId="161FC2FE">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14:paraId="6DC523D2">
            <w:pPr>
              <w:spacing w:line="288" w:lineRule="auto"/>
              <w:jc w:val="center"/>
              <w:rPr>
                <w:rFonts w:hint="eastAsia" w:ascii="宋体" w:hAnsi="宋体" w:eastAsia="宋体" w:cs="宋体"/>
                <w:color w:val="auto"/>
                <w:szCs w:val="21"/>
                <w:highlight w:val="none"/>
              </w:rPr>
            </w:pPr>
          </w:p>
        </w:tc>
      </w:tr>
      <w:tr w14:paraId="31A5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43A34523">
            <w:pPr>
              <w:spacing w:line="288" w:lineRule="auto"/>
              <w:jc w:val="center"/>
              <w:rPr>
                <w:rFonts w:hint="eastAsia" w:ascii="宋体" w:hAnsi="宋体" w:eastAsia="宋体" w:cs="宋体"/>
                <w:color w:val="auto"/>
                <w:szCs w:val="21"/>
                <w:highlight w:val="none"/>
              </w:rPr>
            </w:pPr>
          </w:p>
        </w:tc>
        <w:tc>
          <w:tcPr>
            <w:tcW w:w="702" w:type="dxa"/>
            <w:vAlign w:val="center"/>
          </w:tcPr>
          <w:p w14:paraId="5BD728A3">
            <w:pPr>
              <w:spacing w:line="288" w:lineRule="auto"/>
              <w:jc w:val="center"/>
              <w:rPr>
                <w:rFonts w:hint="eastAsia" w:ascii="宋体" w:hAnsi="宋体" w:eastAsia="宋体" w:cs="宋体"/>
                <w:color w:val="auto"/>
                <w:szCs w:val="21"/>
                <w:highlight w:val="none"/>
              </w:rPr>
            </w:pPr>
          </w:p>
        </w:tc>
        <w:tc>
          <w:tcPr>
            <w:tcW w:w="1861" w:type="dxa"/>
            <w:vAlign w:val="center"/>
          </w:tcPr>
          <w:p w14:paraId="78EE9A12">
            <w:pPr>
              <w:spacing w:line="288" w:lineRule="auto"/>
              <w:jc w:val="center"/>
              <w:rPr>
                <w:rFonts w:hint="eastAsia" w:ascii="宋体" w:hAnsi="宋体" w:eastAsia="宋体" w:cs="宋体"/>
                <w:color w:val="auto"/>
                <w:szCs w:val="21"/>
                <w:highlight w:val="none"/>
              </w:rPr>
            </w:pPr>
          </w:p>
        </w:tc>
        <w:tc>
          <w:tcPr>
            <w:tcW w:w="702" w:type="dxa"/>
            <w:vAlign w:val="center"/>
          </w:tcPr>
          <w:p w14:paraId="60FF4096">
            <w:pPr>
              <w:spacing w:line="288" w:lineRule="auto"/>
              <w:jc w:val="center"/>
              <w:rPr>
                <w:rFonts w:hint="eastAsia" w:ascii="宋体" w:hAnsi="宋体" w:eastAsia="宋体" w:cs="宋体"/>
                <w:color w:val="auto"/>
                <w:szCs w:val="21"/>
                <w:highlight w:val="none"/>
              </w:rPr>
            </w:pPr>
          </w:p>
        </w:tc>
        <w:tc>
          <w:tcPr>
            <w:tcW w:w="702" w:type="dxa"/>
            <w:vAlign w:val="center"/>
          </w:tcPr>
          <w:p w14:paraId="036B6141">
            <w:pPr>
              <w:spacing w:line="288" w:lineRule="auto"/>
              <w:jc w:val="center"/>
              <w:rPr>
                <w:rFonts w:hint="eastAsia" w:ascii="宋体" w:hAnsi="宋体" w:eastAsia="宋体" w:cs="宋体"/>
                <w:color w:val="auto"/>
                <w:szCs w:val="21"/>
                <w:highlight w:val="none"/>
              </w:rPr>
            </w:pPr>
          </w:p>
        </w:tc>
        <w:tc>
          <w:tcPr>
            <w:tcW w:w="1164" w:type="dxa"/>
            <w:vAlign w:val="center"/>
          </w:tcPr>
          <w:p w14:paraId="49E65408">
            <w:pPr>
              <w:spacing w:line="288" w:lineRule="auto"/>
              <w:jc w:val="center"/>
              <w:rPr>
                <w:rFonts w:hint="eastAsia" w:ascii="宋体" w:hAnsi="宋体" w:eastAsia="宋体" w:cs="宋体"/>
                <w:color w:val="auto"/>
                <w:szCs w:val="21"/>
                <w:highlight w:val="none"/>
              </w:rPr>
            </w:pPr>
          </w:p>
        </w:tc>
        <w:tc>
          <w:tcPr>
            <w:tcW w:w="818" w:type="dxa"/>
            <w:vAlign w:val="center"/>
          </w:tcPr>
          <w:p w14:paraId="2CBCA3B4">
            <w:pPr>
              <w:spacing w:line="288" w:lineRule="auto"/>
              <w:jc w:val="center"/>
              <w:rPr>
                <w:rFonts w:hint="eastAsia" w:ascii="宋体" w:hAnsi="宋体" w:eastAsia="宋体" w:cs="宋体"/>
                <w:color w:val="auto"/>
                <w:szCs w:val="21"/>
                <w:highlight w:val="none"/>
              </w:rPr>
            </w:pPr>
          </w:p>
        </w:tc>
        <w:tc>
          <w:tcPr>
            <w:tcW w:w="1165" w:type="dxa"/>
            <w:vAlign w:val="center"/>
          </w:tcPr>
          <w:p w14:paraId="2432690F">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14:paraId="7BAFE8A9">
            <w:pPr>
              <w:spacing w:line="288" w:lineRule="auto"/>
              <w:jc w:val="center"/>
              <w:rPr>
                <w:rFonts w:hint="eastAsia" w:ascii="宋体" w:hAnsi="宋体" w:eastAsia="宋体" w:cs="宋体"/>
                <w:color w:val="auto"/>
                <w:szCs w:val="21"/>
                <w:highlight w:val="none"/>
              </w:rPr>
            </w:pPr>
          </w:p>
        </w:tc>
      </w:tr>
      <w:tr w14:paraId="317B8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7FAE9EA0">
            <w:pPr>
              <w:spacing w:line="288" w:lineRule="auto"/>
              <w:jc w:val="center"/>
              <w:rPr>
                <w:rFonts w:hint="eastAsia" w:ascii="宋体" w:hAnsi="宋体" w:eastAsia="宋体" w:cs="宋体"/>
                <w:color w:val="auto"/>
                <w:szCs w:val="21"/>
                <w:highlight w:val="none"/>
              </w:rPr>
            </w:pPr>
          </w:p>
        </w:tc>
        <w:tc>
          <w:tcPr>
            <w:tcW w:w="702" w:type="dxa"/>
            <w:vAlign w:val="center"/>
          </w:tcPr>
          <w:p w14:paraId="42A12AC8">
            <w:pPr>
              <w:spacing w:line="288" w:lineRule="auto"/>
              <w:jc w:val="center"/>
              <w:rPr>
                <w:rFonts w:hint="eastAsia" w:ascii="宋体" w:hAnsi="宋体" w:eastAsia="宋体" w:cs="宋体"/>
                <w:color w:val="auto"/>
                <w:szCs w:val="21"/>
                <w:highlight w:val="none"/>
              </w:rPr>
            </w:pPr>
          </w:p>
        </w:tc>
        <w:tc>
          <w:tcPr>
            <w:tcW w:w="1861" w:type="dxa"/>
            <w:vAlign w:val="center"/>
          </w:tcPr>
          <w:p w14:paraId="15E9D12B">
            <w:pPr>
              <w:spacing w:line="288" w:lineRule="auto"/>
              <w:jc w:val="center"/>
              <w:rPr>
                <w:rFonts w:hint="eastAsia" w:ascii="宋体" w:hAnsi="宋体" w:eastAsia="宋体" w:cs="宋体"/>
                <w:color w:val="auto"/>
                <w:szCs w:val="21"/>
                <w:highlight w:val="none"/>
              </w:rPr>
            </w:pPr>
          </w:p>
        </w:tc>
        <w:tc>
          <w:tcPr>
            <w:tcW w:w="702" w:type="dxa"/>
            <w:vAlign w:val="center"/>
          </w:tcPr>
          <w:p w14:paraId="2A95C909">
            <w:pPr>
              <w:spacing w:line="288" w:lineRule="auto"/>
              <w:jc w:val="center"/>
              <w:rPr>
                <w:rFonts w:hint="eastAsia" w:ascii="宋体" w:hAnsi="宋体" w:eastAsia="宋体" w:cs="宋体"/>
                <w:color w:val="auto"/>
                <w:szCs w:val="21"/>
                <w:highlight w:val="none"/>
              </w:rPr>
            </w:pPr>
          </w:p>
        </w:tc>
        <w:tc>
          <w:tcPr>
            <w:tcW w:w="702" w:type="dxa"/>
            <w:vAlign w:val="center"/>
          </w:tcPr>
          <w:p w14:paraId="52CF1980">
            <w:pPr>
              <w:spacing w:line="288" w:lineRule="auto"/>
              <w:jc w:val="center"/>
              <w:rPr>
                <w:rFonts w:hint="eastAsia" w:ascii="宋体" w:hAnsi="宋体" w:eastAsia="宋体" w:cs="宋体"/>
                <w:color w:val="auto"/>
                <w:szCs w:val="21"/>
                <w:highlight w:val="none"/>
              </w:rPr>
            </w:pPr>
          </w:p>
        </w:tc>
        <w:tc>
          <w:tcPr>
            <w:tcW w:w="1164" w:type="dxa"/>
            <w:vAlign w:val="center"/>
          </w:tcPr>
          <w:p w14:paraId="32539B67">
            <w:pPr>
              <w:spacing w:line="288" w:lineRule="auto"/>
              <w:jc w:val="center"/>
              <w:rPr>
                <w:rFonts w:hint="eastAsia" w:ascii="宋体" w:hAnsi="宋体" w:eastAsia="宋体" w:cs="宋体"/>
                <w:color w:val="auto"/>
                <w:szCs w:val="21"/>
                <w:highlight w:val="none"/>
              </w:rPr>
            </w:pPr>
          </w:p>
        </w:tc>
        <w:tc>
          <w:tcPr>
            <w:tcW w:w="818" w:type="dxa"/>
            <w:vAlign w:val="center"/>
          </w:tcPr>
          <w:p w14:paraId="5434DDCF">
            <w:pPr>
              <w:spacing w:line="288" w:lineRule="auto"/>
              <w:jc w:val="center"/>
              <w:rPr>
                <w:rFonts w:hint="eastAsia" w:ascii="宋体" w:hAnsi="宋体" w:eastAsia="宋体" w:cs="宋体"/>
                <w:color w:val="auto"/>
                <w:szCs w:val="21"/>
                <w:highlight w:val="none"/>
              </w:rPr>
            </w:pPr>
          </w:p>
        </w:tc>
        <w:tc>
          <w:tcPr>
            <w:tcW w:w="1165" w:type="dxa"/>
            <w:vAlign w:val="center"/>
          </w:tcPr>
          <w:p w14:paraId="51E2FCB5">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14:paraId="0BDCD6E3">
            <w:pPr>
              <w:spacing w:line="288" w:lineRule="auto"/>
              <w:jc w:val="center"/>
              <w:rPr>
                <w:rFonts w:hint="eastAsia" w:ascii="宋体" w:hAnsi="宋体" w:eastAsia="宋体" w:cs="宋体"/>
                <w:color w:val="auto"/>
                <w:szCs w:val="21"/>
                <w:highlight w:val="none"/>
              </w:rPr>
            </w:pPr>
          </w:p>
        </w:tc>
      </w:tr>
      <w:tr w14:paraId="75A40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77569415">
            <w:pPr>
              <w:spacing w:line="288" w:lineRule="auto"/>
              <w:jc w:val="center"/>
              <w:rPr>
                <w:rFonts w:hint="eastAsia" w:ascii="宋体" w:hAnsi="宋体" w:eastAsia="宋体" w:cs="宋体"/>
                <w:color w:val="auto"/>
                <w:szCs w:val="21"/>
                <w:highlight w:val="none"/>
              </w:rPr>
            </w:pPr>
          </w:p>
        </w:tc>
        <w:tc>
          <w:tcPr>
            <w:tcW w:w="702" w:type="dxa"/>
            <w:vAlign w:val="center"/>
          </w:tcPr>
          <w:p w14:paraId="7D8CD8A0">
            <w:pPr>
              <w:spacing w:line="288" w:lineRule="auto"/>
              <w:jc w:val="center"/>
              <w:rPr>
                <w:rFonts w:hint="eastAsia" w:ascii="宋体" w:hAnsi="宋体" w:eastAsia="宋体" w:cs="宋体"/>
                <w:color w:val="auto"/>
                <w:szCs w:val="21"/>
                <w:highlight w:val="none"/>
              </w:rPr>
            </w:pPr>
          </w:p>
        </w:tc>
        <w:tc>
          <w:tcPr>
            <w:tcW w:w="1861" w:type="dxa"/>
            <w:vAlign w:val="center"/>
          </w:tcPr>
          <w:p w14:paraId="453ABAA8">
            <w:pPr>
              <w:spacing w:line="288" w:lineRule="auto"/>
              <w:jc w:val="center"/>
              <w:rPr>
                <w:rFonts w:hint="eastAsia" w:ascii="宋体" w:hAnsi="宋体" w:eastAsia="宋体" w:cs="宋体"/>
                <w:color w:val="auto"/>
                <w:szCs w:val="21"/>
                <w:highlight w:val="none"/>
              </w:rPr>
            </w:pPr>
          </w:p>
        </w:tc>
        <w:tc>
          <w:tcPr>
            <w:tcW w:w="702" w:type="dxa"/>
            <w:vAlign w:val="center"/>
          </w:tcPr>
          <w:p w14:paraId="1B7488EC">
            <w:pPr>
              <w:spacing w:line="288" w:lineRule="auto"/>
              <w:jc w:val="center"/>
              <w:rPr>
                <w:rFonts w:hint="eastAsia" w:ascii="宋体" w:hAnsi="宋体" w:eastAsia="宋体" w:cs="宋体"/>
                <w:color w:val="auto"/>
                <w:szCs w:val="21"/>
                <w:highlight w:val="none"/>
              </w:rPr>
            </w:pPr>
          </w:p>
        </w:tc>
        <w:tc>
          <w:tcPr>
            <w:tcW w:w="702" w:type="dxa"/>
            <w:vAlign w:val="center"/>
          </w:tcPr>
          <w:p w14:paraId="228A20DF">
            <w:pPr>
              <w:spacing w:line="288" w:lineRule="auto"/>
              <w:jc w:val="center"/>
              <w:rPr>
                <w:rFonts w:hint="eastAsia" w:ascii="宋体" w:hAnsi="宋体" w:eastAsia="宋体" w:cs="宋体"/>
                <w:color w:val="auto"/>
                <w:szCs w:val="21"/>
                <w:highlight w:val="none"/>
              </w:rPr>
            </w:pPr>
          </w:p>
        </w:tc>
        <w:tc>
          <w:tcPr>
            <w:tcW w:w="1164" w:type="dxa"/>
            <w:vAlign w:val="center"/>
          </w:tcPr>
          <w:p w14:paraId="68640832">
            <w:pPr>
              <w:spacing w:line="288" w:lineRule="auto"/>
              <w:jc w:val="center"/>
              <w:rPr>
                <w:rFonts w:hint="eastAsia" w:ascii="宋体" w:hAnsi="宋体" w:eastAsia="宋体" w:cs="宋体"/>
                <w:color w:val="auto"/>
                <w:szCs w:val="21"/>
                <w:highlight w:val="none"/>
              </w:rPr>
            </w:pPr>
          </w:p>
        </w:tc>
        <w:tc>
          <w:tcPr>
            <w:tcW w:w="818" w:type="dxa"/>
            <w:vAlign w:val="center"/>
          </w:tcPr>
          <w:p w14:paraId="22474B99">
            <w:pPr>
              <w:spacing w:line="288" w:lineRule="auto"/>
              <w:jc w:val="center"/>
              <w:rPr>
                <w:rFonts w:hint="eastAsia" w:ascii="宋体" w:hAnsi="宋体" w:eastAsia="宋体" w:cs="宋体"/>
                <w:color w:val="auto"/>
                <w:szCs w:val="21"/>
                <w:highlight w:val="none"/>
              </w:rPr>
            </w:pPr>
          </w:p>
        </w:tc>
        <w:tc>
          <w:tcPr>
            <w:tcW w:w="1165" w:type="dxa"/>
            <w:vAlign w:val="center"/>
          </w:tcPr>
          <w:p w14:paraId="5A657BE6">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14:paraId="101429CD">
            <w:pPr>
              <w:spacing w:line="288" w:lineRule="auto"/>
              <w:jc w:val="center"/>
              <w:rPr>
                <w:rFonts w:hint="eastAsia" w:ascii="宋体" w:hAnsi="宋体" w:eastAsia="宋体" w:cs="宋体"/>
                <w:color w:val="auto"/>
                <w:szCs w:val="21"/>
                <w:highlight w:val="none"/>
              </w:rPr>
            </w:pPr>
          </w:p>
        </w:tc>
      </w:tr>
      <w:tr w14:paraId="219A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25852D58">
            <w:pPr>
              <w:spacing w:line="288" w:lineRule="auto"/>
              <w:jc w:val="center"/>
              <w:rPr>
                <w:rFonts w:hint="eastAsia" w:ascii="宋体" w:hAnsi="宋体" w:eastAsia="宋体" w:cs="宋体"/>
                <w:color w:val="auto"/>
                <w:szCs w:val="21"/>
                <w:highlight w:val="none"/>
              </w:rPr>
            </w:pPr>
          </w:p>
        </w:tc>
        <w:tc>
          <w:tcPr>
            <w:tcW w:w="702" w:type="dxa"/>
            <w:vAlign w:val="center"/>
          </w:tcPr>
          <w:p w14:paraId="5E512220">
            <w:pPr>
              <w:spacing w:line="288" w:lineRule="auto"/>
              <w:jc w:val="center"/>
              <w:rPr>
                <w:rFonts w:hint="eastAsia" w:ascii="宋体" w:hAnsi="宋体" w:eastAsia="宋体" w:cs="宋体"/>
                <w:color w:val="auto"/>
                <w:szCs w:val="21"/>
                <w:highlight w:val="none"/>
              </w:rPr>
            </w:pPr>
          </w:p>
        </w:tc>
        <w:tc>
          <w:tcPr>
            <w:tcW w:w="1861" w:type="dxa"/>
            <w:vAlign w:val="center"/>
          </w:tcPr>
          <w:p w14:paraId="67688F08">
            <w:pPr>
              <w:spacing w:line="288" w:lineRule="auto"/>
              <w:jc w:val="center"/>
              <w:rPr>
                <w:rFonts w:hint="eastAsia" w:ascii="宋体" w:hAnsi="宋体" w:eastAsia="宋体" w:cs="宋体"/>
                <w:color w:val="auto"/>
                <w:szCs w:val="21"/>
                <w:highlight w:val="none"/>
              </w:rPr>
            </w:pPr>
          </w:p>
        </w:tc>
        <w:tc>
          <w:tcPr>
            <w:tcW w:w="702" w:type="dxa"/>
            <w:vAlign w:val="center"/>
          </w:tcPr>
          <w:p w14:paraId="1F885E87">
            <w:pPr>
              <w:spacing w:line="288" w:lineRule="auto"/>
              <w:jc w:val="center"/>
              <w:rPr>
                <w:rFonts w:hint="eastAsia" w:ascii="宋体" w:hAnsi="宋体" w:eastAsia="宋体" w:cs="宋体"/>
                <w:color w:val="auto"/>
                <w:szCs w:val="21"/>
                <w:highlight w:val="none"/>
              </w:rPr>
            </w:pPr>
          </w:p>
        </w:tc>
        <w:tc>
          <w:tcPr>
            <w:tcW w:w="702" w:type="dxa"/>
            <w:vAlign w:val="center"/>
          </w:tcPr>
          <w:p w14:paraId="73B7B6A2">
            <w:pPr>
              <w:spacing w:line="288" w:lineRule="auto"/>
              <w:jc w:val="center"/>
              <w:rPr>
                <w:rFonts w:hint="eastAsia" w:ascii="宋体" w:hAnsi="宋体" w:eastAsia="宋体" w:cs="宋体"/>
                <w:color w:val="auto"/>
                <w:szCs w:val="21"/>
                <w:highlight w:val="none"/>
              </w:rPr>
            </w:pPr>
          </w:p>
        </w:tc>
        <w:tc>
          <w:tcPr>
            <w:tcW w:w="1164" w:type="dxa"/>
            <w:vAlign w:val="center"/>
          </w:tcPr>
          <w:p w14:paraId="0FD95344">
            <w:pPr>
              <w:spacing w:line="288" w:lineRule="auto"/>
              <w:jc w:val="center"/>
              <w:rPr>
                <w:rFonts w:hint="eastAsia" w:ascii="宋体" w:hAnsi="宋体" w:eastAsia="宋体" w:cs="宋体"/>
                <w:color w:val="auto"/>
                <w:szCs w:val="21"/>
                <w:highlight w:val="none"/>
              </w:rPr>
            </w:pPr>
          </w:p>
        </w:tc>
        <w:tc>
          <w:tcPr>
            <w:tcW w:w="818" w:type="dxa"/>
            <w:vAlign w:val="center"/>
          </w:tcPr>
          <w:p w14:paraId="1D7F22BA">
            <w:pPr>
              <w:spacing w:line="288" w:lineRule="auto"/>
              <w:jc w:val="center"/>
              <w:rPr>
                <w:rFonts w:hint="eastAsia" w:ascii="宋体" w:hAnsi="宋体" w:eastAsia="宋体" w:cs="宋体"/>
                <w:color w:val="auto"/>
                <w:szCs w:val="21"/>
                <w:highlight w:val="none"/>
              </w:rPr>
            </w:pPr>
          </w:p>
        </w:tc>
        <w:tc>
          <w:tcPr>
            <w:tcW w:w="1165" w:type="dxa"/>
            <w:vAlign w:val="center"/>
          </w:tcPr>
          <w:p w14:paraId="0298DCFE">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14:paraId="60862182">
            <w:pPr>
              <w:spacing w:line="288" w:lineRule="auto"/>
              <w:jc w:val="center"/>
              <w:rPr>
                <w:rFonts w:hint="eastAsia" w:ascii="宋体" w:hAnsi="宋体" w:eastAsia="宋体" w:cs="宋体"/>
                <w:color w:val="auto"/>
                <w:szCs w:val="21"/>
                <w:highlight w:val="none"/>
              </w:rPr>
            </w:pPr>
          </w:p>
        </w:tc>
      </w:tr>
      <w:tr w14:paraId="0D289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30CE99A7">
            <w:pPr>
              <w:spacing w:line="288" w:lineRule="auto"/>
              <w:jc w:val="center"/>
              <w:rPr>
                <w:rFonts w:hint="eastAsia" w:ascii="宋体" w:hAnsi="宋体" w:eastAsia="宋体" w:cs="宋体"/>
                <w:color w:val="auto"/>
                <w:szCs w:val="21"/>
                <w:highlight w:val="none"/>
              </w:rPr>
            </w:pPr>
          </w:p>
        </w:tc>
        <w:tc>
          <w:tcPr>
            <w:tcW w:w="702" w:type="dxa"/>
            <w:vAlign w:val="center"/>
          </w:tcPr>
          <w:p w14:paraId="6EFB7A18">
            <w:pPr>
              <w:spacing w:line="288" w:lineRule="auto"/>
              <w:jc w:val="center"/>
              <w:rPr>
                <w:rFonts w:hint="eastAsia" w:ascii="宋体" w:hAnsi="宋体" w:eastAsia="宋体" w:cs="宋体"/>
                <w:color w:val="auto"/>
                <w:szCs w:val="21"/>
                <w:highlight w:val="none"/>
              </w:rPr>
            </w:pPr>
          </w:p>
        </w:tc>
        <w:tc>
          <w:tcPr>
            <w:tcW w:w="1861" w:type="dxa"/>
            <w:vAlign w:val="center"/>
          </w:tcPr>
          <w:p w14:paraId="1C7E3366">
            <w:pPr>
              <w:spacing w:line="288" w:lineRule="auto"/>
              <w:jc w:val="center"/>
              <w:rPr>
                <w:rFonts w:hint="eastAsia" w:ascii="宋体" w:hAnsi="宋体" w:eastAsia="宋体" w:cs="宋体"/>
                <w:color w:val="auto"/>
                <w:szCs w:val="21"/>
                <w:highlight w:val="none"/>
              </w:rPr>
            </w:pPr>
          </w:p>
        </w:tc>
        <w:tc>
          <w:tcPr>
            <w:tcW w:w="702" w:type="dxa"/>
            <w:vAlign w:val="center"/>
          </w:tcPr>
          <w:p w14:paraId="5609A55A">
            <w:pPr>
              <w:spacing w:line="288" w:lineRule="auto"/>
              <w:jc w:val="center"/>
              <w:rPr>
                <w:rFonts w:hint="eastAsia" w:ascii="宋体" w:hAnsi="宋体" w:eastAsia="宋体" w:cs="宋体"/>
                <w:color w:val="auto"/>
                <w:szCs w:val="21"/>
                <w:highlight w:val="none"/>
              </w:rPr>
            </w:pPr>
          </w:p>
        </w:tc>
        <w:tc>
          <w:tcPr>
            <w:tcW w:w="702" w:type="dxa"/>
            <w:vAlign w:val="center"/>
          </w:tcPr>
          <w:p w14:paraId="04CE0528">
            <w:pPr>
              <w:spacing w:line="288" w:lineRule="auto"/>
              <w:jc w:val="center"/>
              <w:rPr>
                <w:rFonts w:hint="eastAsia" w:ascii="宋体" w:hAnsi="宋体" w:eastAsia="宋体" w:cs="宋体"/>
                <w:color w:val="auto"/>
                <w:szCs w:val="21"/>
                <w:highlight w:val="none"/>
              </w:rPr>
            </w:pPr>
          </w:p>
        </w:tc>
        <w:tc>
          <w:tcPr>
            <w:tcW w:w="1164" w:type="dxa"/>
            <w:vAlign w:val="center"/>
          </w:tcPr>
          <w:p w14:paraId="55F81FE6">
            <w:pPr>
              <w:spacing w:line="288" w:lineRule="auto"/>
              <w:jc w:val="center"/>
              <w:rPr>
                <w:rFonts w:hint="eastAsia" w:ascii="宋体" w:hAnsi="宋体" w:eastAsia="宋体" w:cs="宋体"/>
                <w:color w:val="auto"/>
                <w:szCs w:val="21"/>
                <w:highlight w:val="none"/>
              </w:rPr>
            </w:pPr>
          </w:p>
        </w:tc>
        <w:tc>
          <w:tcPr>
            <w:tcW w:w="818" w:type="dxa"/>
            <w:vAlign w:val="center"/>
          </w:tcPr>
          <w:p w14:paraId="7A802B2B">
            <w:pPr>
              <w:spacing w:line="288" w:lineRule="auto"/>
              <w:jc w:val="center"/>
              <w:rPr>
                <w:rFonts w:hint="eastAsia" w:ascii="宋体" w:hAnsi="宋体" w:eastAsia="宋体" w:cs="宋体"/>
                <w:color w:val="auto"/>
                <w:szCs w:val="21"/>
                <w:highlight w:val="none"/>
              </w:rPr>
            </w:pPr>
          </w:p>
        </w:tc>
        <w:tc>
          <w:tcPr>
            <w:tcW w:w="1165" w:type="dxa"/>
            <w:vAlign w:val="center"/>
          </w:tcPr>
          <w:p w14:paraId="2D5C44B9">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14:paraId="62EF1A8C">
            <w:pPr>
              <w:spacing w:line="288" w:lineRule="auto"/>
              <w:jc w:val="center"/>
              <w:rPr>
                <w:rFonts w:hint="eastAsia" w:ascii="宋体" w:hAnsi="宋体" w:eastAsia="宋体" w:cs="宋体"/>
                <w:color w:val="auto"/>
                <w:szCs w:val="21"/>
                <w:highlight w:val="none"/>
              </w:rPr>
            </w:pPr>
          </w:p>
        </w:tc>
      </w:tr>
      <w:tr w14:paraId="2C8B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157C11F9">
            <w:pPr>
              <w:spacing w:line="288" w:lineRule="auto"/>
              <w:jc w:val="center"/>
              <w:rPr>
                <w:rFonts w:hint="eastAsia" w:ascii="宋体" w:hAnsi="宋体" w:eastAsia="宋体" w:cs="宋体"/>
                <w:color w:val="auto"/>
                <w:szCs w:val="21"/>
                <w:highlight w:val="none"/>
              </w:rPr>
            </w:pPr>
          </w:p>
        </w:tc>
        <w:tc>
          <w:tcPr>
            <w:tcW w:w="702" w:type="dxa"/>
            <w:vAlign w:val="center"/>
          </w:tcPr>
          <w:p w14:paraId="22FB0101">
            <w:pPr>
              <w:spacing w:line="288" w:lineRule="auto"/>
              <w:jc w:val="center"/>
              <w:rPr>
                <w:rFonts w:hint="eastAsia" w:ascii="宋体" w:hAnsi="宋体" w:eastAsia="宋体" w:cs="宋体"/>
                <w:color w:val="auto"/>
                <w:szCs w:val="21"/>
                <w:highlight w:val="none"/>
              </w:rPr>
            </w:pPr>
          </w:p>
        </w:tc>
        <w:tc>
          <w:tcPr>
            <w:tcW w:w="1861" w:type="dxa"/>
            <w:vAlign w:val="center"/>
          </w:tcPr>
          <w:p w14:paraId="1E1FFD0E">
            <w:pPr>
              <w:spacing w:line="288" w:lineRule="auto"/>
              <w:jc w:val="center"/>
              <w:rPr>
                <w:rFonts w:hint="eastAsia" w:ascii="宋体" w:hAnsi="宋体" w:eastAsia="宋体" w:cs="宋体"/>
                <w:color w:val="auto"/>
                <w:szCs w:val="21"/>
                <w:highlight w:val="none"/>
              </w:rPr>
            </w:pPr>
          </w:p>
        </w:tc>
        <w:tc>
          <w:tcPr>
            <w:tcW w:w="702" w:type="dxa"/>
            <w:vAlign w:val="center"/>
          </w:tcPr>
          <w:p w14:paraId="70C32E6C">
            <w:pPr>
              <w:spacing w:line="288" w:lineRule="auto"/>
              <w:jc w:val="center"/>
              <w:rPr>
                <w:rFonts w:hint="eastAsia" w:ascii="宋体" w:hAnsi="宋体" w:eastAsia="宋体" w:cs="宋体"/>
                <w:color w:val="auto"/>
                <w:szCs w:val="21"/>
                <w:highlight w:val="none"/>
              </w:rPr>
            </w:pPr>
          </w:p>
        </w:tc>
        <w:tc>
          <w:tcPr>
            <w:tcW w:w="702" w:type="dxa"/>
            <w:vAlign w:val="center"/>
          </w:tcPr>
          <w:p w14:paraId="1AA0855D">
            <w:pPr>
              <w:spacing w:line="288" w:lineRule="auto"/>
              <w:jc w:val="center"/>
              <w:rPr>
                <w:rFonts w:hint="eastAsia" w:ascii="宋体" w:hAnsi="宋体" w:eastAsia="宋体" w:cs="宋体"/>
                <w:color w:val="auto"/>
                <w:szCs w:val="21"/>
                <w:highlight w:val="none"/>
              </w:rPr>
            </w:pPr>
          </w:p>
        </w:tc>
        <w:tc>
          <w:tcPr>
            <w:tcW w:w="1164" w:type="dxa"/>
            <w:vAlign w:val="center"/>
          </w:tcPr>
          <w:p w14:paraId="7F6FF8D2">
            <w:pPr>
              <w:spacing w:line="288" w:lineRule="auto"/>
              <w:jc w:val="center"/>
              <w:rPr>
                <w:rFonts w:hint="eastAsia" w:ascii="宋体" w:hAnsi="宋体" w:eastAsia="宋体" w:cs="宋体"/>
                <w:color w:val="auto"/>
                <w:szCs w:val="21"/>
                <w:highlight w:val="none"/>
              </w:rPr>
            </w:pPr>
          </w:p>
        </w:tc>
        <w:tc>
          <w:tcPr>
            <w:tcW w:w="818" w:type="dxa"/>
            <w:vAlign w:val="center"/>
          </w:tcPr>
          <w:p w14:paraId="4DEAC585">
            <w:pPr>
              <w:spacing w:line="288" w:lineRule="auto"/>
              <w:jc w:val="center"/>
              <w:rPr>
                <w:rFonts w:hint="eastAsia" w:ascii="宋体" w:hAnsi="宋体" w:eastAsia="宋体" w:cs="宋体"/>
                <w:color w:val="auto"/>
                <w:szCs w:val="21"/>
                <w:highlight w:val="none"/>
              </w:rPr>
            </w:pPr>
          </w:p>
        </w:tc>
        <w:tc>
          <w:tcPr>
            <w:tcW w:w="1165" w:type="dxa"/>
            <w:vAlign w:val="center"/>
          </w:tcPr>
          <w:p w14:paraId="2DCE6519">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14:paraId="4C4CC9CC">
            <w:pPr>
              <w:spacing w:line="288" w:lineRule="auto"/>
              <w:jc w:val="center"/>
              <w:rPr>
                <w:rFonts w:hint="eastAsia" w:ascii="宋体" w:hAnsi="宋体" w:eastAsia="宋体" w:cs="宋体"/>
                <w:color w:val="auto"/>
                <w:szCs w:val="21"/>
                <w:highlight w:val="none"/>
              </w:rPr>
            </w:pPr>
          </w:p>
        </w:tc>
      </w:tr>
    </w:tbl>
    <w:p w14:paraId="1053EA6F">
      <w:pPr>
        <w:ind w:firstLine="178" w:firstLineChars="85"/>
        <w:rPr>
          <w:rFonts w:hint="eastAsia" w:ascii="宋体" w:hAnsi="宋体" w:eastAsia="宋体" w:cs="宋体"/>
          <w:color w:val="auto"/>
          <w:szCs w:val="21"/>
          <w:highlight w:val="none"/>
        </w:rPr>
      </w:pPr>
    </w:p>
    <w:p w14:paraId="23C06159">
      <w:pPr>
        <w:ind w:firstLine="178" w:firstLineChars="85"/>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附有关证明文件（复印件加盖公章）</w:t>
      </w:r>
    </w:p>
    <w:p w14:paraId="6B3710F8">
      <w:pPr>
        <w:ind w:firstLine="178" w:firstLineChars="85"/>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投标人代表签字：</w:t>
      </w:r>
    </w:p>
    <w:p w14:paraId="34D85084">
      <w:pPr>
        <w:ind w:firstLine="178" w:firstLineChars="85"/>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投标人盖章：</w:t>
      </w:r>
    </w:p>
    <w:p w14:paraId="175E243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2BB36E33">
      <w:pPr>
        <w:pStyle w:val="51"/>
        <w:numPr>
          <w:ilvl w:val="0"/>
          <w:numId w:val="19"/>
        </w:numPr>
        <w:ind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投标人可按项目的实际需要提供本表格。</w:t>
      </w:r>
    </w:p>
    <w:p w14:paraId="759815E9">
      <w:pPr>
        <w:pStyle w:val="51"/>
        <w:numPr>
          <w:ilvl w:val="0"/>
          <w:numId w:val="19"/>
        </w:numPr>
        <w:ind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该表格为参考格式，投标人可按实际情况自行制订。</w:t>
      </w:r>
    </w:p>
    <w:p w14:paraId="7394AE3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3、投标人若未提供或未填写完整则视为完全响应采购文件的人员要求，因此对投标人投标产生负面影响的，投标人自行承担后果。</w:t>
      </w:r>
    </w:p>
    <w:p w14:paraId="34808A72">
      <w:pPr>
        <w:pStyle w:val="51"/>
        <w:numPr>
          <w:ilvl w:val="0"/>
          <w:numId w:val="19"/>
        </w:numPr>
        <w:ind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5D811709">
      <w:pPr>
        <w:pStyle w:val="5"/>
        <w:widowControl w:val="0"/>
        <w:overflowPunct w:val="0"/>
        <w:spacing w:line="240" w:lineRule="auto"/>
        <w:rPr>
          <w:rFonts w:hint="eastAsia" w:ascii="宋体" w:hAnsi="宋体" w:eastAsia="宋体" w:cs="宋体"/>
          <w:color w:val="auto"/>
          <w:highlight w:val="none"/>
        </w:rPr>
      </w:pPr>
      <w:bookmarkStart w:id="189" w:name="_Toc15162"/>
      <w:r>
        <w:rPr>
          <w:rFonts w:hint="eastAsia" w:ascii="宋体" w:hAnsi="宋体" w:eastAsia="宋体" w:cs="宋体"/>
          <w:color w:val="auto"/>
          <w:sz w:val="21"/>
          <w:szCs w:val="21"/>
          <w:highlight w:val="none"/>
        </w:rPr>
        <w:t>附件1</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.投标保证金汇入情况说明格式</w:t>
      </w:r>
      <w:bookmarkEnd w:id="189"/>
    </w:p>
    <w:p w14:paraId="47007C7D">
      <w:pPr>
        <w:rPr>
          <w:rFonts w:hint="eastAsia" w:ascii="宋体" w:hAnsi="宋体" w:eastAsia="宋体" w:cs="宋体"/>
          <w:color w:val="auto"/>
          <w:highlight w:val="none"/>
        </w:rPr>
      </w:pPr>
    </w:p>
    <w:p w14:paraId="394D824F">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投标保证金汇入情况说明</w:t>
      </w:r>
    </w:p>
    <w:p w14:paraId="616C8E7E">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lang w:eastAsia="zh-CN"/>
        </w:rPr>
        <w:t>广东志合项目管理有限公司</w:t>
      </w:r>
      <w:r>
        <w:rPr>
          <w:rFonts w:hint="eastAsia" w:ascii="宋体" w:hAnsi="宋体" w:eastAsia="宋体" w:cs="宋体"/>
          <w:color w:val="auto"/>
          <w:szCs w:val="21"/>
          <w:highlight w:val="none"/>
        </w:rPr>
        <w:t>：</w:t>
      </w:r>
    </w:p>
    <w:p w14:paraId="43504C47">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项目（采购项目编号：）的采购文件要求，于年月日前以</w:t>
      </w:r>
      <w:r>
        <w:rPr>
          <w:rFonts w:hint="eastAsia" w:ascii="宋体" w:hAnsi="宋体" w:eastAsia="宋体" w:cs="宋体"/>
          <w:color w:val="auto"/>
          <w:szCs w:val="21"/>
          <w:highlight w:val="none"/>
          <w:u w:val="single"/>
        </w:rPr>
        <w:t xml:space="preserve">           （付款形式）</w:t>
      </w:r>
      <w:r>
        <w:rPr>
          <w:rFonts w:hint="eastAsia" w:ascii="宋体" w:hAnsi="宋体" w:eastAsia="宋体" w:cs="宋体"/>
          <w:color w:val="auto"/>
          <w:szCs w:val="21"/>
          <w:highlight w:val="none"/>
        </w:rPr>
        <w:t>方式汇入指定帐户（帐户名称：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，帐号：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FCEF592">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本单位投标保证金的汇款情况：（详见附件－投标保证金进帐单）</w:t>
      </w:r>
    </w:p>
    <w:p w14:paraId="4AF708B0">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720CA61">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汇款金额：（大写）人民币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元（小写：￥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14:paraId="48C8FA17">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汇款帐户名称：</w:t>
      </w:r>
      <w:r>
        <w:rPr>
          <w:rFonts w:hint="eastAsia" w:ascii="宋体" w:hAnsi="宋体" w:eastAsia="宋体" w:cs="宋体"/>
          <w:color w:val="auto"/>
          <w:szCs w:val="21"/>
          <w:highlight w:val="none"/>
          <w:u w:val="single"/>
        </w:rPr>
        <w:t xml:space="preserve">  （必须是投标时使用的帐户名）   </w:t>
      </w:r>
    </w:p>
    <w:p w14:paraId="2E8D16AD">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帐        号：</w:t>
      </w:r>
      <w:r>
        <w:rPr>
          <w:rFonts w:hint="eastAsia" w:ascii="宋体" w:hAnsi="宋体" w:eastAsia="宋体" w:cs="宋体"/>
          <w:color w:val="auto"/>
          <w:szCs w:val="21"/>
          <w:highlight w:val="none"/>
          <w:u w:val="single"/>
        </w:rPr>
        <w:t xml:space="preserve">  （必须是投标时使用的帐号）        </w:t>
      </w:r>
    </w:p>
    <w:p w14:paraId="680D62C8">
      <w:pPr>
        <w:spacing w:line="48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开 户  银 行：</w:t>
      </w:r>
      <w:r>
        <w:rPr>
          <w:rFonts w:hint="eastAsia" w:ascii="宋体" w:hAnsi="宋体" w:eastAsia="宋体" w:cs="宋体"/>
          <w:color w:val="auto"/>
          <w:szCs w:val="21"/>
          <w:highlight w:val="none"/>
          <w:u w:val="single"/>
        </w:rPr>
        <w:t xml:space="preserve">  （  XX 银行 XX 分行 XX 支行   ）</w:t>
      </w:r>
    </w:p>
    <w:p w14:paraId="0D71D037">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14:paraId="2510D1A1">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投标保证金退回时，请按上述资料退回。</w:t>
      </w:r>
    </w:p>
    <w:p w14:paraId="77E9193E">
      <w:pPr>
        <w:spacing w:line="480" w:lineRule="auto"/>
        <w:ind w:right="844" w:rightChars="402"/>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（单位公章）</w:t>
      </w:r>
    </w:p>
    <w:p w14:paraId="38A434A3">
      <w:pPr>
        <w:spacing w:line="480" w:lineRule="auto"/>
        <w:ind w:right="628" w:rightChars="299"/>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p w14:paraId="07500B06">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w:t>
      </w:r>
    </w:p>
    <w:p w14:paraId="4DDD2122">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p w14:paraId="7D572CB2">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p w14:paraId="7774D1B6">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单位电话： 联系人手机：</w:t>
      </w:r>
    </w:p>
    <w:p w14:paraId="2D54E10C">
      <w:pPr>
        <w:rPr>
          <w:rFonts w:hint="eastAsia" w:ascii="宋体" w:hAnsi="宋体" w:eastAsia="宋体" w:cs="宋体"/>
          <w:color w:val="auto"/>
          <w:szCs w:val="21"/>
          <w:highlight w:val="none"/>
        </w:rPr>
      </w:pPr>
    </w:p>
    <w:p w14:paraId="6AEA632F">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71FAC3E1">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附：我方投标保证金汇款凭证</w:t>
      </w:r>
    </w:p>
    <w:tbl>
      <w:tblPr>
        <w:tblStyle w:val="36"/>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14:paraId="71948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vAlign w:val="center"/>
          </w:tcPr>
          <w:p w14:paraId="67FB7957">
            <w:pPr>
              <w:tabs>
                <w:tab w:val="left" w:pos="3885"/>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（粘贴汇款单或转账凭证复印件，并在骑缝上加盖投标人公章，或是直接把转账凭证复印到此张纸上）</w:t>
            </w:r>
          </w:p>
        </w:tc>
      </w:tr>
    </w:tbl>
    <w:p w14:paraId="7E19051C">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注：此表既要装订在投标文件中，又要按投标人须知的规定与开标一览表、投标保证金汇款底单复印件及授权委托书一同密封装入唱标信封，唱标信封单独提交。</w:t>
      </w:r>
    </w:p>
    <w:p w14:paraId="389E3C17">
      <w:pPr>
        <w:rPr>
          <w:rFonts w:hint="eastAsia" w:ascii="宋体" w:hAnsi="宋体" w:eastAsia="宋体" w:cs="宋体"/>
          <w:color w:val="auto"/>
          <w:szCs w:val="21"/>
          <w:highlight w:val="none"/>
        </w:rPr>
      </w:pPr>
    </w:p>
    <w:p w14:paraId="5B8DA09A">
      <w:pPr>
        <w:rPr>
          <w:rFonts w:hint="eastAsia" w:ascii="宋体" w:hAnsi="宋体" w:eastAsia="宋体" w:cs="宋体"/>
          <w:color w:val="auto"/>
          <w:szCs w:val="21"/>
          <w:highlight w:val="none"/>
        </w:rPr>
      </w:pPr>
    </w:p>
    <w:p w14:paraId="1374274D">
      <w:pPr>
        <w:rPr>
          <w:rFonts w:hint="eastAsia" w:ascii="宋体" w:hAnsi="宋体" w:eastAsia="宋体" w:cs="宋体"/>
          <w:color w:val="auto"/>
          <w:szCs w:val="21"/>
          <w:highlight w:val="none"/>
        </w:rPr>
      </w:pPr>
    </w:p>
    <w:p w14:paraId="502128E5">
      <w:pPr>
        <w:rPr>
          <w:rFonts w:hint="eastAsia" w:ascii="宋体" w:hAnsi="宋体" w:eastAsia="宋体" w:cs="宋体"/>
          <w:color w:val="auto"/>
          <w:szCs w:val="21"/>
          <w:highlight w:val="none"/>
        </w:rPr>
      </w:pPr>
    </w:p>
    <w:p w14:paraId="46EF7EB6">
      <w:pPr>
        <w:rPr>
          <w:rFonts w:hint="eastAsia" w:ascii="宋体" w:hAnsi="宋体" w:eastAsia="宋体" w:cs="宋体"/>
          <w:color w:val="auto"/>
          <w:szCs w:val="21"/>
          <w:highlight w:val="none"/>
        </w:rPr>
      </w:pPr>
    </w:p>
    <w:p w14:paraId="53D5E80F">
      <w:pPr>
        <w:rPr>
          <w:rFonts w:hint="eastAsia" w:ascii="宋体" w:hAnsi="宋体" w:eastAsia="宋体" w:cs="宋体"/>
          <w:color w:val="auto"/>
          <w:szCs w:val="21"/>
          <w:highlight w:val="none"/>
        </w:rPr>
      </w:pPr>
    </w:p>
    <w:p w14:paraId="1F6E931B">
      <w:pPr>
        <w:rPr>
          <w:rFonts w:hint="eastAsia" w:ascii="宋体" w:hAnsi="宋体" w:eastAsia="宋体" w:cs="宋体"/>
          <w:color w:val="auto"/>
          <w:szCs w:val="21"/>
          <w:highlight w:val="none"/>
        </w:rPr>
      </w:pPr>
    </w:p>
    <w:p w14:paraId="4D50040E">
      <w:pPr>
        <w:rPr>
          <w:rFonts w:hint="eastAsia" w:ascii="宋体" w:hAnsi="宋体" w:eastAsia="宋体" w:cs="宋体"/>
          <w:color w:val="auto"/>
          <w:szCs w:val="21"/>
          <w:highlight w:val="none"/>
        </w:rPr>
      </w:pPr>
    </w:p>
    <w:p w14:paraId="68D8B76F">
      <w:pPr>
        <w:rPr>
          <w:rFonts w:hint="eastAsia" w:ascii="宋体" w:hAnsi="宋体" w:eastAsia="宋体" w:cs="宋体"/>
          <w:color w:val="auto"/>
          <w:szCs w:val="21"/>
          <w:highlight w:val="none"/>
        </w:rPr>
      </w:pPr>
    </w:p>
    <w:p w14:paraId="0B60ED1C">
      <w:pPr>
        <w:rPr>
          <w:rFonts w:hint="eastAsia" w:ascii="宋体" w:hAnsi="宋体" w:eastAsia="宋体" w:cs="宋体"/>
          <w:color w:val="auto"/>
          <w:szCs w:val="21"/>
          <w:highlight w:val="none"/>
        </w:rPr>
      </w:pPr>
    </w:p>
    <w:p w14:paraId="617AB9B5">
      <w:pPr>
        <w:rPr>
          <w:rFonts w:hint="eastAsia" w:ascii="宋体" w:hAnsi="宋体" w:eastAsia="宋体" w:cs="宋体"/>
          <w:color w:val="auto"/>
          <w:szCs w:val="21"/>
          <w:highlight w:val="none"/>
        </w:rPr>
      </w:pPr>
    </w:p>
    <w:p w14:paraId="22DB4795">
      <w:pPr>
        <w:rPr>
          <w:rFonts w:hint="eastAsia" w:ascii="宋体" w:hAnsi="宋体" w:eastAsia="宋体" w:cs="宋体"/>
          <w:color w:val="auto"/>
          <w:szCs w:val="21"/>
          <w:highlight w:val="none"/>
        </w:rPr>
      </w:pPr>
    </w:p>
    <w:p w14:paraId="098A2CBA">
      <w:pPr>
        <w:rPr>
          <w:rFonts w:hint="eastAsia" w:ascii="宋体" w:hAnsi="宋体" w:eastAsia="宋体" w:cs="宋体"/>
          <w:color w:val="auto"/>
          <w:szCs w:val="21"/>
          <w:highlight w:val="none"/>
        </w:rPr>
      </w:pPr>
    </w:p>
    <w:p w14:paraId="0266FDD3">
      <w:pPr>
        <w:rPr>
          <w:rFonts w:hint="eastAsia" w:ascii="宋体" w:hAnsi="宋体" w:eastAsia="宋体" w:cs="宋体"/>
          <w:color w:val="auto"/>
          <w:szCs w:val="21"/>
          <w:highlight w:val="none"/>
        </w:rPr>
      </w:pPr>
    </w:p>
    <w:p w14:paraId="0E5BD3EF">
      <w:pPr>
        <w:rPr>
          <w:rFonts w:hint="eastAsia" w:ascii="宋体" w:hAnsi="宋体" w:eastAsia="宋体" w:cs="宋体"/>
          <w:color w:val="auto"/>
          <w:szCs w:val="21"/>
          <w:highlight w:val="none"/>
        </w:rPr>
      </w:pPr>
    </w:p>
    <w:p w14:paraId="4049B910">
      <w:pPr>
        <w:rPr>
          <w:rFonts w:hint="eastAsia" w:ascii="宋体" w:hAnsi="宋体" w:eastAsia="宋体" w:cs="宋体"/>
          <w:color w:val="auto"/>
          <w:szCs w:val="21"/>
          <w:highlight w:val="none"/>
        </w:rPr>
      </w:pPr>
    </w:p>
    <w:p w14:paraId="69EC5A2B">
      <w:pPr>
        <w:rPr>
          <w:rFonts w:hint="eastAsia" w:ascii="宋体" w:hAnsi="宋体" w:eastAsia="宋体" w:cs="宋体"/>
          <w:color w:val="auto"/>
          <w:szCs w:val="21"/>
          <w:highlight w:val="none"/>
        </w:rPr>
      </w:pPr>
    </w:p>
    <w:p w14:paraId="43CFC209">
      <w:pPr>
        <w:rPr>
          <w:rFonts w:hint="eastAsia" w:ascii="宋体" w:hAnsi="宋体" w:eastAsia="宋体" w:cs="宋体"/>
          <w:color w:val="auto"/>
          <w:szCs w:val="21"/>
          <w:highlight w:val="none"/>
        </w:rPr>
      </w:pPr>
    </w:p>
    <w:p w14:paraId="07204140">
      <w:pPr>
        <w:rPr>
          <w:rFonts w:hint="eastAsia" w:ascii="宋体" w:hAnsi="宋体" w:eastAsia="宋体" w:cs="宋体"/>
          <w:color w:val="auto"/>
          <w:szCs w:val="21"/>
          <w:highlight w:val="none"/>
        </w:rPr>
      </w:pPr>
    </w:p>
    <w:p w14:paraId="2778C0D9">
      <w:pPr>
        <w:rPr>
          <w:rFonts w:hint="eastAsia" w:ascii="宋体" w:hAnsi="宋体" w:eastAsia="宋体" w:cs="宋体"/>
          <w:color w:val="auto"/>
          <w:szCs w:val="21"/>
          <w:highlight w:val="none"/>
        </w:rPr>
      </w:pPr>
    </w:p>
    <w:p w14:paraId="0ED1B868">
      <w:pPr>
        <w:rPr>
          <w:rFonts w:hint="eastAsia" w:ascii="宋体" w:hAnsi="宋体" w:eastAsia="宋体" w:cs="宋体"/>
          <w:color w:val="auto"/>
          <w:szCs w:val="21"/>
          <w:highlight w:val="none"/>
        </w:rPr>
      </w:pPr>
    </w:p>
    <w:p w14:paraId="40A69A89">
      <w:pPr>
        <w:pStyle w:val="5"/>
        <w:numPr>
          <w:ilvl w:val="255"/>
          <w:numId w:val="0"/>
        </w:numPr>
        <w:tabs>
          <w:tab w:val="left" w:pos="720"/>
          <w:tab w:val="left" w:pos="3840"/>
        </w:tabs>
        <w:ind w:left="283"/>
        <w:jc w:val="both"/>
        <w:rPr>
          <w:rFonts w:hint="eastAsia" w:ascii="宋体" w:hAnsi="宋体" w:eastAsia="宋体" w:cs="宋体"/>
          <w:color w:val="auto"/>
          <w:sz w:val="21"/>
          <w:szCs w:val="21"/>
          <w:highlight w:val="none"/>
        </w:rPr>
      </w:pPr>
      <w:bookmarkStart w:id="190" w:name="_Toc1562"/>
      <w:bookmarkStart w:id="191" w:name="_Toc14605"/>
      <w:bookmarkStart w:id="192" w:name="_Toc2144"/>
      <w:bookmarkStart w:id="193" w:name="_Toc4866"/>
      <w:bookmarkStart w:id="194" w:name="_Toc18296"/>
      <w:bookmarkStart w:id="195" w:name="_Toc17028"/>
      <w:bookmarkStart w:id="196" w:name="_Toc28623"/>
      <w:bookmarkStart w:id="197" w:name="_Toc25861"/>
      <w:bookmarkStart w:id="198" w:name="_Toc29855"/>
      <w:bookmarkStart w:id="199" w:name="_Toc19947"/>
      <w:bookmarkStart w:id="200" w:name="_Toc2801"/>
      <w:r>
        <w:rPr>
          <w:rFonts w:hint="eastAsia" w:ascii="宋体" w:hAnsi="宋体" w:eastAsia="宋体" w:cs="宋体"/>
          <w:color w:val="auto"/>
          <w:sz w:val="21"/>
          <w:szCs w:val="21"/>
          <w:highlight w:val="none"/>
        </w:rPr>
        <w:t>附件</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.不可撤销履约保函</w:t>
      </w:r>
      <w:bookmarkEnd w:id="190"/>
      <w:bookmarkEnd w:id="191"/>
      <w:bookmarkEnd w:id="192"/>
      <w:bookmarkEnd w:id="193"/>
      <w:bookmarkEnd w:id="194"/>
      <w:bookmarkEnd w:id="195"/>
      <w:bookmarkEnd w:id="196"/>
      <w:bookmarkEnd w:id="197"/>
      <w:bookmarkEnd w:id="198"/>
      <w:bookmarkEnd w:id="199"/>
      <w:bookmarkEnd w:id="200"/>
    </w:p>
    <w:p w14:paraId="09A38107">
      <w:pPr>
        <w:jc w:val="center"/>
        <w:rPr>
          <w:rFonts w:hint="eastAsia" w:ascii="宋体" w:hAnsi="宋体" w:eastAsia="宋体" w:cs="宋体"/>
          <w:color w:val="auto"/>
          <w:highlight w:val="none"/>
        </w:rPr>
      </w:pPr>
      <w:r>
        <w:rPr>
          <w:rFonts w:hint="eastAsia" w:ascii="宋体" w:hAnsi="宋体" w:eastAsia="宋体" w:cs="宋体"/>
          <w:color w:val="auto"/>
          <w:highlight w:val="none"/>
        </w:rPr>
        <w:t>银行编号：</w:t>
      </w:r>
    </w:p>
    <w:p w14:paraId="6F1BB0B2">
      <w:pPr>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（甲方）</w:t>
      </w:r>
    </w:p>
    <w:p w14:paraId="44992980">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鉴于</w:t>
      </w:r>
      <w:r>
        <w:rPr>
          <w:rFonts w:hint="eastAsia" w:ascii="宋体" w:hAnsi="宋体" w:eastAsia="宋体" w:cs="宋体"/>
          <w:color w:val="auto"/>
          <w:highlight w:val="none"/>
          <w:u w:val="single"/>
        </w:rPr>
        <w:t xml:space="preserve">         （地址：          ，下称 “乙方” ）</w:t>
      </w:r>
      <w:r>
        <w:rPr>
          <w:rFonts w:hint="eastAsia" w:ascii="宋体" w:hAnsi="宋体" w:eastAsia="宋体" w:cs="宋体"/>
          <w:color w:val="auto"/>
          <w:highlight w:val="none"/>
        </w:rPr>
        <w:t>已保证按</w:t>
      </w:r>
      <w:r>
        <w:rPr>
          <w:rFonts w:hint="eastAsia" w:ascii="宋体" w:hAnsi="宋体" w:eastAsia="宋体" w:cs="宋体"/>
          <w:color w:val="auto"/>
          <w:highlight w:val="none"/>
          <w:u w:val="single"/>
        </w:rPr>
        <w:t xml:space="preserve">        承包合同书（合同编号：    ）</w:t>
      </w:r>
      <w:r>
        <w:rPr>
          <w:rFonts w:hint="eastAsia" w:ascii="宋体" w:hAnsi="宋体" w:eastAsia="宋体" w:cs="宋体"/>
          <w:color w:val="auto"/>
          <w:highlight w:val="none"/>
        </w:rPr>
        <w:t>中规定的义务履行合同。</w:t>
      </w:r>
    </w:p>
    <w:p w14:paraId="508A025F">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根据上述合同约定，乙方应向甲方提供一份金额为合同总价的10%即</w:t>
      </w:r>
      <w:r>
        <w:rPr>
          <w:rFonts w:hint="eastAsia" w:ascii="宋体" w:hAnsi="宋体" w:eastAsia="宋体" w:cs="宋体"/>
          <w:color w:val="auto"/>
          <w:highlight w:val="none"/>
          <w:u w:val="single"/>
        </w:rPr>
        <w:t>人民币      （RMB    元）</w:t>
      </w:r>
      <w:r>
        <w:rPr>
          <w:rFonts w:hint="eastAsia" w:ascii="宋体" w:hAnsi="宋体" w:eastAsia="宋体" w:cs="宋体"/>
          <w:color w:val="auto"/>
          <w:highlight w:val="none"/>
        </w:rPr>
        <w:t>的</w:t>
      </w:r>
      <w:r>
        <w:rPr>
          <w:rFonts w:hint="eastAsia" w:ascii="宋体" w:hAnsi="宋体" w:eastAsia="宋体" w:cs="宋体"/>
          <w:bCs/>
          <w:color w:val="auto"/>
          <w:highlight w:val="none"/>
        </w:rPr>
        <w:t>不可撤销</w:t>
      </w:r>
      <w:r>
        <w:rPr>
          <w:rFonts w:hint="eastAsia" w:ascii="宋体" w:hAnsi="宋体" w:eastAsia="宋体" w:cs="宋体"/>
          <w:color w:val="auto"/>
          <w:highlight w:val="none"/>
        </w:rPr>
        <w:t>银行履约保函，作为乙方履行上述合同的担保。</w:t>
      </w:r>
    </w:p>
    <w:p w14:paraId="04FCEC08">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w:t>
      </w:r>
      <w:r>
        <w:rPr>
          <w:rFonts w:hint="eastAsia" w:ascii="宋体" w:hAnsi="宋体" w:eastAsia="宋体" w:cs="宋体"/>
          <w:color w:val="auto"/>
          <w:highlight w:val="none"/>
          <w:u w:val="single"/>
        </w:rPr>
        <w:t xml:space="preserve">            （银行名称）</w:t>
      </w:r>
      <w:r>
        <w:rPr>
          <w:rFonts w:hint="eastAsia" w:ascii="宋体" w:hAnsi="宋体" w:eastAsia="宋体" w:cs="宋体"/>
          <w:color w:val="auto"/>
          <w:highlight w:val="none"/>
        </w:rPr>
        <w:t>，受乙方的委托，不仅作为连带责任保证人而且作为主要的责任人，无条件和不可撤销地同意在甲方提出因乙方没有履行上述合同规定，而要求扣划保证金的书面要求后，7个工作日内为甲方扣划金额不超过</w:t>
      </w:r>
      <w:r>
        <w:rPr>
          <w:rFonts w:hint="eastAsia" w:ascii="宋体" w:hAnsi="宋体" w:eastAsia="宋体" w:cs="宋体"/>
          <w:color w:val="auto"/>
          <w:highlight w:val="none"/>
          <w:u w:val="single"/>
        </w:rPr>
        <w:t>人民币          （RMB       元）</w:t>
      </w:r>
      <w:r>
        <w:rPr>
          <w:rFonts w:hint="eastAsia" w:ascii="宋体" w:hAnsi="宋体" w:eastAsia="宋体" w:cs="宋体"/>
          <w:color w:val="auto"/>
          <w:highlight w:val="none"/>
        </w:rPr>
        <w:t>的保证金。</w:t>
      </w:r>
    </w:p>
    <w:p w14:paraId="197FFB09">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我方还同意，任何甲方与乙方之间可能对合同条款的修改、规范或其他合同文件的变动补充，都不能免除我方按本保函所承担的责任。因此，有关上述变动、补充和修改无须通知我方。</w:t>
      </w:r>
    </w:p>
    <w:p w14:paraId="158FF7C2">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本保函从上述合同签订之日起至项目服务期结束验收合格并完成结算后，双方签字之日起</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天内保持有效。</w:t>
      </w:r>
    </w:p>
    <w:p w14:paraId="340F4A45">
      <w:pPr>
        <w:ind w:firstLine="2824" w:firstLineChars="1345"/>
        <w:rPr>
          <w:rFonts w:hint="eastAsia" w:ascii="宋体" w:hAnsi="宋体" w:eastAsia="宋体" w:cs="宋体"/>
          <w:color w:val="auto"/>
          <w:highlight w:val="none"/>
        </w:rPr>
      </w:pPr>
    </w:p>
    <w:p w14:paraId="66E05026">
      <w:pPr>
        <w:ind w:firstLine="5040" w:firstLineChars="2400"/>
        <w:rPr>
          <w:rFonts w:hint="eastAsia" w:ascii="宋体" w:hAnsi="宋体" w:eastAsia="宋体" w:cs="宋体"/>
          <w:color w:val="auto"/>
          <w:highlight w:val="none"/>
        </w:rPr>
      </w:pPr>
      <w:r>
        <w:rPr>
          <w:rFonts w:hint="eastAsia" w:ascii="宋体" w:hAnsi="宋体" w:eastAsia="宋体" w:cs="宋体"/>
          <w:color w:val="auto"/>
          <w:highlight w:val="none"/>
        </w:rPr>
        <w:t>保证人：（盖章）</w:t>
      </w:r>
      <w:r>
        <w:rPr>
          <w:rFonts w:hint="eastAsia" w:ascii="宋体" w:hAnsi="宋体" w:eastAsia="宋体" w:cs="宋体"/>
          <w:color w:val="auto"/>
          <w:highlight w:val="none"/>
          <w:u w:val="single"/>
        </w:rPr>
        <w:t xml:space="preserve">                        </w:t>
      </w:r>
    </w:p>
    <w:p w14:paraId="020B7112">
      <w:pPr>
        <w:ind w:firstLine="5040" w:firstLineChars="2400"/>
        <w:rPr>
          <w:rFonts w:hint="eastAsia" w:ascii="宋体" w:hAnsi="宋体" w:eastAsia="宋体" w:cs="宋体"/>
          <w:color w:val="auto"/>
          <w:highlight w:val="none"/>
        </w:rPr>
      </w:pPr>
      <w:r>
        <w:rPr>
          <w:rFonts w:hint="eastAsia" w:ascii="宋体" w:hAnsi="宋体" w:eastAsia="宋体" w:cs="宋体"/>
          <w:color w:val="auto"/>
          <w:highlight w:val="none"/>
        </w:rPr>
        <w:t>负责人：（签字）</w:t>
      </w:r>
      <w:r>
        <w:rPr>
          <w:rFonts w:hint="eastAsia" w:ascii="宋体" w:hAnsi="宋体" w:eastAsia="宋体" w:cs="宋体"/>
          <w:color w:val="auto"/>
          <w:highlight w:val="none"/>
          <w:u w:val="single"/>
        </w:rPr>
        <w:t xml:space="preserve">                        </w:t>
      </w:r>
    </w:p>
    <w:p w14:paraId="73CB9476">
      <w:pPr>
        <w:ind w:firstLine="5040" w:firstLineChars="2400"/>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7043C9C2">
      <w:pPr>
        <w:ind w:firstLine="5040" w:firstLineChars="24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p>
    <w:p w14:paraId="089CC92C">
      <w:pPr>
        <w:ind w:firstLine="5040" w:firstLineChars="2400"/>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p>
    <w:p w14:paraId="75A8258F">
      <w:pPr>
        <w:pStyle w:val="15"/>
        <w:rPr>
          <w:rFonts w:hint="eastAsia" w:ascii="宋体" w:hAnsi="宋体" w:eastAsia="宋体" w:cs="宋体"/>
          <w:color w:val="auto"/>
          <w:szCs w:val="24"/>
          <w:highlight w:val="none"/>
        </w:rPr>
      </w:pPr>
      <w:r>
        <w:rPr>
          <w:rFonts w:hint="eastAsia" w:ascii="宋体" w:hAnsi="宋体" w:eastAsia="宋体" w:cs="宋体"/>
          <w:color w:val="auto"/>
          <w:szCs w:val="24"/>
          <w:highlight w:val="none"/>
        </w:rPr>
        <w:t>说明：投标人在投标时不需提交正式保函，在投标文件中盖投标人公章确认保函格式即可，乙方</w:t>
      </w:r>
      <w:r>
        <w:rPr>
          <w:rFonts w:hint="eastAsia" w:ascii="宋体" w:hAnsi="宋体" w:eastAsia="宋体" w:cs="宋体"/>
          <w:color w:val="auto"/>
          <w:highlight w:val="none"/>
        </w:rPr>
        <w:t>在签订合同时</w:t>
      </w:r>
      <w:r>
        <w:rPr>
          <w:rFonts w:hint="eastAsia" w:ascii="宋体" w:hAnsi="宋体" w:eastAsia="宋体" w:cs="宋体"/>
          <w:color w:val="auto"/>
          <w:szCs w:val="24"/>
          <w:highlight w:val="none"/>
        </w:rPr>
        <w:t>提交正式保函。</w:t>
      </w:r>
    </w:p>
    <w:p w14:paraId="2D01372A">
      <w:pPr>
        <w:rPr>
          <w:rFonts w:hint="eastAsia" w:ascii="宋体" w:hAnsi="宋体" w:eastAsia="宋体" w:cs="宋体"/>
          <w:color w:val="auto"/>
          <w:szCs w:val="21"/>
          <w:highlight w:val="none"/>
        </w:rPr>
      </w:pPr>
    </w:p>
    <w:p w14:paraId="6FC93AD8">
      <w:pPr>
        <w:rPr>
          <w:rFonts w:hint="eastAsia" w:ascii="宋体" w:hAnsi="宋体" w:eastAsia="宋体" w:cs="宋体"/>
          <w:color w:val="auto"/>
          <w:szCs w:val="21"/>
          <w:highlight w:val="none"/>
        </w:rPr>
        <w:sectPr>
          <w:pgSz w:w="11906" w:h="16838"/>
          <w:pgMar w:top="1440" w:right="1800" w:bottom="1440" w:left="1800" w:header="708" w:footer="708" w:gutter="0"/>
          <w:pgBorders>
            <w:top w:val="none" w:sz="0" w:space="0"/>
            <w:left w:val="none" w:sz="0" w:space="0"/>
            <w:bottom w:val="none" w:sz="0" w:space="0"/>
            <w:right w:val="none" w:sz="0" w:space="0"/>
          </w:pgBorders>
          <w:cols w:space="708" w:num="1"/>
          <w:titlePg/>
          <w:docGrid w:type="lines" w:linePitch="360" w:charSpace="0"/>
        </w:sectPr>
      </w:pPr>
    </w:p>
    <w:p w14:paraId="4C66B7C7">
      <w:pPr>
        <w:pStyle w:val="5"/>
        <w:numPr>
          <w:ilvl w:val="255"/>
          <w:numId w:val="0"/>
        </w:numPr>
        <w:tabs>
          <w:tab w:val="left" w:pos="720"/>
          <w:tab w:val="left" w:pos="3840"/>
        </w:tabs>
        <w:ind w:left="283"/>
        <w:jc w:val="both"/>
        <w:rPr>
          <w:rFonts w:hint="eastAsia" w:ascii="宋体" w:hAnsi="宋体" w:eastAsia="宋体" w:cs="宋体"/>
          <w:color w:val="auto"/>
          <w:sz w:val="21"/>
          <w:szCs w:val="21"/>
          <w:highlight w:val="none"/>
        </w:rPr>
      </w:pPr>
      <w:bookmarkStart w:id="201" w:name="_Toc29098"/>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.预付款保函（适用于预付款支付）</w:t>
      </w:r>
      <w:bookmarkEnd w:id="201"/>
    </w:p>
    <w:p w14:paraId="174FA320">
      <w:pPr>
        <w:pStyle w:val="15"/>
        <w:rPr>
          <w:rFonts w:hint="eastAsia" w:ascii="宋体" w:hAnsi="宋体" w:eastAsia="宋体" w:cs="宋体"/>
          <w:color w:val="auto"/>
          <w:szCs w:val="24"/>
          <w:highlight w:val="none"/>
        </w:rPr>
      </w:pPr>
    </w:p>
    <w:p w14:paraId="6B5403B9">
      <w:pPr>
        <w:jc w:val="center"/>
        <w:rPr>
          <w:rFonts w:hint="eastAsia" w:ascii="宋体" w:hAnsi="宋体" w:eastAsia="宋体" w:cs="宋体"/>
          <w:color w:val="auto"/>
          <w:sz w:val="28"/>
          <w:szCs w:val="28"/>
          <w:highlight w:val="none"/>
        </w:rPr>
      </w:pPr>
      <w:bookmarkStart w:id="202" w:name="_Toc20669"/>
      <w:bookmarkStart w:id="203" w:name="_Toc5034"/>
      <w:bookmarkStart w:id="204" w:name="_Toc31418"/>
      <w:bookmarkStart w:id="205" w:name="_Toc7374"/>
      <w:bookmarkStart w:id="206" w:name="_Toc1039"/>
      <w:bookmarkStart w:id="207" w:name="_Toc29728"/>
      <w:bookmarkStart w:id="208" w:name="_Toc29054"/>
      <w:bookmarkStart w:id="209" w:name="_Toc6877"/>
      <w:bookmarkStart w:id="210" w:name="_Toc27545"/>
      <w:bookmarkStart w:id="211" w:name="_Toc10315"/>
      <w:bookmarkStart w:id="212" w:name="_Toc25494"/>
      <w:bookmarkStart w:id="213" w:name="_Toc3295"/>
      <w:r>
        <w:rPr>
          <w:rFonts w:hint="eastAsia" w:ascii="宋体" w:hAnsi="宋体" w:eastAsia="宋体" w:cs="宋体"/>
          <w:color w:val="auto"/>
          <w:sz w:val="28"/>
          <w:szCs w:val="28"/>
          <w:highlight w:val="none"/>
        </w:rPr>
        <w:t>不可撤销预付款保函</w:t>
      </w:r>
      <w:bookmarkEnd w:id="202"/>
      <w:bookmarkEnd w:id="203"/>
      <w:bookmarkEnd w:id="204"/>
      <w:bookmarkEnd w:id="205"/>
      <w:bookmarkEnd w:id="206"/>
      <w:bookmarkEnd w:id="207"/>
      <w:bookmarkEnd w:id="208"/>
      <w:bookmarkEnd w:id="209"/>
      <w:bookmarkEnd w:id="210"/>
      <w:bookmarkEnd w:id="211"/>
      <w:bookmarkEnd w:id="212"/>
      <w:bookmarkEnd w:id="213"/>
    </w:p>
    <w:p w14:paraId="5B669777">
      <w:pPr>
        <w:ind w:firstLine="63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银行编号：</w:t>
      </w:r>
      <w:r>
        <w:rPr>
          <w:rFonts w:hint="eastAsia" w:ascii="宋体" w:hAnsi="宋体" w:eastAsia="宋体" w:cs="宋体"/>
          <w:color w:val="auto"/>
          <w:szCs w:val="21"/>
          <w:highlight w:val="none"/>
          <w:u w:val="single"/>
        </w:rPr>
        <w:t xml:space="preserve">             </w:t>
      </w:r>
    </w:p>
    <w:p w14:paraId="0CFA4655">
      <w:pPr>
        <w:ind w:firstLine="6300"/>
        <w:rPr>
          <w:rFonts w:hint="eastAsia" w:ascii="宋体" w:hAnsi="宋体" w:eastAsia="宋体" w:cs="宋体"/>
          <w:color w:val="auto"/>
          <w:szCs w:val="21"/>
          <w:highlight w:val="none"/>
        </w:rPr>
      </w:pPr>
    </w:p>
    <w:p w14:paraId="2441244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（下称“采购人”）</w:t>
      </w:r>
    </w:p>
    <w:p w14:paraId="58AA49C3">
      <w:pPr>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4"/>
          <w:highlight w:val="none"/>
          <w:u w:val="single"/>
        </w:rPr>
        <w:t>（地址：          ，下称 “中标人” ）</w:t>
      </w:r>
      <w:r>
        <w:rPr>
          <w:rFonts w:hint="eastAsia" w:ascii="宋体" w:hAnsi="宋体" w:eastAsia="宋体" w:cs="宋体"/>
          <w:color w:val="auto"/>
          <w:szCs w:val="21"/>
          <w:highlight w:val="none"/>
        </w:rPr>
        <w:t>，已保证按</w:t>
      </w:r>
      <w:r>
        <w:rPr>
          <w:rFonts w:hint="eastAsia" w:ascii="宋体" w:hAnsi="宋体" w:eastAsia="宋体" w:cs="宋体"/>
          <w:color w:val="auto"/>
          <w:szCs w:val="21"/>
          <w:highlight w:val="none"/>
          <w:u w:val="single"/>
        </w:rPr>
        <w:t xml:space="preserve">          承包合同书（合同编号：    ）</w:t>
      </w:r>
      <w:r>
        <w:rPr>
          <w:rFonts w:hint="eastAsia" w:ascii="宋体" w:hAnsi="宋体" w:eastAsia="宋体" w:cs="宋体"/>
          <w:color w:val="auto"/>
          <w:szCs w:val="21"/>
          <w:highlight w:val="none"/>
        </w:rPr>
        <w:t>中规定的义务履行合同。</w:t>
      </w:r>
    </w:p>
    <w:p w14:paraId="478187A6">
      <w:pPr>
        <w:ind w:firstLine="437"/>
        <w:rPr>
          <w:rFonts w:hint="eastAsia" w:ascii="宋体" w:hAnsi="宋体" w:eastAsia="宋体" w:cs="宋体"/>
          <w:color w:val="auto"/>
          <w:szCs w:val="21"/>
          <w:highlight w:val="none"/>
        </w:rPr>
      </w:pPr>
      <w:r>
        <w:rPr>
          <w:rFonts w:hint="eastAsia" w:ascii="宋体" w:hAnsi="宋体" w:eastAsia="宋体" w:cs="宋体"/>
          <w:color w:val="auto"/>
          <w:szCs w:val="24"/>
          <w:highlight w:val="none"/>
        </w:rPr>
        <w:t>根据上述合同（采购文件）规定，中标人应向采购人提供一份金额为合同总价的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即人民币</w:t>
      </w:r>
      <w:r>
        <w:rPr>
          <w:rFonts w:hint="eastAsia" w:ascii="宋体" w:hAnsi="宋体" w:eastAsia="宋体" w:cs="宋体"/>
          <w:color w:val="auto"/>
          <w:szCs w:val="21"/>
          <w:highlight w:val="none"/>
          <w:u w:val="single"/>
        </w:rPr>
        <w:t xml:space="preserve">      （RMB      元）</w:t>
      </w:r>
      <w:r>
        <w:rPr>
          <w:rFonts w:hint="eastAsia" w:ascii="宋体" w:hAnsi="宋体" w:eastAsia="宋体" w:cs="宋体"/>
          <w:color w:val="auto"/>
          <w:szCs w:val="21"/>
          <w:highlight w:val="none"/>
        </w:rPr>
        <w:t>的不可撤销银行预付款保函，以保证中标人履行合同的相关条款。</w:t>
      </w:r>
    </w:p>
    <w:p w14:paraId="2D7691AC">
      <w:pPr>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w:t>
      </w:r>
      <w:r>
        <w:rPr>
          <w:rFonts w:hint="eastAsia" w:ascii="宋体" w:hAnsi="宋体" w:eastAsia="宋体" w:cs="宋体"/>
          <w:color w:val="auto"/>
          <w:szCs w:val="21"/>
          <w:highlight w:val="none"/>
          <w:u w:val="single"/>
        </w:rPr>
        <w:t xml:space="preserve">  （银行名称）  </w:t>
      </w:r>
      <w:r>
        <w:rPr>
          <w:rFonts w:hint="eastAsia" w:ascii="宋体" w:hAnsi="宋体" w:eastAsia="宋体" w:cs="宋体"/>
          <w:color w:val="auto"/>
          <w:szCs w:val="21"/>
          <w:highlight w:val="none"/>
        </w:rPr>
        <w:t>，受中标人的委托，作为连带责任保证人，无条件和不可撤销地同意在采购人提出因中标人没有履行上述合同规定，而要求收回上述金额内任何付款的书面要求后，于7个工作日内为采购人予以支付并保证到达采购人账户，以保证在中标人没有履行或部分履行合同条款的责任时，采购人可以向中标人收回全部或部分预付款。</w:t>
      </w:r>
    </w:p>
    <w:p w14:paraId="53D4E81A">
      <w:pPr>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我方还同意，任何采购人与中标人之间可能对合同条款的修改、规范或其他合同文件的变动补充，都不能免除我方按本保函所承担的责任。因此，有关上述变动、补充和修改无须通知我方。</w:t>
      </w:r>
    </w:p>
    <w:p w14:paraId="4C105F19">
      <w:pPr>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本保函有效期从保函开立之日起至采购人向中标人抵扣完所有预付款之日止。</w:t>
      </w:r>
    </w:p>
    <w:p w14:paraId="2D7F5B05">
      <w:pPr>
        <w:rPr>
          <w:rFonts w:hint="eastAsia" w:ascii="宋体" w:hAnsi="宋体" w:eastAsia="宋体" w:cs="宋体"/>
          <w:color w:val="auto"/>
          <w:szCs w:val="21"/>
          <w:highlight w:val="none"/>
        </w:rPr>
      </w:pPr>
    </w:p>
    <w:p w14:paraId="762AF155">
      <w:pPr>
        <w:ind w:firstLine="437"/>
        <w:rPr>
          <w:rFonts w:hint="eastAsia" w:ascii="宋体" w:hAnsi="宋体" w:eastAsia="宋体" w:cs="宋体"/>
          <w:color w:val="auto"/>
          <w:szCs w:val="21"/>
          <w:highlight w:val="none"/>
        </w:rPr>
      </w:pPr>
    </w:p>
    <w:p w14:paraId="049CBF47">
      <w:pPr>
        <w:ind w:firstLine="486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保证人：（公章）</w:t>
      </w:r>
      <w:r>
        <w:rPr>
          <w:rFonts w:hint="eastAsia" w:ascii="宋体" w:hAnsi="宋体" w:eastAsia="宋体" w:cs="宋体"/>
          <w:color w:val="auto"/>
          <w:szCs w:val="21"/>
          <w:highlight w:val="none"/>
          <w:u w:val="single"/>
        </w:rPr>
        <w:t xml:space="preserve">                     </w:t>
      </w:r>
    </w:p>
    <w:p w14:paraId="2E5130AE">
      <w:pPr>
        <w:ind w:firstLine="486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负责人：（签字）</w:t>
      </w:r>
      <w:r>
        <w:rPr>
          <w:rFonts w:hint="eastAsia" w:ascii="宋体" w:hAnsi="宋体" w:eastAsia="宋体" w:cs="宋体"/>
          <w:color w:val="auto"/>
          <w:szCs w:val="21"/>
          <w:highlight w:val="none"/>
          <w:u w:val="single"/>
        </w:rPr>
        <w:t xml:space="preserve">                     </w:t>
      </w:r>
    </w:p>
    <w:p w14:paraId="1A1A4F59">
      <w:pPr>
        <w:ind w:firstLine="486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xml:space="preserve">                          </w:t>
      </w:r>
    </w:p>
    <w:p w14:paraId="0BDF0214">
      <w:pPr>
        <w:ind w:firstLine="486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14:paraId="078C7A08">
      <w:pPr>
        <w:ind w:firstLine="486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p>
    <w:p w14:paraId="0B4F9A4C">
      <w:pPr>
        <w:pStyle w:val="15"/>
        <w:rPr>
          <w:rFonts w:hint="eastAsia" w:ascii="宋体" w:hAnsi="宋体" w:eastAsia="宋体" w:cs="宋体"/>
          <w:color w:val="auto"/>
          <w:szCs w:val="21"/>
          <w:highlight w:val="none"/>
        </w:rPr>
      </w:pPr>
    </w:p>
    <w:p w14:paraId="398DEE5F">
      <w:pPr>
        <w:pStyle w:val="15"/>
        <w:rPr>
          <w:rFonts w:hint="eastAsia" w:ascii="宋体" w:hAnsi="宋体" w:eastAsia="宋体" w:cs="宋体"/>
          <w:color w:val="auto"/>
          <w:szCs w:val="21"/>
          <w:highlight w:val="none"/>
        </w:rPr>
      </w:pPr>
    </w:p>
    <w:p w14:paraId="090B8E00">
      <w:pPr>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说明：投标人在投标文件中盖投标人公章确认保函内容即可，如中标再由银行出具保函。</w:t>
      </w:r>
    </w:p>
    <w:p w14:paraId="05D7C5DA">
      <w:pPr>
        <w:rPr>
          <w:rFonts w:hint="eastAsia" w:ascii="宋体" w:hAnsi="宋体" w:eastAsia="宋体" w:cs="宋体"/>
          <w:color w:val="auto"/>
          <w:szCs w:val="21"/>
          <w:highlight w:val="none"/>
        </w:rPr>
        <w:sectPr>
          <w:pgSz w:w="11906" w:h="16838"/>
          <w:pgMar w:top="1440" w:right="1800" w:bottom="1440" w:left="1800" w:header="708" w:footer="708" w:gutter="0"/>
          <w:pgBorders>
            <w:top w:val="none" w:sz="0" w:space="0"/>
            <w:left w:val="none" w:sz="0" w:space="0"/>
            <w:bottom w:val="none" w:sz="0" w:space="0"/>
            <w:right w:val="none" w:sz="0" w:space="0"/>
          </w:pgBorders>
          <w:cols w:space="708" w:num="1"/>
          <w:titlePg/>
          <w:docGrid w:type="lines" w:linePitch="360" w:charSpace="0"/>
        </w:sectPr>
      </w:pPr>
    </w:p>
    <w:p w14:paraId="599A4E8B">
      <w:pPr>
        <w:pStyle w:val="13"/>
        <w:rPr>
          <w:rFonts w:hint="eastAsia" w:ascii="宋体" w:hAnsi="宋体" w:eastAsia="宋体" w:cs="宋体"/>
          <w:color w:val="auto"/>
          <w:highlight w:val="none"/>
        </w:rPr>
      </w:pPr>
      <w:bookmarkStart w:id="214" w:name="_Toc1968"/>
    </w:p>
    <w:p w14:paraId="3E93E73E">
      <w:pPr>
        <w:jc w:val="center"/>
        <w:outlineLvl w:val="1"/>
        <w:rPr>
          <w:rFonts w:hint="eastAsia" w:ascii="宋体" w:hAnsi="宋体" w:eastAsia="宋体" w:cs="宋体"/>
          <w:color w:val="auto"/>
          <w:sz w:val="72"/>
          <w:szCs w:val="72"/>
          <w:highlight w:val="none"/>
        </w:rPr>
      </w:pPr>
      <w:bookmarkStart w:id="215" w:name="_Toc16601"/>
      <w:r>
        <w:rPr>
          <w:rFonts w:hint="eastAsia" w:ascii="宋体" w:hAnsi="宋体" w:eastAsia="宋体" w:cs="宋体"/>
          <w:color w:val="auto"/>
          <w:sz w:val="72"/>
          <w:szCs w:val="72"/>
          <w:highlight w:val="none"/>
        </w:rPr>
        <w:t>唱标信封</w:t>
      </w:r>
      <w:bookmarkEnd w:id="215"/>
    </w:p>
    <w:p w14:paraId="52494FE4">
      <w:pPr>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（单独装订成册，单独封装）</w:t>
      </w:r>
    </w:p>
    <w:p w14:paraId="54E53999">
      <w:pPr>
        <w:rPr>
          <w:rFonts w:hint="eastAsia" w:ascii="宋体" w:hAnsi="宋体" w:eastAsia="宋体" w:cs="宋体"/>
          <w:color w:val="auto"/>
          <w:highlight w:val="none"/>
        </w:rPr>
      </w:pPr>
    </w:p>
    <w:p w14:paraId="0128EA65">
      <w:pPr>
        <w:pStyle w:val="13"/>
        <w:rPr>
          <w:rFonts w:hint="eastAsia" w:ascii="宋体" w:hAnsi="宋体" w:eastAsia="宋体" w:cs="宋体"/>
          <w:color w:val="auto"/>
          <w:highlight w:val="none"/>
        </w:rPr>
      </w:pPr>
    </w:p>
    <w:p w14:paraId="1F11F0FA">
      <w:pPr>
        <w:pStyle w:val="34"/>
        <w:ind w:firstLine="240"/>
        <w:rPr>
          <w:rFonts w:hint="eastAsia" w:ascii="宋体" w:hAnsi="宋体" w:eastAsia="宋体" w:cs="宋体"/>
          <w:color w:val="auto"/>
          <w:highlight w:val="none"/>
        </w:rPr>
      </w:pPr>
    </w:p>
    <w:p w14:paraId="073FCDF7">
      <w:pPr>
        <w:pStyle w:val="34"/>
        <w:ind w:firstLine="240"/>
        <w:rPr>
          <w:rFonts w:hint="eastAsia" w:ascii="宋体" w:hAnsi="宋体" w:eastAsia="宋体" w:cs="宋体"/>
          <w:color w:val="auto"/>
          <w:highlight w:val="none"/>
        </w:rPr>
      </w:pPr>
    </w:p>
    <w:p w14:paraId="7F53A22D">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106"/>
          <w:sz w:val="32"/>
          <w:szCs w:val="32"/>
          <w:highlight w:val="none"/>
        </w:rPr>
        <w:t>项目名</w:t>
      </w:r>
      <w:r>
        <w:rPr>
          <w:rFonts w:hint="eastAsia" w:ascii="宋体" w:hAnsi="宋体" w:eastAsia="宋体" w:cs="宋体"/>
          <w:b/>
          <w:color w:val="auto"/>
          <w:spacing w:val="2"/>
          <w:sz w:val="32"/>
          <w:szCs w:val="32"/>
          <w:highlight w:val="none"/>
        </w:rPr>
        <w:t>称</w:t>
      </w:r>
      <w:r>
        <w:rPr>
          <w:rFonts w:hint="eastAsia" w:ascii="宋体" w:hAnsi="宋体" w:eastAsia="宋体" w:cs="宋体"/>
          <w:b/>
          <w:color w:val="auto"/>
          <w:spacing w:val="-6"/>
          <w:sz w:val="32"/>
          <w:szCs w:val="32"/>
          <w:highlight w:val="none"/>
        </w:rPr>
        <w:t>：</w:t>
      </w:r>
    </w:p>
    <w:p w14:paraId="6E48D917">
      <w:pPr>
        <w:rPr>
          <w:rFonts w:hint="eastAsia" w:ascii="宋体" w:hAnsi="宋体" w:eastAsia="宋体" w:cs="宋体"/>
          <w:b/>
          <w:color w:val="auto"/>
          <w:sz w:val="32"/>
          <w:szCs w:val="32"/>
          <w:highlight w:val="none"/>
        </w:rPr>
      </w:pPr>
      <w:r>
        <w:rPr>
          <w:rFonts w:hint="eastAsia" w:ascii="宋体" w:hAnsi="宋体" w:eastAsia="宋体" w:cs="宋体"/>
          <w:b/>
          <w:color w:val="auto"/>
          <w:spacing w:val="106"/>
          <w:sz w:val="32"/>
          <w:szCs w:val="32"/>
          <w:highlight w:val="none"/>
        </w:rPr>
        <w:t>项目编</w:t>
      </w:r>
      <w:r>
        <w:rPr>
          <w:rFonts w:hint="eastAsia" w:ascii="宋体" w:hAnsi="宋体" w:eastAsia="宋体" w:cs="宋体"/>
          <w:b/>
          <w:color w:val="auto"/>
          <w:spacing w:val="2"/>
          <w:sz w:val="32"/>
          <w:szCs w:val="32"/>
          <w:highlight w:val="none"/>
        </w:rPr>
        <w:t>号</w:t>
      </w:r>
      <w:r>
        <w:rPr>
          <w:rFonts w:hint="eastAsia" w:ascii="宋体" w:hAnsi="宋体" w:eastAsia="宋体" w:cs="宋体"/>
          <w:b/>
          <w:color w:val="auto"/>
          <w:sz w:val="32"/>
          <w:szCs w:val="32"/>
          <w:highlight w:val="none"/>
        </w:rPr>
        <w:t>：</w:t>
      </w:r>
    </w:p>
    <w:p w14:paraId="4D80DEF5">
      <w:pPr>
        <w:pStyle w:val="13"/>
        <w:ind w:left="0"/>
        <w:rPr>
          <w:rFonts w:hint="eastAsia" w:ascii="宋体" w:hAnsi="宋体" w:eastAsia="宋体" w:cs="宋体"/>
          <w:b/>
          <w:color w:val="auto"/>
          <w:spacing w:val="106"/>
          <w:sz w:val="32"/>
          <w:szCs w:val="32"/>
          <w:highlight w:val="none"/>
          <w:lang w:val="en-US" w:bidi="ar-SA"/>
        </w:rPr>
      </w:pPr>
      <w:r>
        <w:rPr>
          <w:rFonts w:hint="eastAsia" w:ascii="宋体" w:hAnsi="宋体" w:eastAsia="宋体" w:cs="宋体"/>
          <w:b/>
          <w:color w:val="auto"/>
          <w:spacing w:val="106"/>
          <w:sz w:val="32"/>
          <w:szCs w:val="32"/>
          <w:highlight w:val="none"/>
          <w:lang w:val="en-US" w:bidi="ar-SA"/>
        </w:rPr>
        <w:t>包组号（如有）：</w:t>
      </w:r>
    </w:p>
    <w:p w14:paraId="122F7551">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投标人名称：</w:t>
      </w:r>
    </w:p>
    <w:p w14:paraId="12A86B70">
      <w:pPr>
        <w:rPr>
          <w:rFonts w:hint="eastAsia" w:ascii="宋体" w:hAnsi="宋体" w:eastAsia="宋体" w:cs="宋体"/>
          <w:b/>
          <w:color w:val="auto"/>
          <w:sz w:val="32"/>
          <w:szCs w:val="32"/>
          <w:highlight w:val="none"/>
        </w:rPr>
      </w:pPr>
      <w:r>
        <w:rPr>
          <w:rFonts w:hint="eastAsia" w:ascii="宋体" w:hAnsi="宋体" w:eastAsia="宋体" w:cs="宋体"/>
          <w:b/>
          <w:color w:val="auto"/>
          <w:spacing w:val="64"/>
          <w:sz w:val="32"/>
          <w:szCs w:val="32"/>
          <w:highlight w:val="none"/>
        </w:rPr>
        <w:t xml:space="preserve">日    </w:t>
      </w:r>
      <w:r>
        <w:rPr>
          <w:rFonts w:hint="eastAsia" w:ascii="宋体" w:hAnsi="宋体" w:eastAsia="宋体" w:cs="宋体"/>
          <w:b/>
          <w:color w:val="auto"/>
          <w:sz w:val="32"/>
          <w:szCs w:val="32"/>
          <w:highlight w:val="none"/>
        </w:rPr>
        <w:t>期：</w:t>
      </w:r>
    </w:p>
    <w:p w14:paraId="716A61B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2B24C001">
      <w:pPr>
        <w:rPr>
          <w:rFonts w:hint="eastAsia" w:ascii="宋体" w:hAnsi="宋体" w:eastAsia="宋体" w:cs="宋体"/>
          <w:color w:val="auto"/>
          <w:sz w:val="72"/>
          <w:szCs w:val="72"/>
          <w:highlight w:val="none"/>
        </w:rPr>
        <w:sectPr>
          <w:pgSz w:w="11906" w:h="16838"/>
          <w:pgMar w:top="1440" w:right="1800" w:bottom="1440" w:left="1800" w:header="708" w:footer="708" w:gutter="0"/>
          <w:pgBorders>
            <w:top w:val="none" w:sz="0" w:space="0"/>
            <w:left w:val="none" w:sz="0" w:space="0"/>
            <w:bottom w:val="none" w:sz="0" w:space="0"/>
            <w:right w:val="none" w:sz="0" w:space="0"/>
          </w:pgBorders>
          <w:cols w:space="708" w:num="1"/>
          <w:titlePg/>
          <w:docGrid w:type="lines" w:linePitch="360" w:charSpace="0"/>
        </w:sectPr>
      </w:pPr>
    </w:p>
    <w:bookmarkEnd w:id="214"/>
    <w:p w14:paraId="7B0DB4C9">
      <w:pPr>
        <w:pStyle w:val="5"/>
        <w:numPr>
          <w:ilvl w:val="255"/>
          <w:numId w:val="0"/>
        </w:numPr>
        <w:tabs>
          <w:tab w:val="left" w:pos="720"/>
          <w:tab w:val="left" w:pos="3840"/>
        </w:tabs>
        <w:ind w:left="283"/>
        <w:jc w:val="both"/>
        <w:rPr>
          <w:rFonts w:hint="eastAsia" w:ascii="宋体" w:hAnsi="宋体" w:eastAsia="宋体" w:cs="宋体"/>
          <w:color w:val="auto"/>
          <w:sz w:val="21"/>
          <w:szCs w:val="21"/>
          <w:highlight w:val="none"/>
        </w:rPr>
      </w:pPr>
      <w:bookmarkStart w:id="216" w:name="_Toc31340"/>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.唱标信封内装（内容务必与投标文件正本一致）</w:t>
      </w:r>
      <w:bookmarkEnd w:id="216"/>
    </w:p>
    <w:p w14:paraId="498BABB0">
      <w:pPr>
        <w:numPr>
          <w:ilvl w:val="0"/>
          <w:numId w:val="20"/>
        </w:numPr>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开标一览表原件或复印件加盖公章；</w:t>
      </w:r>
    </w:p>
    <w:p w14:paraId="7F09F299">
      <w:pPr>
        <w:numPr>
          <w:ilvl w:val="0"/>
          <w:numId w:val="20"/>
        </w:numPr>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法定代表人证明书原件或复印件加盖公章；</w:t>
      </w:r>
    </w:p>
    <w:p w14:paraId="7E436B8F">
      <w:pPr>
        <w:numPr>
          <w:ilvl w:val="0"/>
          <w:numId w:val="20"/>
        </w:numPr>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法定代表人授权委托书原件或复印件加盖公章（法定代表人投标的除外）；</w:t>
      </w:r>
    </w:p>
    <w:p w14:paraId="077F4DEE">
      <w:pPr>
        <w:numPr>
          <w:ilvl w:val="0"/>
          <w:numId w:val="20"/>
        </w:numPr>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投标保证金汇入情况说明原件（含银行汇款凭证）或复印件加盖公章；</w:t>
      </w:r>
    </w:p>
    <w:p w14:paraId="1D692D9A">
      <w:pPr>
        <w:numPr>
          <w:ilvl w:val="0"/>
          <w:numId w:val="20"/>
        </w:numPr>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投标文件电子文件（U盘，须含盖章版PDF投标文件和WORD版投标文件各一版，文字采用WORD文档，计算表格采用 EXCEL文档。）</w:t>
      </w:r>
    </w:p>
    <w:p w14:paraId="2C08C3F2">
      <w:pPr>
        <w:rPr>
          <w:rFonts w:hint="eastAsia" w:ascii="宋体" w:hAnsi="宋体" w:eastAsia="宋体" w:cs="宋体"/>
          <w:color w:val="auto"/>
          <w:szCs w:val="21"/>
          <w:highlight w:val="none"/>
        </w:rPr>
      </w:pPr>
    </w:p>
    <w:p w14:paraId="2A2C7070">
      <w:pPr>
        <w:pStyle w:val="13"/>
        <w:rPr>
          <w:rFonts w:hint="eastAsia" w:ascii="宋体" w:hAnsi="宋体" w:eastAsia="宋体" w:cs="宋体"/>
          <w:color w:val="auto"/>
          <w:highlight w:val="none"/>
        </w:rPr>
      </w:pPr>
    </w:p>
    <w:sectPr>
      <w:pgSz w:w="11906" w:h="16838"/>
      <w:pgMar w:top="1440" w:right="1800" w:bottom="1440" w:left="1800" w:header="708" w:footer="708" w:gutter="0"/>
      <w:pgBorders>
        <w:top w:val="none" w:sz="0" w:space="0"/>
        <w:left w:val="none" w:sz="0" w:space="0"/>
        <w:bottom w:val="none" w:sz="0" w:space="0"/>
        <w:right w:val="none" w:sz="0" w:space="0"/>
      </w:pgBorders>
      <w:cols w:space="708" w:num="1"/>
      <w:titlePg/>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方正书宋简体">
    <w:altName w:val="宋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时尚中黑简体">
    <w:altName w:val="黑体"/>
    <w:panose1 w:val="01010104010101010101"/>
    <w:charset w:val="86"/>
    <w:family w:val="auto"/>
    <w:pitch w:val="default"/>
    <w:sig w:usb0="00000000" w:usb1="00000000" w:usb2="00000012"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C811D">
    <w:pPr>
      <w:pStyle w:val="2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20A2C0">
                          <w:pPr>
                            <w:pStyle w:val="2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020A2C0">
                    <w:pPr>
                      <w:pStyle w:val="2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90615">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07C04">
    <w:pPr>
      <w:pStyle w:val="2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6E8152">
                          <w:pPr>
                            <w:pStyle w:val="2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26E8152">
                    <w:pPr>
                      <w:pStyle w:val="23"/>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46946">
    <w:pPr>
      <w:pStyle w:val="23"/>
      <w:jc w:val="both"/>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7FEE305">
                          <w:pPr>
                            <w:pStyle w:val="2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80</w:t>
                          </w:r>
                          <w:r>
                            <w:rPr>
                              <w:rFonts w:hint="eastAsia"/>
                              <w:lang w:eastAsia="zh-CN"/>
                            </w:rPr>
                            <w:fldChar w:fldCharType="end"/>
                          </w:r>
                          <w:r>
                            <w:rPr>
                              <w:rFonts w:hint="eastAsia"/>
                              <w:lang w:eastAsia="zh-CN"/>
                            </w:rPr>
                            <w:t xml:space="preserve"> 页</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lSiOHOcB&#10;AADIAwAADgAAAAAAAAABACAAAAAiAQAAZHJzL2Uyb0RvYy54bWxQSwUGAAAAAAYABgBZAQAAewUA&#10;AAAA&#10;">
              <v:fill on="f" focussize="0,0"/>
              <v:stroke on="f" weight="1.25pt"/>
              <v:imagedata o:title=""/>
              <o:lock v:ext="edit" aspectratio="f"/>
              <v:textbox inset="0mm,0mm,0mm,0mm" style="mso-fit-shape-to-text:t;">
                <w:txbxContent>
                  <w:p w14:paraId="67FEE305">
                    <w:pPr>
                      <w:pStyle w:val="2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80</w:t>
                    </w:r>
                    <w:r>
                      <w:rPr>
                        <w:rFonts w:hint="eastAsia"/>
                        <w:lang w:eastAsia="zh-CN"/>
                      </w:rPr>
                      <w:fldChar w:fldCharType="end"/>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41059A8">
                          <w:pPr>
                            <w:pStyle w:val="23"/>
                            <w:rPr>
                              <w:rFonts w:hint="eastAsia" w:eastAsia="宋体"/>
                              <w:lang w:eastAsia="zh-CN"/>
                            </w:rPr>
                          </w:pP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ybwY/OcB&#10;AADIAwAADgAAAAAAAAABACAAAAAiAQAAZHJzL2Uyb0RvYy54bWxQSwUGAAAAAAYABgBZAQAAewUA&#10;AAAA&#10;">
              <v:fill on="f" focussize="0,0"/>
              <v:stroke on="f" weight="1.25pt"/>
              <v:imagedata o:title=""/>
              <o:lock v:ext="edit" aspectratio="f"/>
              <v:textbox inset="0mm,0mm,0mm,0mm" style="mso-fit-shape-to-text:t;">
                <w:txbxContent>
                  <w:p w14:paraId="741059A8">
                    <w:pPr>
                      <w:pStyle w:val="23"/>
                      <w:rPr>
                        <w:rFonts w:hint="eastAsia" w:eastAsia="宋体"/>
                        <w:lang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EAA11">
    <w:pPr>
      <w:pStyle w:val="23"/>
      <w:jc w:val="both"/>
      <w:rPr>
        <w:rFonts w:hint="eastAsi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92E9E6F">
                          <w:pPr>
                            <w:pStyle w:val="2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80</w:t>
                          </w:r>
                          <w:r>
                            <w:rPr>
                              <w:rFonts w:hint="eastAsia"/>
                              <w:lang w:eastAsia="zh-CN"/>
                            </w:rPr>
                            <w:fldChar w:fldCharType="end"/>
                          </w:r>
                          <w:r>
                            <w:rPr>
                              <w:rFonts w:hint="eastAsia"/>
                              <w:lang w:eastAsia="zh-CN"/>
                            </w:rPr>
                            <w:t xml:space="preserve"> 页</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B64Bpb5gEA&#10;AMgDAAAOAAAAAAAAAAEAIAAAACIBAABkcnMvZTJvRG9jLnhtbFBLBQYAAAAABgAGAFkBAAB6BQAA&#10;AAA=&#10;">
              <v:fill on="f" focussize="0,0"/>
              <v:stroke on="f" weight="1.25pt"/>
              <v:imagedata o:title=""/>
              <o:lock v:ext="edit" aspectratio="f"/>
              <v:textbox inset="0mm,0mm,0mm,0mm" style="mso-fit-shape-to-text:t;">
                <w:txbxContent>
                  <w:p w14:paraId="392E9E6F">
                    <w:pPr>
                      <w:pStyle w:val="2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80</w:t>
                    </w:r>
                    <w:r>
                      <w:rPr>
                        <w:rFonts w:hint="eastAsia"/>
                        <w:lang w:eastAsia="zh-CN"/>
                      </w:rPr>
                      <w:fldChar w:fldCharType="end"/>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8A01EDF">
                          <w:pPr>
                            <w:pStyle w:val="23"/>
                            <w:rPr>
                              <w:rFonts w:hint="eastAsia" w:eastAsia="宋体"/>
                              <w:lang w:eastAsia="zh-CN"/>
                            </w:rPr>
                          </w:pP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JnSMu+cB&#10;AADIAwAADgAAAAAAAAABACAAAAAiAQAAZHJzL2Uyb0RvYy54bWxQSwUGAAAAAAYABgBZAQAAewUA&#10;AAAA&#10;">
              <v:fill on="f" focussize="0,0"/>
              <v:stroke on="f" weight="1.25pt"/>
              <v:imagedata o:title=""/>
              <o:lock v:ext="edit" aspectratio="f"/>
              <v:textbox inset="0mm,0mm,0mm,0mm" style="mso-fit-shape-to-text:t;">
                <w:txbxContent>
                  <w:p w14:paraId="68A01EDF">
                    <w:pPr>
                      <w:pStyle w:val="23"/>
                      <w:rPr>
                        <w:rFonts w:hint="eastAsia" w:eastAsia="宋体"/>
                        <w:lang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49B77">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8839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088390" cy="1828800"/>
                      </a:xfrm>
                      <a:prstGeom prst="rect">
                        <a:avLst/>
                      </a:prstGeom>
                      <a:noFill/>
                      <a:ln>
                        <a:noFill/>
                      </a:ln>
                    </wps:spPr>
                    <wps:txbx>
                      <w:txbxContent>
                        <w:p w14:paraId="4E18E2B4">
                          <w:pPr>
                            <w:pStyle w:val="23"/>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wps:txbx>
                    <wps:bodyPr lIns="0" tIns="0" rIns="0" bIns="0" upright="1">
                      <a:spAutoFit/>
                    </wps:bodyPr>
                  </wps:wsp>
                </a:graphicData>
              </a:graphic>
            </wp:anchor>
          </w:drawing>
        </mc:Choice>
        <mc:Fallback>
          <w:pict>
            <v:shape id="文本框 1026" o:spid="_x0000_s1026" o:spt="202" type="#_x0000_t202" style="position:absolute;left:0pt;margin-top:0pt;height:144pt;width:85.7pt;mso-position-horizontal:center;mso-position-horizontal-relative:margin;z-index:251659264;mso-width-relative:page;mso-height-relative:page;" filled="f" stroked="f" coordsize="21600,21600" o:gfxdata="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xsfqk0wAAAAUBAAAPAAAAAAAAAAEAIAAAACIAAABkcnMvZG93bnJl&#10;di54bWxQSwECFAAUAAAACACHTuJARcufEMkBAACQAwAADgAAAAAAAAABACAAAAAiAQAAZHJzL2Uy&#10;b0RvYy54bWxQSwUGAAAAAAYABgBZAQAAXQUAAAAA&#10;">
              <v:fill on="f" focussize="0,0"/>
              <v:stroke on="f"/>
              <v:imagedata o:title=""/>
              <o:lock v:ext="edit" aspectratio="f"/>
              <v:textbox inset="0mm,0mm,0mm,0mm" style="mso-fit-shape-to-text:t;">
                <w:txbxContent>
                  <w:p w14:paraId="4E18E2B4">
                    <w:pPr>
                      <w:pStyle w:val="23"/>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6ABA">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5062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150620" cy="1828800"/>
                      </a:xfrm>
                      <a:prstGeom prst="rect">
                        <a:avLst/>
                      </a:prstGeom>
                      <a:noFill/>
                      <a:ln>
                        <a:noFill/>
                      </a:ln>
                    </wps:spPr>
                    <wps:txbx>
                      <w:txbxContent>
                        <w:p w14:paraId="4CF72B7B">
                          <w:pPr>
                            <w:pStyle w:val="23"/>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wps:txbx>
                    <wps:bodyPr lIns="0" tIns="0" rIns="0" bIns="0" upright="1">
                      <a:spAutoFit/>
                    </wps:bodyPr>
                  </wps:wsp>
                </a:graphicData>
              </a:graphic>
            </wp:anchor>
          </w:drawing>
        </mc:Choice>
        <mc:Fallback>
          <w:pict>
            <v:shape id="文本框 1025" o:spid="_x0000_s1026" o:spt="202" type="#_x0000_t202" style="position:absolute;left:0pt;margin-top:0pt;height:144pt;width:90.6pt;mso-position-horizontal:center;mso-position-horizontal-relative:margin;z-index:251660288;mso-width-relative:page;mso-height-relative:page;" filled="f" stroked="f" coordsize="21600,21600" o:gfxdata="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YIEizSAAAABQEAAA8AAAAAAAAAAQAgAAAAIgAAAGRycy9kb3ducmV2&#10;LnhtbFBLAQIUABQAAAAIAIdO4kB4R5WwyQEAAJADAAAOAAAAAAAAAAEAIAAAACEBAABkcnMvZTJv&#10;RG9jLnhtbFBLBQYAAAAABgAGAFkBAABcBQAAAAA=&#10;">
              <v:fill on="f" focussize="0,0"/>
              <v:stroke on="f"/>
              <v:imagedata o:title=""/>
              <o:lock v:ext="edit" aspectratio="f"/>
              <v:textbox inset="0mm,0mm,0mm,0mm" style="mso-fit-shape-to-text:t;">
                <w:txbxContent>
                  <w:p w14:paraId="4CF72B7B">
                    <w:pPr>
                      <w:pStyle w:val="23"/>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94215">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D098D">
    <w:pPr>
      <w:pStyle w:val="24"/>
      <w:pBdr>
        <w:bottom w:val="thickThinLargeGap" w:color="auto" w:sz="4" w:space="1"/>
      </w:pBdr>
      <w:wordWrap w:val="0"/>
      <w:jc w:val="right"/>
    </w:pPr>
    <w:r>
      <w:rPr>
        <w:rFonts w:hint="eastAsia" w:ascii="时尚中黑简体" w:hAnsi="时尚中黑简体" w:eastAsia="时尚中黑简体" w:cs="时尚中黑简体"/>
        <w:bCs/>
        <w:sz w:val="21"/>
        <w:szCs w:val="21"/>
      </w:rPr>
      <w:t>广东</w:t>
    </w:r>
    <w:r>
      <w:rPr>
        <w:rFonts w:hint="eastAsia" w:ascii="时尚中黑简体" w:hAnsi="时尚中黑简体" w:eastAsia="时尚中黑简体" w:cs="时尚中黑简体"/>
        <w:bCs/>
        <w:sz w:val="21"/>
        <w:szCs w:val="21"/>
        <w:lang w:eastAsia="zh-CN"/>
      </w:rPr>
      <w:t>志合项目管理有</w:t>
    </w:r>
    <w:r>
      <w:rPr>
        <w:rFonts w:hint="eastAsia" w:ascii="时尚中黑简体" w:hAnsi="时尚中黑简体" w:eastAsia="时尚中黑简体" w:cs="时尚中黑简体"/>
        <w:bCs/>
        <w:sz w:val="21"/>
        <w:szCs w:val="21"/>
      </w:rPr>
      <w:t>限公司  编制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AF715">
    <w:pPr>
      <w:pStyle w:val="24"/>
      <w:pBdr>
        <w:bottom w:val="thickThinLargeGap" w:color="auto" w:sz="4" w:space="1"/>
      </w:pBdr>
      <w:wordWrap w:val="0"/>
      <w:jc w:val="right"/>
      <w:rPr>
        <w:bCs/>
        <w:sz w:val="21"/>
        <w:szCs w:val="21"/>
      </w:rPr>
    </w:pPr>
    <w:r>
      <w:rPr>
        <w:rFonts w:hint="eastAsia" w:ascii="时尚中黑简体" w:hAnsi="时尚中黑简体" w:eastAsia="时尚中黑简体" w:cs="时尚中黑简体"/>
        <w:bCs/>
        <w:sz w:val="21"/>
        <w:szCs w:val="21"/>
        <w:lang w:eastAsia="zh-CN"/>
      </w:rPr>
      <w:t>广东志合项目管理有限公司</w:t>
    </w:r>
    <w:r>
      <w:rPr>
        <w:rFonts w:hint="eastAsia" w:ascii="时尚中黑简体" w:hAnsi="时尚中黑简体" w:eastAsia="时尚中黑简体" w:cs="时尚中黑简体"/>
        <w:bCs/>
        <w:sz w:val="21"/>
        <w:szCs w:val="21"/>
      </w:rPr>
      <w:t xml:space="preserve">  编制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6A186">
    <w:pPr>
      <w:pStyle w:val="2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EB291">
    <w:pPr>
      <w:pStyle w:val="24"/>
      <w:pBdr>
        <w:bottom w:val="thickThinLargeGap" w:color="auto" w:sz="4" w:space="1"/>
      </w:pBdr>
      <w:wordWrap w:val="0"/>
      <w:jc w:val="right"/>
      <w:rPr>
        <w:bCs/>
        <w:sz w:val="21"/>
        <w:szCs w:val="21"/>
      </w:rPr>
    </w:pPr>
    <w:r>
      <w:rPr>
        <w:rFonts w:hint="eastAsia" w:ascii="时尚中黑简体" w:hAnsi="时尚中黑简体" w:eastAsia="时尚中黑简体" w:cs="时尚中黑简体"/>
        <w:bCs/>
        <w:sz w:val="21"/>
        <w:szCs w:val="21"/>
        <w:lang w:eastAsia="zh-CN"/>
      </w:rPr>
      <w:t>广东志合项目管理有限公司</w:t>
    </w:r>
    <w:r>
      <w:rPr>
        <w:rFonts w:hint="eastAsia" w:ascii="时尚中黑简体" w:hAnsi="时尚中黑简体" w:eastAsia="时尚中黑简体" w:cs="时尚中黑简体"/>
        <w:bCs/>
        <w:sz w:val="21"/>
        <w:szCs w:val="21"/>
      </w:rPr>
      <w:t xml:space="preserve">  编制</w:t>
    </w:r>
  </w:p>
  <w:p w14:paraId="15E12B7E">
    <w:pPr>
      <w:pStyle w:val="2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55E15"/>
    <w:multiLevelType w:val="singleLevel"/>
    <w:tmpl w:val="C9555E15"/>
    <w:lvl w:ilvl="0" w:tentative="0">
      <w:start w:val="1"/>
      <w:numFmt w:val="decimal"/>
      <w:lvlText w:val="(%1)"/>
      <w:lvlJc w:val="left"/>
      <w:pPr>
        <w:ind w:left="425" w:hanging="425"/>
      </w:pPr>
      <w:rPr>
        <w:rFonts w:hint="default"/>
      </w:rPr>
    </w:lvl>
  </w:abstractNum>
  <w:abstractNum w:abstractNumId="1">
    <w:nsid w:val="CD8E05E2"/>
    <w:multiLevelType w:val="singleLevel"/>
    <w:tmpl w:val="CD8E05E2"/>
    <w:lvl w:ilvl="0" w:tentative="0">
      <w:start w:val="2"/>
      <w:numFmt w:val="decimal"/>
      <w:suff w:val="nothing"/>
      <w:lvlText w:val="（%1）"/>
      <w:lvlJc w:val="left"/>
    </w:lvl>
  </w:abstractNum>
  <w:abstractNum w:abstractNumId="2">
    <w:nsid w:val="CFF174A5"/>
    <w:multiLevelType w:val="singleLevel"/>
    <w:tmpl w:val="CFF174A5"/>
    <w:lvl w:ilvl="0" w:tentative="0">
      <w:start w:val="1"/>
      <w:numFmt w:val="decimal"/>
      <w:suff w:val="nothing"/>
      <w:lvlText w:val="%1、"/>
      <w:lvlJc w:val="left"/>
    </w:lvl>
  </w:abstractNum>
  <w:abstractNum w:abstractNumId="3">
    <w:nsid w:val="D0047B7E"/>
    <w:multiLevelType w:val="singleLevel"/>
    <w:tmpl w:val="D0047B7E"/>
    <w:lvl w:ilvl="0" w:tentative="0">
      <w:start w:val="1"/>
      <w:numFmt w:val="decimal"/>
      <w:suff w:val="nothing"/>
      <w:lvlText w:val="%1、"/>
      <w:lvlJc w:val="left"/>
    </w:lvl>
  </w:abstractNum>
  <w:abstractNum w:abstractNumId="4">
    <w:nsid w:val="D0301254"/>
    <w:multiLevelType w:val="singleLevel"/>
    <w:tmpl w:val="D0301254"/>
    <w:lvl w:ilvl="0" w:tentative="0">
      <w:start w:val="10"/>
      <w:numFmt w:val="chineseCounting"/>
      <w:suff w:val="space"/>
      <w:lvlText w:val="第%1条"/>
      <w:lvlJc w:val="left"/>
      <w:rPr>
        <w:rFonts w:hint="eastAsia"/>
      </w:rPr>
    </w:lvl>
  </w:abstractNum>
  <w:abstractNum w:abstractNumId="5">
    <w:nsid w:val="FAC352E1"/>
    <w:multiLevelType w:val="singleLevel"/>
    <w:tmpl w:val="FAC352E1"/>
    <w:lvl w:ilvl="0" w:tentative="0">
      <w:start w:val="1"/>
      <w:numFmt w:val="chineseCounting"/>
      <w:suff w:val="nothing"/>
      <w:lvlText w:val="（%1）"/>
      <w:lvlJc w:val="left"/>
      <w:rPr>
        <w:rFonts w:hint="eastAsia"/>
      </w:rPr>
    </w:lvl>
  </w:abstractNum>
  <w:abstractNum w:abstractNumId="6">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25"/>
    <w:multiLevelType w:val="multilevel"/>
    <w:tmpl w:val="00000025"/>
    <w:lvl w:ilvl="0" w:tentative="0">
      <w:start w:val="1"/>
      <w:numFmt w:val="decimal"/>
      <w:lvlText w:val="%1"/>
      <w:lvlJc w:val="left"/>
      <w:pPr>
        <w:tabs>
          <w:tab w:val="left" w:pos="420"/>
        </w:tabs>
        <w:ind w:left="420" w:hanging="420"/>
      </w:pPr>
      <w:rPr>
        <w:rFonts w:hint="default"/>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8">
    <w:nsid w:val="02646106"/>
    <w:multiLevelType w:val="multilevel"/>
    <w:tmpl w:val="02646106"/>
    <w:lvl w:ilvl="0" w:tentative="0">
      <w:start w:val="1"/>
      <w:numFmt w:val="decimal"/>
      <w:lvlText w:val="%1."/>
      <w:lvlJc w:val="left"/>
      <w:pPr>
        <w:ind w:left="900" w:hanging="420"/>
      </w:pPr>
      <w:rPr>
        <w:rFonts w:hint="default"/>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0A57500B"/>
    <w:multiLevelType w:val="multilevel"/>
    <w:tmpl w:val="0A57500B"/>
    <w:lvl w:ilvl="0" w:tentative="0">
      <w:start w:val="1"/>
      <w:numFmt w:val="japaneseCounting"/>
      <w:lvlText w:val="%1、"/>
      <w:lvlJc w:val="left"/>
      <w:pPr>
        <w:ind w:left="1110" w:hanging="51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0">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15CF5E91"/>
    <w:multiLevelType w:val="multilevel"/>
    <w:tmpl w:val="15CF5E91"/>
    <w:lvl w:ilvl="0" w:tentative="0">
      <w:start w:val="1"/>
      <w:numFmt w:val="decimal"/>
      <w:lvlText w:val="%1."/>
      <w:lvlJc w:val="left"/>
      <w:pPr>
        <w:tabs>
          <w:tab w:val="left" w:pos="342"/>
        </w:tabs>
        <w:ind w:left="360" w:hanging="36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2">
    <w:nsid w:val="20D2348B"/>
    <w:multiLevelType w:val="singleLevel"/>
    <w:tmpl w:val="20D2348B"/>
    <w:lvl w:ilvl="0" w:tentative="0">
      <w:start w:val="1"/>
      <w:numFmt w:val="chineseCounting"/>
      <w:suff w:val="nothing"/>
      <w:lvlText w:val="（%1）"/>
      <w:lvlJc w:val="left"/>
      <w:rPr>
        <w:rFonts w:hint="eastAsia"/>
      </w:rPr>
    </w:lvl>
  </w:abstractNum>
  <w:abstractNum w:abstractNumId="13">
    <w:nsid w:val="27F49B4B"/>
    <w:multiLevelType w:val="multilevel"/>
    <w:tmpl w:val="27F49B4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566" w:hanging="566"/>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4">
    <w:nsid w:val="3F88662E"/>
    <w:multiLevelType w:val="singleLevel"/>
    <w:tmpl w:val="3F88662E"/>
    <w:lvl w:ilvl="0" w:tentative="0">
      <w:start w:val="1"/>
      <w:numFmt w:val="decimal"/>
      <w:suff w:val="space"/>
      <w:lvlText w:val="%1)"/>
      <w:lvlJc w:val="left"/>
    </w:lvl>
  </w:abstractNum>
  <w:abstractNum w:abstractNumId="15">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9C5D728"/>
    <w:multiLevelType w:val="singleLevel"/>
    <w:tmpl w:val="59C5D728"/>
    <w:lvl w:ilvl="0" w:tentative="0">
      <w:start w:val="1"/>
      <w:numFmt w:val="chineseCounting"/>
      <w:suff w:val="nothing"/>
      <w:lvlText w:val="%1、"/>
      <w:lvlJc w:val="left"/>
      <w:pPr>
        <w:ind w:left="0" w:firstLine="420"/>
      </w:pPr>
      <w:rPr>
        <w:rFonts w:hint="eastAsia"/>
      </w:rPr>
    </w:lvl>
  </w:abstractNum>
  <w:abstractNum w:abstractNumId="17">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D1539A1"/>
    <w:multiLevelType w:val="multilevel"/>
    <w:tmpl w:val="5D1539A1"/>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9">
    <w:nsid w:val="66B91E7A"/>
    <w:multiLevelType w:val="multilevel"/>
    <w:tmpl w:val="66B91E7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19"/>
  </w:num>
  <w:num w:numId="3">
    <w:abstractNumId w:val="8"/>
  </w:num>
  <w:num w:numId="4">
    <w:abstractNumId w:val="15"/>
  </w:num>
  <w:num w:numId="5">
    <w:abstractNumId w:val="13"/>
  </w:num>
  <w:num w:numId="6">
    <w:abstractNumId w:val="18"/>
  </w:num>
  <w:num w:numId="7">
    <w:abstractNumId w:val="14"/>
  </w:num>
  <w:num w:numId="8">
    <w:abstractNumId w:val="7"/>
  </w:num>
  <w:num w:numId="9">
    <w:abstractNumId w:val="0"/>
  </w:num>
  <w:num w:numId="10">
    <w:abstractNumId w:val="10"/>
  </w:num>
  <w:num w:numId="11">
    <w:abstractNumId w:val="4"/>
  </w:num>
  <w:num w:numId="12">
    <w:abstractNumId w:val="11"/>
  </w:num>
  <w:num w:numId="13">
    <w:abstractNumId w:val="9"/>
  </w:num>
  <w:num w:numId="14">
    <w:abstractNumId w:val="2"/>
  </w:num>
  <w:num w:numId="15">
    <w:abstractNumId w:val="6"/>
  </w:num>
  <w:num w:numId="16">
    <w:abstractNumId w:val="12"/>
  </w:num>
  <w:num w:numId="17">
    <w:abstractNumId w:val="3"/>
  </w:num>
  <w:num w:numId="18">
    <w:abstractNumId w:val="5"/>
  </w:num>
  <w:num w:numId="19">
    <w:abstractNumId w:val="1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NiNTM0Mjk3Nzk4YWY0OGVhMjUyNDM2Y2U4ZDA1ZTYifQ=="/>
  </w:docVars>
  <w:rsids>
    <w:rsidRoot w:val="00000000"/>
    <w:rsid w:val="00010A75"/>
    <w:rsid w:val="027C7A27"/>
    <w:rsid w:val="029167E5"/>
    <w:rsid w:val="0345496C"/>
    <w:rsid w:val="04461F7D"/>
    <w:rsid w:val="050745CD"/>
    <w:rsid w:val="05081487"/>
    <w:rsid w:val="05B22BB1"/>
    <w:rsid w:val="06936492"/>
    <w:rsid w:val="06DB44EA"/>
    <w:rsid w:val="070F6451"/>
    <w:rsid w:val="07D35C08"/>
    <w:rsid w:val="087E05C6"/>
    <w:rsid w:val="08D54138"/>
    <w:rsid w:val="099E4A96"/>
    <w:rsid w:val="09DB3168"/>
    <w:rsid w:val="0A2262F9"/>
    <w:rsid w:val="0B3375D2"/>
    <w:rsid w:val="0BAB6D89"/>
    <w:rsid w:val="0CD25E17"/>
    <w:rsid w:val="0D903B8E"/>
    <w:rsid w:val="0E4F6F02"/>
    <w:rsid w:val="0F5E39FA"/>
    <w:rsid w:val="10B82908"/>
    <w:rsid w:val="110568E6"/>
    <w:rsid w:val="12353CC8"/>
    <w:rsid w:val="131E63A9"/>
    <w:rsid w:val="132D14D8"/>
    <w:rsid w:val="136C3083"/>
    <w:rsid w:val="13966E30"/>
    <w:rsid w:val="147A1067"/>
    <w:rsid w:val="14A2371D"/>
    <w:rsid w:val="15926D5C"/>
    <w:rsid w:val="16476BB6"/>
    <w:rsid w:val="16BD18EB"/>
    <w:rsid w:val="16C96670"/>
    <w:rsid w:val="16E80275"/>
    <w:rsid w:val="178876A7"/>
    <w:rsid w:val="194C1D57"/>
    <w:rsid w:val="19C635C8"/>
    <w:rsid w:val="19CE650B"/>
    <w:rsid w:val="1A2B150A"/>
    <w:rsid w:val="1C9E5A95"/>
    <w:rsid w:val="1D482B2D"/>
    <w:rsid w:val="1E332792"/>
    <w:rsid w:val="1E8333D9"/>
    <w:rsid w:val="1ECE5E00"/>
    <w:rsid w:val="1F022C15"/>
    <w:rsid w:val="1FE629B0"/>
    <w:rsid w:val="1FF1600F"/>
    <w:rsid w:val="2146156F"/>
    <w:rsid w:val="22CF0997"/>
    <w:rsid w:val="232604FD"/>
    <w:rsid w:val="23476D7D"/>
    <w:rsid w:val="245A4297"/>
    <w:rsid w:val="2534382D"/>
    <w:rsid w:val="26B0053D"/>
    <w:rsid w:val="26F32D33"/>
    <w:rsid w:val="273F463F"/>
    <w:rsid w:val="274E287A"/>
    <w:rsid w:val="281B79CD"/>
    <w:rsid w:val="2827226D"/>
    <w:rsid w:val="284A42E6"/>
    <w:rsid w:val="288F77E2"/>
    <w:rsid w:val="296028EA"/>
    <w:rsid w:val="29DA6453"/>
    <w:rsid w:val="2AB0440E"/>
    <w:rsid w:val="2BB6497A"/>
    <w:rsid w:val="2CA770A1"/>
    <w:rsid w:val="2E1F57EC"/>
    <w:rsid w:val="2E4C4D92"/>
    <w:rsid w:val="2F9762BC"/>
    <w:rsid w:val="31371EE7"/>
    <w:rsid w:val="31D414C9"/>
    <w:rsid w:val="31FB155F"/>
    <w:rsid w:val="32793317"/>
    <w:rsid w:val="32801B67"/>
    <w:rsid w:val="32BB41B2"/>
    <w:rsid w:val="32E77EE5"/>
    <w:rsid w:val="33301D0B"/>
    <w:rsid w:val="33533DD3"/>
    <w:rsid w:val="33883435"/>
    <w:rsid w:val="347B2EF7"/>
    <w:rsid w:val="34EB5C5E"/>
    <w:rsid w:val="36F2720B"/>
    <w:rsid w:val="37AF4861"/>
    <w:rsid w:val="394D25EF"/>
    <w:rsid w:val="395A1511"/>
    <w:rsid w:val="3B5215EF"/>
    <w:rsid w:val="3B807F2C"/>
    <w:rsid w:val="3BCC4E23"/>
    <w:rsid w:val="3C3C1402"/>
    <w:rsid w:val="3E262C09"/>
    <w:rsid w:val="3EB63D23"/>
    <w:rsid w:val="3F2746FF"/>
    <w:rsid w:val="400D09FF"/>
    <w:rsid w:val="40172475"/>
    <w:rsid w:val="402569CB"/>
    <w:rsid w:val="40596D98"/>
    <w:rsid w:val="414052F6"/>
    <w:rsid w:val="41432097"/>
    <w:rsid w:val="416D07B5"/>
    <w:rsid w:val="41706BB5"/>
    <w:rsid w:val="42017D49"/>
    <w:rsid w:val="421F5693"/>
    <w:rsid w:val="43064505"/>
    <w:rsid w:val="441815C7"/>
    <w:rsid w:val="474A54C2"/>
    <w:rsid w:val="483946B7"/>
    <w:rsid w:val="48582B7A"/>
    <w:rsid w:val="48C7142E"/>
    <w:rsid w:val="49C7639B"/>
    <w:rsid w:val="4A8A2EBF"/>
    <w:rsid w:val="4AB024BB"/>
    <w:rsid w:val="4C1951D4"/>
    <w:rsid w:val="4C4621DF"/>
    <w:rsid w:val="4CE56B90"/>
    <w:rsid w:val="4DA97A39"/>
    <w:rsid w:val="4DCC4263"/>
    <w:rsid w:val="4DD4078E"/>
    <w:rsid w:val="4EF8123B"/>
    <w:rsid w:val="504F20BC"/>
    <w:rsid w:val="50A136CA"/>
    <w:rsid w:val="515B093F"/>
    <w:rsid w:val="518A683E"/>
    <w:rsid w:val="51A059CA"/>
    <w:rsid w:val="524831FF"/>
    <w:rsid w:val="52530420"/>
    <w:rsid w:val="529F4034"/>
    <w:rsid w:val="52E971EF"/>
    <w:rsid w:val="53941B93"/>
    <w:rsid w:val="53950BFB"/>
    <w:rsid w:val="54F844B2"/>
    <w:rsid w:val="55872321"/>
    <w:rsid w:val="56376839"/>
    <w:rsid w:val="563A5D87"/>
    <w:rsid w:val="5695207D"/>
    <w:rsid w:val="5981734A"/>
    <w:rsid w:val="59822625"/>
    <w:rsid w:val="59957695"/>
    <w:rsid w:val="59CF5BBE"/>
    <w:rsid w:val="5BF67FAD"/>
    <w:rsid w:val="5C170CF0"/>
    <w:rsid w:val="5C8969EB"/>
    <w:rsid w:val="5C9702FB"/>
    <w:rsid w:val="5D1A4FED"/>
    <w:rsid w:val="5E7D301B"/>
    <w:rsid w:val="5F133E8C"/>
    <w:rsid w:val="5FDC3B9D"/>
    <w:rsid w:val="608176CB"/>
    <w:rsid w:val="61BE2138"/>
    <w:rsid w:val="61DB4F4D"/>
    <w:rsid w:val="622A170C"/>
    <w:rsid w:val="627872F3"/>
    <w:rsid w:val="62B3336D"/>
    <w:rsid w:val="62C33CE4"/>
    <w:rsid w:val="62FE45AE"/>
    <w:rsid w:val="640F73B5"/>
    <w:rsid w:val="675D7E8D"/>
    <w:rsid w:val="69455FDE"/>
    <w:rsid w:val="69AB74E8"/>
    <w:rsid w:val="6AF808A3"/>
    <w:rsid w:val="6B180727"/>
    <w:rsid w:val="6C1F6680"/>
    <w:rsid w:val="6C2D58DC"/>
    <w:rsid w:val="6C8222E0"/>
    <w:rsid w:val="6CD132FB"/>
    <w:rsid w:val="6D5910F7"/>
    <w:rsid w:val="6EE47802"/>
    <w:rsid w:val="700248B6"/>
    <w:rsid w:val="70100167"/>
    <w:rsid w:val="71724053"/>
    <w:rsid w:val="72035AD5"/>
    <w:rsid w:val="72A90A9F"/>
    <w:rsid w:val="72C34BBD"/>
    <w:rsid w:val="72DE17F0"/>
    <w:rsid w:val="744F39DE"/>
    <w:rsid w:val="74633D61"/>
    <w:rsid w:val="74A830A9"/>
    <w:rsid w:val="74E43A48"/>
    <w:rsid w:val="74EE6E0C"/>
    <w:rsid w:val="76D75EB8"/>
    <w:rsid w:val="771816DB"/>
    <w:rsid w:val="78CD47BD"/>
    <w:rsid w:val="7A134F3A"/>
    <w:rsid w:val="7A8572A2"/>
    <w:rsid w:val="7AAA1A3C"/>
    <w:rsid w:val="7BA62280"/>
    <w:rsid w:val="7C6E6B8A"/>
    <w:rsid w:val="7D101810"/>
    <w:rsid w:val="7D661C68"/>
    <w:rsid w:val="7E7E0639"/>
    <w:rsid w:val="7EBA11AB"/>
    <w:rsid w:val="7F2C0FE0"/>
    <w:rsid w:val="7F4461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2">
    <w:name w:val="heading 1"/>
    <w:basedOn w:val="1"/>
    <w:next w:val="1"/>
    <w:link w:val="83"/>
    <w:autoRedefine/>
    <w:qFormat/>
    <w:uiPriority w:val="9"/>
    <w:pPr>
      <w:keepNext/>
      <w:keepLines/>
      <w:spacing w:before="340" w:after="330" w:line="576" w:lineRule="auto"/>
      <w:outlineLvl w:val="0"/>
    </w:pPr>
    <w:rPr>
      <w:b/>
      <w:kern w:val="44"/>
      <w:sz w:val="44"/>
    </w:rPr>
  </w:style>
  <w:style w:type="paragraph" w:styleId="3">
    <w:name w:val="heading 2"/>
    <w:basedOn w:val="1"/>
    <w:next w:val="1"/>
    <w:link w:val="49"/>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0"/>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2"/>
    <w:autoRedefine/>
    <w:unhideWhenUsed/>
    <w:qFormat/>
    <w:uiPriority w:val="9"/>
    <w:pPr>
      <w:keepNext/>
      <w:keepLines/>
      <w:outlineLvl w:val="3"/>
    </w:pPr>
    <w:rPr>
      <w:rFonts w:asciiTheme="majorHAnsi" w:hAnsiTheme="majorHAnsi" w:cstheme="majorBidi"/>
      <w:b/>
      <w:bCs/>
      <w:sz w:val="24"/>
      <w:szCs w:val="28"/>
    </w:rPr>
  </w:style>
  <w:style w:type="paragraph" w:styleId="6">
    <w:name w:val="heading 5"/>
    <w:basedOn w:val="1"/>
    <w:next w:val="1"/>
    <w:link w:val="82"/>
    <w:autoRedefine/>
    <w:unhideWhenUsed/>
    <w:qFormat/>
    <w:uiPriority w:val="9"/>
    <w:pPr>
      <w:keepNext/>
      <w:keepLines/>
      <w:spacing w:before="280" w:after="290" w:line="372" w:lineRule="auto"/>
      <w:outlineLvl w:val="4"/>
    </w:pPr>
    <w:rPr>
      <w:b/>
      <w:sz w:val="28"/>
    </w:rPr>
  </w:style>
  <w:style w:type="character" w:default="1" w:styleId="38">
    <w:name w:val="Default Paragraph Font"/>
    <w:autoRedefine/>
    <w:unhideWhenUsed/>
    <w:qFormat/>
    <w:uiPriority w:val="1"/>
  </w:style>
  <w:style w:type="table" w:default="1" w:styleId="36">
    <w:name w:val="Normal Table"/>
    <w:autoRedefine/>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widowControl w:val="0"/>
      <w:adjustRightInd/>
      <w:snapToGrid/>
      <w:spacing w:line="240" w:lineRule="auto"/>
      <w:ind w:left="2520" w:leftChars="1200"/>
      <w:jc w:val="both"/>
    </w:pPr>
    <w:rPr>
      <w:rFonts w:asciiTheme="minorHAnsi" w:hAnsiTheme="minorHAnsi" w:eastAsiaTheme="minorEastAsia"/>
      <w:kern w:val="2"/>
    </w:rPr>
  </w:style>
  <w:style w:type="paragraph" w:styleId="8">
    <w:name w:val="Normal Indent"/>
    <w:basedOn w:val="1"/>
    <w:autoRedefine/>
    <w:qFormat/>
    <w:uiPriority w:val="0"/>
    <w:pPr>
      <w:widowControl/>
      <w:autoSpaceDE/>
      <w:autoSpaceDN/>
      <w:adjustRightInd/>
      <w:ind w:firstLine="420" w:firstLineChars="200"/>
    </w:pPr>
    <w:rPr>
      <w:rFonts w:ascii="Calibri"/>
      <w:sz w:val="20"/>
      <w:szCs w:val="20"/>
    </w:rPr>
  </w:style>
  <w:style w:type="paragraph" w:styleId="9">
    <w:name w:val="toa heading"/>
    <w:basedOn w:val="1"/>
    <w:next w:val="1"/>
    <w:autoRedefine/>
    <w:qFormat/>
    <w:uiPriority w:val="0"/>
    <w:pPr>
      <w:snapToGrid w:val="0"/>
      <w:spacing w:before="120" w:line="360" w:lineRule="auto"/>
      <w:jc w:val="both"/>
    </w:pPr>
    <w:rPr>
      <w:rFonts w:ascii="Arial" w:hAnsi="Arial"/>
      <w:color w:val="000000"/>
      <w:sz w:val="21"/>
      <w:szCs w:val="20"/>
    </w:rPr>
  </w:style>
  <w:style w:type="paragraph" w:styleId="10">
    <w:name w:val="annotation text"/>
    <w:basedOn w:val="1"/>
    <w:link w:val="71"/>
    <w:autoRedefine/>
    <w:unhideWhenUsed/>
    <w:qFormat/>
    <w:uiPriority w:val="99"/>
  </w:style>
  <w:style w:type="paragraph" w:styleId="11">
    <w:name w:val="Salutation"/>
    <w:basedOn w:val="1"/>
    <w:next w:val="1"/>
    <w:autoRedefine/>
    <w:qFormat/>
    <w:uiPriority w:val="0"/>
    <w:pPr>
      <w:widowControl w:val="0"/>
      <w:spacing w:line="240" w:lineRule="auto"/>
      <w:jc w:val="both"/>
    </w:pPr>
    <w:rPr>
      <w:kern w:val="2"/>
      <w:sz w:val="24"/>
      <w:szCs w:val="24"/>
    </w:rPr>
  </w:style>
  <w:style w:type="paragraph" w:styleId="12">
    <w:name w:val="Body Text 3"/>
    <w:basedOn w:val="1"/>
    <w:autoRedefine/>
    <w:qFormat/>
    <w:uiPriority w:val="0"/>
    <w:pPr>
      <w:ind w:right="-26"/>
      <w:jc w:val="center"/>
    </w:pPr>
    <w:rPr>
      <w:b/>
      <w:bCs/>
      <w:color w:val="3366FF"/>
      <w:kern w:val="2"/>
      <w:sz w:val="52"/>
      <w:szCs w:val="52"/>
      <w:lang w:val="zh-CN"/>
    </w:rPr>
  </w:style>
  <w:style w:type="paragraph" w:styleId="13">
    <w:name w:val="Body Text"/>
    <w:basedOn w:val="1"/>
    <w:next w:val="14"/>
    <w:link w:val="74"/>
    <w:autoRedefine/>
    <w:qFormat/>
    <w:uiPriority w:val="1"/>
    <w:pPr>
      <w:spacing w:before="161"/>
      <w:ind w:left="120"/>
    </w:pPr>
    <w:rPr>
      <w:rFonts w:ascii="宋体" w:hAnsi="宋体" w:cs="宋体"/>
      <w:sz w:val="24"/>
      <w:lang w:val="zh-CN" w:bidi="zh-CN"/>
    </w:rPr>
  </w:style>
  <w:style w:type="paragraph" w:styleId="14">
    <w:name w:val="Date"/>
    <w:basedOn w:val="1"/>
    <w:next w:val="1"/>
    <w:qFormat/>
    <w:uiPriority w:val="0"/>
    <w:pPr>
      <w:ind w:left="100" w:leftChars="2500"/>
    </w:pPr>
    <w:rPr>
      <w:b/>
      <w:bCs/>
      <w:kern w:val="2"/>
      <w:sz w:val="21"/>
      <w:szCs w:val="21"/>
      <w:lang w:val="zh-CN"/>
    </w:rPr>
  </w:style>
  <w:style w:type="paragraph" w:styleId="15">
    <w:name w:val="Body Text Indent"/>
    <w:basedOn w:val="1"/>
    <w:next w:val="16"/>
    <w:autoRedefine/>
    <w:qFormat/>
    <w:uiPriority w:val="0"/>
    <w:pPr>
      <w:ind w:left="359" w:leftChars="171" w:firstLine="179" w:firstLineChars="85"/>
    </w:pPr>
    <w:rPr>
      <w:rFonts w:ascii="宋体" w:hAnsi="宋体"/>
      <w:b/>
      <w:bCs/>
      <w:szCs w:val="26"/>
    </w:rPr>
  </w:style>
  <w:style w:type="paragraph" w:styleId="16">
    <w:name w:val="envelope return"/>
    <w:basedOn w:val="1"/>
    <w:autoRedefine/>
    <w:qFormat/>
    <w:uiPriority w:val="0"/>
    <w:pPr>
      <w:widowControl w:val="0"/>
      <w:jc w:val="both"/>
    </w:pPr>
    <w:rPr>
      <w:rFonts w:ascii="Calibri" w:hAnsi="Calibri" w:cs="Times New Roman"/>
      <w:kern w:val="2"/>
      <w:szCs w:val="24"/>
    </w:rPr>
  </w:style>
  <w:style w:type="paragraph" w:styleId="17">
    <w:name w:val="toc 5"/>
    <w:basedOn w:val="1"/>
    <w:next w:val="1"/>
    <w:autoRedefine/>
    <w:unhideWhenUsed/>
    <w:qFormat/>
    <w:uiPriority w:val="39"/>
    <w:pPr>
      <w:widowControl w:val="0"/>
      <w:adjustRightInd/>
      <w:snapToGrid/>
      <w:spacing w:line="240" w:lineRule="auto"/>
      <w:ind w:left="1680" w:leftChars="800"/>
      <w:jc w:val="both"/>
    </w:pPr>
    <w:rPr>
      <w:rFonts w:asciiTheme="minorHAnsi" w:hAnsiTheme="minorHAnsi" w:eastAsiaTheme="minorEastAsia"/>
      <w:kern w:val="2"/>
    </w:rPr>
  </w:style>
  <w:style w:type="paragraph" w:styleId="18">
    <w:name w:val="toc 3"/>
    <w:basedOn w:val="1"/>
    <w:next w:val="1"/>
    <w:autoRedefine/>
    <w:unhideWhenUsed/>
    <w:qFormat/>
    <w:uiPriority w:val="39"/>
    <w:pPr>
      <w:tabs>
        <w:tab w:val="right" w:leader="dot" w:pos="8296"/>
      </w:tabs>
      <w:ind w:left="838" w:leftChars="381"/>
    </w:pPr>
    <w:rPr>
      <w:szCs w:val="21"/>
    </w:rPr>
  </w:style>
  <w:style w:type="paragraph" w:styleId="19">
    <w:name w:val="Plain Text"/>
    <w:basedOn w:val="1"/>
    <w:link w:val="63"/>
    <w:autoRedefine/>
    <w:qFormat/>
    <w:uiPriority w:val="0"/>
    <w:pPr>
      <w:widowControl w:val="0"/>
      <w:adjustRightInd/>
      <w:snapToGrid/>
      <w:jc w:val="both"/>
    </w:pPr>
    <w:rPr>
      <w:rFonts w:ascii="宋体" w:hAnsi="Courier New" w:cs="Times New Roman"/>
      <w:b/>
      <w:kern w:val="2"/>
      <w:szCs w:val="20"/>
    </w:rPr>
  </w:style>
  <w:style w:type="paragraph" w:styleId="20">
    <w:name w:val="toc 8"/>
    <w:basedOn w:val="1"/>
    <w:next w:val="1"/>
    <w:autoRedefine/>
    <w:unhideWhenUsed/>
    <w:qFormat/>
    <w:uiPriority w:val="39"/>
    <w:pPr>
      <w:widowControl w:val="0"/>
      <w:adjustRightInd/>
      <w:snapToGrid/>
      <w:spacing w:line="240" w:lineRule="auto"/>
      <w:ind w:left="2940" w:leftChars="1400"/>
      <w:jc w:val="both"/>
    </w:pPr>
    <w:rPr>
      <w:rFonts w:asciiTheme="minorHAnsi" w:hAnsiTheme="minorHAnsi" w:eastAsiaTheme="minorEastAsia"/>
      <w:kern w:val="2"/>
    </w:rPr>
  </w:style>
  <w:style w:type="paragraph" w:styleId="21">
    <w:name w:val="Body Text Indent 2"/>
    <w:basedOn w:val="1"/>
    <w:autoRedefine/>
    <w:qFormat/>
    <w:uiPriority w:val="0"/>
    <w:pPr>
      <w:tabs>
        <w:tab w:val="left" w:pos="8640"/>
      </w:tabs>
      <w:adjustRightInd/>
      <w:ind w:left="1260"/>
      <w:jc w:val="both"/>
    </w:pPr>
    <w:rPr>
      <w:kern w:val="2"/>
      <w:szCs w:val="20"/>
    </w:rPr>
  </w:style>
  <w:style w:type="paragraph" w:styleId="22">
    <w:name w:val="Balloon Text"/>
    <w:basedOn w:val="1"/>
    <w:link w:val="66"/>
    <w:autoRedefine/>
    <w:unhideWhenUsed/>
    <w:qFormat/>
    <w:uiPriority w:val="99"/>
    <w:rPr>
      <w:sz w:val="18"/>
      <w:szCs w:val="18"/>
    </w:rPr>
  </w:style>
  <w:style w:type="paragraph" w:styleId="23">
    <w:name w:val="footer"/>
    <w:basedOn w:val="1"/>
    <w:link w:val="65"/>
    <w:autoRedefine/>
    <w:unhideWhenUsed/>
    <w:qFormat/>
    <w:uiPriority w:val="99"/>
    <w:pPr>
      <w:tabs>
        <w:tab w:val="center" w:pos="4153"/>
        <w:tab w:val="right" w:pos="8306"/>
      </w:tabs>
    </w:pPr>
    <w:rPr>
      <w:sz w:val="18"/>
      <w:szCs w:val="18"/>
    </w:rPr>
  </w:style>
  <w:style w:type="paragraph" w:styleId="24">
    <w:name w:val="header"/>
    <w:basedOn w:val="1"/>
    <w:link w:val="64"/>
    <w:autoRedefine/>
    <w:unhideWhenUsed/>
    <w:qFormat/>
    <w:uiPriority w:val="99"/>
    <w:pPr>
      <w:pBdr>
        <w:bottom w:val="single" w:color="auto" w:sz="6" w:space="1"/>
      </w:pBdr>
      <w:tabs>
        <w:tab w:val="center" w:pos="4153"/>
        <w:tab w:val="right" w:pos="8306"/>
      </w:tabs>
      <w:jc w:val="center"/>
    </w:pPr>
    <w:rPr>
      <w:sz w:val="18"/>
      <w:szCs w:val="18"/>
    </w:rPr>
  </w:style>
  <w:style w:type="paragraph" w:styleId="25">
    <w:name w:val="toc 1"/>
    <w:basedOn w:val="1"/>
    <w:next w:val="1"/>
    <w:autoRedefine/>
    <w:unhideWhenUsed/>
    <w:qFormat/>
    <w:uiPriority w:val="39"/>
  </w:style>
  <w:style w:type="paragraph" w:styleId="26">
    <w:name w:val="toc 4"/>
    <w:basedOn w:val="1"/>
    <w:next w:val="1"/>
    <w:autoRedefine/>
    <w:unhideWhenUsed/>
    <w:qFormat/>
    <w:uiPriority w:val="39"/>
    <w:pPr>
      <w:tabs>
        <w:tab w:val="right" w:leader="dot" w:pos="8296"/>
      </w:tabs>
      <w:spacing w:after="120"/>
      <w:ind w:left="1320" w:leftChars="600"/>
    </w:pPr>
  </w:style>
  <w:style w:type="paragraph" w:styleId="27">
    <w:name w:val="footnote text"/>
    <w:basedOn w:val="1"/>
    <w:autoRedefine/>
    <w:unhideWhenUsed/>
    <w:qFormat/>
    <w:uiPriority w:val="99"/>
    <w:rPr>
      <w:sz w:val="18"/>
    </w:rPr>
  </w:style>
  <w:style w:type="paragraph" w:styleId="28">
    <w:name w:val="toc 6"/>
    <w:basedOn w:val="1"/>
    <w:next w:val="1"/>
    <w:autoRedefine/>
    <w:qFormat/>
    <w:uiPriority w:val="39"/>
    <w:pPr>
      <w:ind w:left="1200"/>
    </w:pPr>
    <w:rPr>
      <w:rFonts w:ascii="Calibri" w:cs="Calibri"/>
      <w:sz w:val="18"/>
      <w:szCs w:val="18"/>
    </w:rPr>
  </w:style>
  <w:style w:type="paragraph" w:styleId="29">
    <w:name w:val="Body Text Indent 3"/>
    <w:basedOn w:val="1"/>
    <w:autoRedefine/>
    <w:qFormat/>
    <w:uiPriority w:val="0"/>
    <w:pPr>
      <w:spacing w:line="360" w:lineRule="auto"/>
      <w:ind w:firstLine="480" w:firstLineChars="200"/>
    </w:pPr>
  </w:style>
  <w:style w:type="paragraph" w:styleId="30">
    <w:name w:val="toc 2"/>
    <w:basedOn w:val="1"/>
    <w:next w:val="1"/>
    <w:autoRedefine/>
    <w:unhideWhenUsed/>
    <w:qFormat/>
    <w:uiPriority w:val="39"/>
    <w:pPr>
      <w:tabs>
        <w:tab w:val="right" w:leader="dot" w:pos="8296"/>
      </w:tabs>
      <w:ind w:left="440" w:leftChars="200"/>
      <w:jc w:val="center"/>
    </w:pPr>
    <w:rPr>
      <w:rFonts w:ascii="宋体" w:hAnsi="宋体"/>
      <w:sz w:val="30"/>
      <w:szCs w:val="30"/>
    </w:rPr>
  </w:style>
  <w:style w:type="paragraph" w:styleId="31">
    <w:name w:val="toc 9"/>
    <w:basedOn w:val="1"/>
    <w:next w:val="1"/>
    <w:autoRedefine/>
    <w:unhideWhenUsed/>
    <w:qFormat/>
    <w:uiPriority w:val="39"/>
    <w:pPr>
      <w:widowControl w:val="0"/>
      <w:adjustRightInd/>
      <w:snapToGrid/>
      <w:spacing w:line="240" w:lineRule="auto"/>
      <w:ind w:left="3360" w:leftChars="1600"/>
      <w:jc w:val="both"/>
    </w:pPr>
    <w:rPr>
      <w:rFonts w:asciiTheme="minorHAnsi" w:hAnsiTheme="minorHAnsi" w:eastAsiaTheme="minorEastAsia"/>
      <w:kern w:val="2"/>
    </w:rPr>
  </w:style>
  <w:style w:type="paragraph" w:styleId="32">
    <w:name w:val="Normal (Web)"/>
    <w:basedOn w:val="1"/>
    <w:link w:val="68"/>
    <w:autoRedefine/>
    <w:qFormat/>
    <w:uiPriority w:val="0"/>
    <w:pPr>
      <w:widowControl w:val="0"/>
      <w:adjustRightInd/>
      <w:snapToGrid/>
      <w:jc w:val="both"/>
    </w:pPr>
    <w:rPr>
      <w:rFonts w:asciiTheme="minorHAnsi" w:hAnsiTheme="minorHAnsi"/>
      <w:kern w:val="2"/>
      <w:sz w:val="24"/>
      <w:szCs w:val="24"/>
    </w:rPr>
  </w:style>
  <w:style w:type="paragraph" w:styleId="33">
    <w:name w:val="annotation subject"/>
    <w:basedOn w:val="10"/>
    <w:next w:val="10"/>
    <w:link w:val="72"/>
    <w:autoRedefine/>
    <w:unhideWhenUsed/>
    <w:qFormat/>
    <w:uiPriority w:val="99"/>
    <w:rPr>
      <w:b/>
      <w:bCs/>
    </w:rPr>
  </w:style>
  <w:style w:type="paragraph" w:styleId="34">
    <w:name w:val="Body Text First Indent"/>
    <w:basedOn w:val="13"/>
    <w:autoRedefine/>
    <w:qFormat/>
    <w:uiPriority w:val="0"/>
    <w:pPr>
      <w:spacing w:after="120"/>
      <w:ind w:firstLine="420" w:firstLineChars="100"/>
    </w:pPr>
    <w:rPr>
      <w:bCs/>
      <w:szCs w:val="21"/>
    </w:rPr>
  </w:style>
  <w:style w:type="paragraph" w:styleId="35">
    <w:name w:val="Body Text First Indent 2"/>
    <w:basedOn w:val="15"/>
    <w:qFormat/>
    <w:uiPriority w:val="99"/>
    <w:pPr>
      <w:ind w:firstLine="420" w:firstLineChars="200"/>
    </w:pPr>
    <w:rPr>
      <w:color w:val="000000"/>
    </w:rPr>
  </w:style>
  <w:style w:type="table" w:styleId="37">
    <w:name w:val="Table Grid"/>
    <w:basedOn w:val="3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autoRedefine/>
    <w:qFormat/>
    <w:uiPriority w:val="22"/>
    <w:rPr>
      <w:b/>
    </w:rPr>
  </w:style>
  <w:style w:type="character" w:styleId="40">
    <w:name w:val="page number"/>
    <w:basedOn w:val="38"/>
    <w:autoRedefine/>
    <w:qFormat/>
    <w:uiPriority w:val="0"/>
  </w:style>
  <w:style w:type="character" w:styleId="41">
    <w:name w:val="Emphasis"/>
    <w:basedOn w:val="38"/>
    <w:autoRedefine/>
    <w:qFormat/>
    <w:uiPriority w:val="20"/>
    <w:rPr>
      <w:i/>
      <w:iCs/>
    </w:rPr>
  </w:style>
  <w:style w:type="character" w:styleId="42">
    <w:name w:val="Hyperlink"/>
    <w:autoRedefine/>
    <w:qFormat/>
    <w:uiPriority w:val="99"/>
    <w:rPr>
      <w:rFonts w:hint="eastAsia" w:ascii="宋体" w:hAnsi="宋体" w:eastAsia="宋体" w:cs="宋体"/>
      <w:b/>
      <w:color w:val="0031C1"/>
      <w:kern w:val="0"/>
      <w:sz w:val="18"/>
      <w:szCs w:val="18"/>
      <w:u w:val="none"/>
      <w:lang w:eastAsia="en-US"/>
    </w:rPr>
  </w:style>
  <w:style w:type="character" w:styleId="43">
    <w:name w:val="annotation reference"/>
    <w:basedOn w:val="38"/>
    <w:autoRedefine/>
    <w:unhideWhenUsed/>
    <w:qFormat/>
    <w:uiPriority w:val="99"/>
    <w:rPr>
      <w:sz w:val="21"/>
      <w:szCs w:val="21"/>
    </w:rPr>
  </w:style>
  <w:style w:type="character" w:styleId="44">
    <w:name w:val="footnote reference"/>
    <w:basedOn w:val="38"/>
    <w:autoRedefine/>
    <w:unhideWhenUsed/>
    <w:qFormat/>
    <w:uiPriority w:val="99"/>
    <w:rPr>
      <w:vertAlign w:val="superscript"/>
    </w:rPr>
  </w:style>
  <w:style w:type="paragraph" w:customStyle="1" w:styleId="45">
    <w:name w:val="章节题目"/>
    <w:basedOn w:val="46"/>
    <w:next w:val="1"/>
    <w:qFormat/>
    <w:uiPriority w:val="0"/>
    <w:pPr>
      <w:keepNext/>
      <w:keepLines/>
      <w:spacing w:before="720" w:after="400" w:line="540" w:lineRule="atLeast"/>
      <w:ind w:right="2160"/>
    </w:pPr>
    <w:rPr>
      <w:spacing w:val="-40"/>
      <w:kern w:val="28"/>
      <w:sz w:val="60"/>
    </w:rPr>
  </w:style>
  <w:style w:type="paragraph" w:customStyle="1" w:styleId="46">
    <w:name w:val="基准标题"/>
    <w:basedOn w:val="1"/>
    <w:next w:val="13"/>
    <w:qFormat/>
    <w:uiPriority w:val="0"/>
    <w:pPr>
      <w:keepNext/>
      <w:keepLines/>
      <w:spacing w:before="140" w:line="220" w:lineRule="atLeast"/>
    </w:pPr>
    <w:rPr>
      <w:rFonts w:ascii="Arial" w:hAnsi="Arial"/>
      <w:spacing w:val="-4"/>
      <w:kern w:val="28"/>
      <w:sz w:val="22"/>
    </w:rPr>
  </w:style>
  <w:style w:type="paragraph" w:customStyle="1" w:styleId="47">
    <w:name w:val="样式 正文首行缩进 + 首行缩进:  1 字符"/>
    <w:basedOn w:val="1"/>
    <w:next w:val="1"/>
    <w:autoRedefine/>
    <w:qFormat/>
    <w:uiPriority w:val="0"/>
    <w:pPr>
      <w:ind w:firstLine="200" w:firstLineChars="200"/>
    </w:pPr>
    <w:rPr>
      <w:rFonts w:cs="宋体"/>
      <w:szCs w:val="20"/>
    </w:rPr>
  </w:style>
  <w:style w:type="paragraph" w:customStyle="1" w:styleId="48">
    <w:name w:val="首行缩进"/>
    <w:basedOn w:val="1"/>
    <w:autoRedefine/>
    <w:qFormat/>
    <w:uiPriority w:val="0"/>
    <w:pPr>
      <w:adjustRightInd/>
      <w:spacing w:line="300" w:lineRule="auto"/>
      <w:ind w:firstLine="420" w:firstLineChars="200"/>
      <w:jc w:val="both"/>
    </w:pPr>
    <w:rPr>
      <w:rFonts w:ascii="Calibri" w:hAnsi="Calibri" w:eastAsia="方正书宋简体" w:cs="Times New Roman"/>
      <w:sz w:val="20"/>
    </w:rPr>
  </w:style>
  <w:style w:type="character" w:customStyle="1" w:styleId="49">
    <w:name w:val="标题 2 字符"/>
    <w:basedOn w:val="38"/>
    <w:link w:val="3"/>
    <w:autoRedefine/>
    <w:qFormat/>
    <w:uiPriority w:val="9"/>
    <w:rPr>
      <w:rFonts w:asciiTheme="majorHAnsi" w:hAnsiTheme="majorHAnsi" w:eastAsiaTheme="majorEastAsia" w:cstheme="majorBidi"/>
      <w:b/>
      <w:bCs/>
      <w:sz w:val="32"/>
      <w:szCs w:val="32"/>
    </w:rPr>
  </w:style>
  <w:style w:type="character" w:customStyle="1" w:styleId="50">
    <w:name w:val="标题 3 字符"/>
    <w:basedOn w:val="38"/>
    <w:link w:val="4"/>
    <w:autoRedefine/>
    <w:qFormat/>
    <w:uiPriority w:val="9"/>
    <w:rPr>
      <w:rFonts w:ascii="Tahoma" w:hAnsi="Tahoma"/>
      <w:b/>
      <w:bCs/>
      <w:sz w:val="32"/>
      <w:szCs w:val="32"/>
    </w:rPr>
  </w:style>
  <w:style w:type="paragraph" w:customStyle="1" w:styleId="51">
    <w:name w:val="List Paragraph"/>
    <w:basedOn w:val="1"/>
    <w:link w:val="73"/>
    <w:autoRedefine/>
    <w:qFormat/>
    <w:uiPriority w:val="0"/>
    <w:pPr>
      <w:ind w:firstLine="420" w:firstLineChars="200"/>
    </w:pPr>
  </w:style>
  <w:style w:type="character" w:customStyle="1" w:styleId="52">
    <w:name w:val="标题 4 字符"/>
    <w:basedOn w:val="38"/>
    <w:link w:val="5"/>
    <w:autoRedefine/>
    <w:qFormat/>
    <w:uiPriority w:val="9"/>
    <w:rPr>
      <w:rFonts w:eastAsia="宋体" w:asciiTheme="majorHAnsi" w:hAnsiTheme="majorHAnsi" w:cstheme="majorBidi"/>
      <w:b/>
      <w:bCs/>
      <w:sz w:val="24"/>
      <w:szCs w:val="28"/>
    </w:rPr>
  </w:style>
  <w:style w:type="character" w:customStyle="1" w:styleId="53">
    <w:name w:val="正文缩进2格 Char"/>
    <w:link w:val="54"/>
    <w:autoRedefine/>
    <w:qFormat/>
    <w:uiPriority w:val="0"/>
    <w:rPr>
      <w:rFonts w:ascii="仿宋_GB2312" w:hAnsi="宋体" w:eastAsia="仿宋_GB2312"/>
      <w:kern w:val="2"/>
      <w:sz w:val="31"/>
    </w:rPr>
  </w:style>
  <w:style w:type="paragraph" w:customStyle="1" w:styleId="54">
    <w:name w:val="正文缩进2格"/>
    <w:basedOn w:val="1"/>
    <w:next w:val="1"/>
    <w:link w:val="53"/>
    <w:autoRedefine/>
    <w:qFormat/>
    <w:uiPriority w:val="0"/>
    <w:pPr>
      <w:widowControl w:val="0"/>
      <w:adjustRightInd/>
      <w:snapToGrid/>
      <w:spacing w:line="600" w:lineRule="exact"/>
      <w:ind w:firstLine="639" w:firstLineChars="206"/>
      <w:jc w:val="both"/>
    </w:pPr>
    <w:rPr>
      <w:rFonts w:ascii="仿宋_GB2312" w:hAnsi="宋体" w:eastAsia="仿宋_GB2312"/>
      <w:kern w:val="2"/>
      <w:sz w:val="31"/>
    </w:rPr>
  </w:style>
  <w:style w:type="paragraph" w:customStyle="1" w:styleId="55">
    <w:name w:val="正文缩进4格"/>
    <w:basedOn w:val="54"/>
    <w:autoRedefine/>
    <w:qFormat/>
    <w:uiPriority w:val="0"/>
    <w:pPr>
      <w:ind w:left="2" w:firstLine="538" w:firstLineChars="192"/>
    </w:pPr>
    <w:rPr>
      <w:color w:val="0000FF"/>
      <w:sz w:val="28"/>
    </w:rPr>
  </w:style>
  <w:style w:type="character" w:customStyle="1" w:styleId="56">
    <w:name w:val="正文缩进2格 Char Char"/>
    <w:autoRedefine/>
    <w:qFormat/>
    <w:uiPriority w:val="0"/>
    <w:rPr>
      <w:rFonts w:ascii="仿宋_GB2312" w:hAnsi="宋体" w:eastAsia="仿宋_GB2312" w:cs="Times New Roman"/>
      <w:b/>
      <w:kern w:val="2"/>
      <w:sz w:val="31"/>
      <w:szCs w:val="28"/>
      <w:lang w:val="en-US" w:eastAsia="zh-CN" w:bidi="ar-SA"/>
    </w:rPr>
  </w:style>
  <w:style w:type="paragraph" w:customStyle="1" w:styleId="57">
    <w:name w:val="_Style 3"/>
    <w:basedOn w:val="1"/>
    <w:autoRedefine/>
    <w:qFormat/>
    <w:uiPriority w:val="0"/>
    <w:pPr>
      <w:widowControl w:val="0"/>
      <w:adjustRightInd/>
      <w:snapToGrid/>
      <w:ind w:firstLine="420" w:firstLineChars="200"/>
      <w:jc w:val="both"/>
    </w:pPr>
    <w:rPr>
      <w:rFonts w:ascii="Times New Roman" w:hAnsi="Times New Roman" w:cs="Times New Roman"/>
      <w:kern w:val="2"/>
      <w:szCs w:val="24"/>
    </w:rPr>
  </w:style>
  <w:style w:type="character" w:customStyle="1" w:styleId="58">
    <w:name w:val="标题1"/>
    <w:autoRedefine/>
    <w:qFormat/>
    <w:uiPriority w:val="0"/>
    <w:rPr>
      <w:rFonts w:ascii="Times New Roman" w:hAnsi="Times New Roman" w:eastAsia="宋体" w:cs="Times New Roman"/>
      <w:b/>
      <w:kern w:val="0"/>
      <w:sz w:val="24"/>
      <w:szCs w:val="20"/>
      <w:lang w:eastAsia="en-US"/>
    </w:rPr>
  </w:style>
  <w:style w:type="character" w:customStyle="1" w:styleId="59">
    <w:name w:val="标题 3.1 Char"/>
    <w:link w:val="60"/>
    <w:autoRedefine/>
    <w:qFormat/>
    <w:uiPriority w:val="0"/>
    <w:rPr>
      <w:rFonts w:ascii="宋体" w:hAnsi="宋体" w:eastAsia="宋体"/>
      <w:b/>
      <w:color w:val="FF0000"/>
      <w:kern w:val="2"/>
      <w:sz w:val="32"/>
    </w:rPr>
  </w:style>
  <w:style w:type="paragraph" w:customStyle="1" w:styleId="60">
    <w:name w:val="标题 3.1"/>
    <w:basedOn w:val="4"/>
    <w:link w:val="59"/>
    <w:autoRedefine/>
    <w:qFormat/>
    <w:uiPriority w:val="0"/>
    <w:pPr>
      <w:widowControl w:val="0"/>
      <w:tabs>
        <w:tab w:val="left" w:pos="1440"/>
        <w:tab w:val="left" w:pos="1620"/>
      </w:tabs>
      <w:adjustRightInd/>
      <w:snapToGrid/>
      <w:spacing w:line="600" w:lineRule="exact"/>
      <w:jc w:val="both"/>
    </w:pPr>
    <w:rPr>
      <w:rFonts w:ascii="宋体" w:hAnsi="宋体"/>
      <w:bCs w:val="0"/>
      <w:color w:val="FF0000"/>
      <w:kern w:val="2"/>
      <w:szCs w:val="22"/>
    </w:rPr>
  </w:style>
  <w:style w:type="character" w:customStyle="1" w:styleId="61">
    <w:name w:val="样式 楷体_GB2312 小四"/>
    <w:autoRedefine/>
    <w:qFormat/>
    <w:uiPriority w:val="0"/>
    <w:rPr>
      <w:rFonts w:ascii="楷体_GB2312" w:hAnsi="楷体_GB2312" w:eastAsia="仿宋_GB2312"/>
      <w:sz w:val="24"/>
    </w:rPr>
  </w:style>
  <w:style w:type="character" w:customStyle="1" w:styleId="62">
    <w:name w:val="纯文本 Char"/>
    <w:autoRedefine/>
    <w:qFormat/>
    <w:uiPriority w:val="0"/>
    <w:rPr>
      <w:rFonts w:ascii="宋体" w:hAnsi="Courier New" w:eastAsia="宋体" w:cs="Times New Roman"/>
      <w:b/>
      <w:kern w:val="2"/>
      <w:sz w:val="21"/>
      <w:szCs w:val="20"/>
    </w:rPr>
  </w:style>
  <w:style w:type="character" w:customStyle="1" w:styleId="63">
    <w:name w:val="纯文本 字符"/>
    <w:basedOn w:val="38"/>
    <w:link w:val="19"/>
    <w:autoRedefine/>
    <w:semiHidden/>
    <w:qFormat/>
    <w:uiPriority w:val="99"/>
    <w:rPr>
      <w:rFonts w:ascii="宋体" w:hAnsi="Courier New" w:eastAsia="宋体" w:cs="Courier New"/>
      <w:sz w:val="21"/>
      <w:szCs w:val="21"/>
    </w:rPr>
  </w:style>
  <w:style w:type="character" w:customStyle="1" w:styleId="64">
    <w:name w:val="页眉 字符"/>
    <w:basedOn w:val="38"/>
    <w:link w:val="24"/>
    <w:autoRedefine/>
    <w:qFormat/>
    <w:uiPriority w:val="99"/>
    <w:rPr>
      <w:rFonts w:ascii="Tahoma" w:hAnsi="Tahoma"/>
      <w:sz w:val="18"/>
      <w:szCs w:val="18"/>
    </w:rPr>
  </w:style>
  <w:style w:type="character" w:customStyle="1" w:styleId="65">
    <w:name w:val="页脚 字符"/>
    <w:basedOn w:val="38"/>
    <w:link w:val="23"/>
    <w:autoRedefine/>
    <w:qFormat/>
    <w:uiPriority w:val="99"/>
    <w:rPr>
      <w:rFonts w:ascii="Tahoma" w:hAnsi="Tahoma"/>
      <w:sz w:val="18"/>
      <w:szCs w:val="18"/>
    </w:rPr>
  </w:style>
  <w:style w:type="character" w:customStyle="1" w:styleId="66">
    <w:name w:val="批注框文本 字符"/>
    <w:basedOn w:val="38"/>
    <w:link w:val="22"/>
    <w:autoRedefine/>
    <w:semiHidden/>
    <w:qFormat/>
    <w:uiPriority w:val="99"/>
    <w:rPr>
      <w:rFonts w:ascii="Tahoma" w:hAnsi="Tahoma"/>
      <w:sz w:val="18"/>
      <w:szCs w:val="18"/>
    </w:rPr>
  </w:style>
  <w:style w:type="paragraph" w:customStyle="1" w:styleId="67">
    <w:name w:val="Char Char2 Char"/>
    <w:basedOn w:val="1"/>
    <w:autoRedefine/>
    <w:qFormat/>
    <w:uiPriority w:val="0"/>
    <w:pPr>
      <w:widowControl w:val="0"/>
      <w:adjustRightInd/>
      <w:snapToGrid/>
      <w:jc w:val="both"/>
    </w:pPr>
    <w:rPr>
      <w:rFonts w:ascii="宋体" w:hAnsi="宋体" w:cs="Times New Roman"/>
      <w:b/>
      <w:kern w:val="2"/>
      <w:sz w:val="28"/>
      <w:szCs w:val="28"/>
    </w:rPr>
  </w:style>
  <w:style w:type="character" w:customStyle="1" w:styleId="68">
    <w:name w:val="普通(网站) 字符"/>
    <w:link w:val="32"/>
    <w:autoRedefine/>
    <w:qFormat/>
    <w:uiPriority w:val="0"/>
    <w:rPr>
      <w:rFonts w:eastAsia="宋体"/>
      <w:kern w:val="2"/>
      <w:sz w:val="24"/>
      <w:szCs w:val="24"/>
    </w:rPr>
  </w:style>
  <w:style w:type="paragraph" w:customStyle="1" w:styleId="69">
    <w:name w:val="列出段落1"/>
    <w:basedOn w:val="1"/>
    <w:autoRedefine/>
    <w:qFormat/>
    <w:uiPriority w:val="99"/>
    <w:pPr>
      <w:widowControl w:val="0"/>
      <w:adjustRightInd/>
      <w:snapToGrid/>
      <w:ind w:firstLine="420" w:firstLineChars="200"/>
      <w:jc w:val="both"/>
    </w:pPr>
    <w:rPr>
      <w:rFonts w:ascii="Times New Roman" w:hAnsi="Times New Roman" w:cs="Times New Roman"/>
      <w:kern w:val="2"/>
      <w:sz w:val="24"/>
      <w:szCs w:val="24"/>
    </w:rPr>
  </w:style>
  <w:style w:type="character" w:customStyle="1" w:styleId="70">
    <w:name w:val="p141"/>
    <w:autoRedefine/>
    <w:qFormat/>
    <w:uiPriority w:val="0"/>
    <w:rPr>
      <w:sz w:val="21"/>
      <w:szCs w:val="21"/>
    </w:rPr>
  </w:style>
  <w:style w:type="character" w:customStyle="1" w:styleId="71">
    <w:name w:val="批注文字 字符"/>
    <w:basedOn w:val="38"/>
    <w:link w:val="10"/>
    <w:autoRedefine/>
    <w:qFormat/>
    <w:uiPriority w:val="99"/>
    <w:rPr>
      <w:rFonts w:ascii="Tahoma" w:hAnsi="Tahoma" w:eastAsia="微软雅黑" w:cstheme="minorBidi"/>
      <w:sz w:val="22"/>
      <w:szCs w:val="22"/>
    </w:rPr>
  </w:style>
  <w:style w:type="character" w:customStyle="1" w:styleId="72">
    <w:name w:val="批注主题 字符"/>
    <w:basedOn w:val="71"/>
    <w:link w:val="33"/>
    <w:autoRedefine/>
    <w:semiHidden/>
    <w:qFormat/>
    <w:uiPriority w:val="99"/>
    <w:rPr>
      <w:rFonts w:ascii="Tahoma" w:hAnsi="Tahoma" w:eastAsia="微软雅黑" w:cstheme="minorBidi"/>
      <w:b/>
      <w:bCs/>
      <w:sz w:val="22"/>
      <w:szCs w:val="22"/>
    </w:rPr>
  </w:style>
  <w:style w:type="character" w:customStyle="1" w:styleId="73">
    <w:name w:val="列表段落 字符"/>
    <w:link w:val="51"/>
    <w:autoRedefine/>
    <w:qFormat/>
    <w:uiPriority w:val="0"/>
    <w:rPr>
      <w:rFonts w:ascii="Tahoma" w:hAnsi="Tahoma" w:eastAsia="微软雅黑" w:cstheme="minorBidi"/>
      <w:sz w:val="22"/>
      <w:szCs w:val="22"/>
    </w:rPr>
  </w:style>
  <w:style w:type="character" w:customStyle="1" w:styleId="74">
    <w:name w:val="正文文本 字符"/>
    <w:basedOn w:val="38"/>
    <w:link w:val="13"/>
    <w:autoRedefine/>
    <w:qFormat/>
    <w:uiPriority w:val="1"/>
    <w:rPr>
      <w:rFonts w:ascii="宋体" w:hAnsi="宋体" w:cs="宋体"/>
      <w:sz w:val="24"/>
      <w:szCs w:val="22"/>
      <w:lang w:val="zh-CN" w:bidi="zh-CN"/>
    </w:rPr>
  </w:style>
  <w:style w:type="paragraph" w:customStyle="1" w:styleId="7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6">
    <w:name w:val="_Style 1"/>
    <w:basedOn w:val="1"/>
    <w:autoRedefine/>
    <w:qFormat/>
    <w:uiPriority w:val="0"/>
    <w:pPr>
      <w:ind w:firstLine="420" w:firstLineChars="200"/>
    </w:pPr>
  </w:style>
  <w:style w:type="paragraph" w:customStyle="1" w:styleId="77">
    <w:name w:val="列出段落2"/>
    <w:basedOn w:val="1"/>
    <w:autoRedefine/>
    <w:qFormat/>
    <w:uiPriority w:val="0"/>
    <w:pPr>
      <w:ind w:firstLine="420" w:firstLineChars="200"/>
    </w:pPr>
  </w:style>
  <w:style w:type="paragraph" w:customStyle="1" w:styleId="78">
    <w:name w:val="p0"/>
    <w:basedOn w:val="1"/>
    <w:autoRedefine/>
    <w:qFormat/>
    <w:uiPriority w:val="0"/>
    <w:rPr>
      <w:szCs w:val="21"/>
    </w:rPr>
  </w:style>
  <w:style w:type="paragraph" w:customStyle="1" w:styleId="79">
    <w:name w:val="正文文本缩进 21"/>
    <w:basedOn w:val="1"/>
    <w:autoRedefine/>
    <w:qFormat/>
    <w:uiPriority w:val="0"/>
    <w:pPr>
      <w:spacing w:line="480" w:lineRule="auto"/>
      <w:ind w:firstLine="540"/>
    </w:pPr>
    <w:rPr>
      <w:rFonts w:ascii="Calibri" w:hAnsi="Calibri"/>
      <w:sz w:val="20"/>
      <w:szCs w:val="20"/>
    </w:rPr>
  </w:style>
  <w:style w:type="paragraph" w:customStyle="1" w:styleId="80">
    <w:name w:val="_Style 2"/>
    <w:basedOn w:val="1"/>
    <w:autoRedefine/>
    <w:qFormat/>
    <w:uiPriority w:val="0"/>
    <w:pPr>
      <w:ind w:firstLine="420" w:firstLineChars="200"/>
    </w:pPr>
  </w:style>
  <w:style w:type="paragraph" w:customStyle="1" w:styleId="81">
    <w:name w:val="msolistparagraph"/>
    <w:basedOn w:val="1"/>
    <w:autoRedefine/>
    <w:qFormat/>
    <w:uiPriority w:val="0"/>
    <w:pPr>
      <w:ind w:firstLine="420" w:firstLineChars="200"/>
    </w:pPr>
    <w:rPr>
      <w:rFonts w:hint="eastAsia" w:hAnsi="宋体"/>
    </w:rPr>
  </w:style>
  <w:style w:type="character" w:customStyle="1" w:styleId="82">
    <w:name w:val="标题 5 字符"/>
    <w:link w:val="6"/>
    <w:autoRedefine/>
    <w:qFormat/>
    <w:uiPriority w:val="0"/>
    <w:rPr>
      <w:b/>
      <w:sz w:val="28"/>
    </w:rPr>
  </w:style>
  <w:style w:type="character" w:customStyle="1" w:styleId="83">
    <w:name w:val="标题 1 字符"/>
    <w:link w:val="2"/>
    <w:autoRedefine/>
    <w:qFormat/>
    <w:uiPriority w:val="9"/>
    <w:rPr>
      <w:b/>
      <w:kern w:val="44"/>
      <w:sz w:val="44"/>
    </w:rPr>
  </w:style>
  <w:style w:type="paragraph" w:customStyle="1" w:styleId="84">
    <w:name w:val="修订1"/>
    <w:autoRedefine/>
    <w:hidden/>
    <w:semiHidden/>
    <w:qFormat/>
    <w:uiPriority w:val="99"/>
    <w:rPr>
      <w:rFonts w:ascii="Tahoma" w:hAnsi="Tahoma" w:eastAsia="宋体" w:cstheme="minorBidi"/>
      <w:sz w:val="21"/>
      <w:szCs w:val="22"/>
      <w:lang w:val="en-US" w:eastAsia="zh-CN" w:bidi="ar-SA"/>
    </w:rPr>
  </w:style>
  <w:style w:type="paragraph" w:customStyle="1" w:styleId="85">
    <w:name w:val="表格文字"/>
    <w:basedOn w:val="1"/>
    <w:autoRedefine/>
    <w:qFormat/>
    <w:uiPriority w:val="0"/>
    <w:pPr>
      <w:adjustRightInd/>
      <w:spacing w:before="25" w:after="25"/>
    </w:pPr>
    <w:rPr>
      <w:rFonts w:ascii="Times New Roman"/>
      <w:bCs/>
      <w:spacing w:val="10"/>
      <w:szCs w:val="20"/>
    </w:rPr>
  </w:style>
  <w:style w:type="paragraph" w:customStyle="1" w:styleId="86">
    <w:name w:val="纯文本1"/>
    <w:basedOn w:val="87"/>
    <w:autoRedefine/>
    <w:qFormat/>
    <w:uiPriority w:val="0"/>
    <w:rPr>
      <w:rFonts w:ascii="宋体" w:hAnsi="Courier New"/>
      <w:szCs w:val="20"/>
    </w:rPr>
  </w:style>
  <w:style w:type="paragraph" w:customStyle="1" w:styleId="87">
    <w:name w:val="正文 New"/>
    <w:autoRedefine/>
    <w:qFormat/>
    <w:uiPriority w:val="99"/>
    <w:pPr>
      <w:widowControl w:val="0"/>
      <w:spacing w:line="360" w:lineRule="auto"/>
      <w:jc w:val="both"/>
    </w:pPr>
    <w:rPr>
      <w:rFonts w:ascii="Times New Roman" w:hAnsi="Times New Roman" w:eastAsia="宋体" w:cs="黑体"/>
      <w:kern w:val="2"/>
      <w:sz w:val="21"/>
      <w:szCs w:val="22"/>
      <w:lang w:val="en-US" w:eastAsia="zh-CN" w:bidi="ar-SA"/>
    </w:rPr>
  </w:style>
  <w:style w:type="paragraph" w:customStyle="1" w:styleId="88">
    <w:name w:val="正文2"/>
    <w:autoRedefine/>
    <w:qFormat/>
    <w:uiPriority w:val="0"/>
    <w:pPr>
      <w:jc w:val="both"/>
    </w:pPr>
    <w:rPr>
      <w:rFonts w:ascii="Times New Roman" w:hAnsi="Times New Roman" w:eastAsia="宋体" w:cs="Times New Roman"/>
      <w:kern w:val="2"/>
      <w:sz w:val="21"/>
      <w:szCs w:val="21"/>
      <w:lang w:val="en-US" w:eastAsia="zh-CN" w:bidi="ar-SA"/>
    </w:rPr>
  </w:style>
  <w:style w:type="table" w:customStyle="1" w:styleId="89">
    <w:name w:val="Table Normal"/>
    <w:autoRedefine/>
    <w:unhideWhenUsed/>
    <w:qFormat/>
    <w:uiPriority w:val="2"/>
    <w:tblPr>
      <w:tblCellMar>
        <w:top w:w="0" w:type="dxa"/>
        <w:left w:w="0" w:type="dxa"/>
        <w:bottom w:w="0" w:type="dxa"/>
        <w:right w:w="0" w:type="dxa"/>
      </w:tblCellMar>
    </w:tblPr>
  </w:style>
  <w:style w:type="paragraph" w:customStyle="1" w:styleId="90">
    <w:name w:val="Table Paragraph"/>
    <w:basedOn w:val="1"/>
    <w:autoRedefine/>
    <w:qFormat/>
    <w:uiPriority w:val="1"/>
  </w:style>
  <w:style w:type="paragraph" w:customStyle="1" w:styleId="91">
    <w:name w:val="正文文本缩进1"/>
    <w:basedOn w:val="87"/>
    <w:autoRedefine/>
    <w:qFormat/>
    <w:uiPriority w:val="0"/>
    <w:pPr>
      <w:spacing w:after="120"/>
      <w:ind w:left="420" w:leftChars="200"/>
    </w:pPr>
  </w:style>
  <w:style w:type="paragraph" w:customStyle="1" w:styleId="92">
    <w:name w:val="正文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93">
    <w:name w:val="纯文本2"/>
    <w:basedOn w:val="87"/>
    <w:autoRedefine/>
    <w:qFormat/>
    <w:uiPriority w:val="0"/>
    <w:rPr>
      <w:rFonts w:ascii="宋体" w:hAnsi="Courier New"/>
      <w:szCs w:val="20"/>
    </w:rPr>
  </w:style>
  <w:style w:type="character" w:customStyle="1" w:styleId="94">
    <w:name w:val="font141"/>
    <w:autoRedefine/>
    <w:qFormat/>
    <w:uiPriority w:val="0"/>
    <w:rPr>
      <w:rFonts w:hint="default" w:ascii="Times New Roman" w:hAnsi="Times New Roman" w:cs="Times New Roman"/>
      <w:color w:val="000000"/>
      <w:sz w:val="18"/>
      <w:szCs w:val="18"/>
      <w:u w:val="none"/>
    </w:rPr>
  </w:style>
  <w:style w:type="character" w:customStyle="1" w:styleId="95">
    <w:name w:val="font71"/>
    <w:autoRedefine/>
    <w:qFormat/>
    <w:uiPriority w:val="0"/>
    <w:rPr>
      <w:rFonts w:hint="eastAsia" w:ascii="宋体" w:hAnsi="宋体" w:eastAsia="宋体" w:cs="宋体"/>
      <w:color w:val="000000"/>
      <w:sz w:val="18"/>
      <w:szCs w:val="18"/>
      <w:u w:val="none"/>
    </w:rPr>
  </w:style>
  <w:style w:type="paragraph" w:customStyle="1" w:styleId="96">
    <w:name w:val="保留正文"/>
    <w:basedOn w:val="13"/>
    <w:autoRedefine/>
    <w:qFormat/>
    <w:uiPriority w:val="0"/>
    <w:pPr>
      <w:keepNext/>
      <w:adjustRightInd/>
      <w:spacing w:after="160"/>
      <w:jc w:val="both"/>
    </w:pPr>
    <w:rPr>
      <w:rFonts w:ascii="Times New Roman"/>
      <w:sz w:val="21"/>
      <w:szCs w:val="24"/>
      <w:lang w:val="en-US"/>
    </w:rPr>
  </w:style>
  <w:style w:type="paragraph" w:customStyle="1" w:styleId="97">
    <w:name w:val="样式3"/>
    <w:basedOn w:val="21"/>
    <w:autoRedefine/>
    <w:qFormat/>
    <w:uiPriority w:val="0"/>
    <w:pPr>
      <w:ind w:left="0"/>
      <w:jc w:val="left"/>
    </w:pPr>
    <w:rPr>
      <w:rFonts w:ascii="宋体" w:hAnsi="宋体"/>
      <w:b/>
      <w:bCs/>
      <w:sz w:val="28"/>
      <w:szCs w:val="24"/>
    </w:rPr>
  </w:style>
  <w:style w:type="paragraph" w:customStyle="1" w:styleId="98">
    <w:name w:val="列表段落1"/>
    <w:basedOn w:val="1"/>
    <w:autoRedefine/>
    <w:qFormat/>
    <w:uiPriority w:val="34"/>
    <w:pPr>
      <w:ind w:firstLine="420" w:firstLineChars="200"/>
    </w:pPr>
    <w:rPr>
      <w:szCs w:val="20"/>
    </w:rPr>
  </w:style>
  <w:style w:type="paragraph" w:customStyle="1" w:styleId="99">
    <w:name w:val="样式 标题 3 + (中文) 黑体 小四 非加粗 段前: 7.8 磅 段后: 0 磅 行距: 固定值 20 磅"/>
    <w:basedOn w:val="4"/>
    <w:autoRedefine/>
    <w:qFormat/>
    <w:uiPriority w:val="0"/>
    <w:pPr>
      <w:spacing w:before="0" w:after="0" w:line="400" w:lineRule="exact"/>
    </w:pPr>
    <w:rPr>
      <w:rFonts w:eastAsia="黑体" w:cs="宋体"/>
      <w:sz w:val="24"/>
      <w:szCs w:val="20"/>
    </w:rPr>
  </w:style>
  <w:style w:type="paragraph" w:customStyle="1" w:styleId="100">
    <w:name w:val="无间隔1"/>
    <w:autoRedefine/>
    <w:qFormat/>
    <w:uiPriority w:val="1"/>
    <w:pPr>
      <w:widowControl w:val="0"/>
      <w:spacing w:line="300" w:lineRule="exact"/>
    </w:pPr>
    <w:rPr>
      <w:rFonts w:ascii="仿宋_GB2312" w:hAnsi="宋体" w:eastAsia="仿宋_GB2312" w:cs="Times New Roman"/>
      <w:color w:val="FF0000"/>
      <w:kern w:val="2"/>
      <w:sz w:val="24"/>
      <w:szCs w:val="24"/>
      <w:lang w:val="en-US" w:eastAsia="zh-CN" w:bidi="ar-SA"/>
    </w:rPr>
  </w:style>
  <w:style w:type="character" w:customStyle="1" w:styleId="101">
    <w:name w:val="font41"/>
    <w:autoRedefine/>
    <w:qFormat/>
    <w:uiPriority w:val="0"/>
    <w:rPr>
      <w:rFonts w:hint="eastAsia" w:ascii="宋体" w:hAnsi="宋体" w:eastAsia="宋体" w:cs="宋体"/>
      <w:color w:val="000000"/>
      <w:sz w:val="20"/>
      <w:szCs w:val="20"/>
      <w:u w:val="none"/>
    </w:rPr>
  </w:style>
  <w:style w:type="table" w:customStyle="1" w:styleId="102">
    <w:name w:val="Grid Table 4 Accent 1"/>
    <w:basedOn w:val="36"/>
    <w:qFormat/>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paragraph" w:customStyle="1" w:styleId="103">
    <w:name w:val="Char"/>
    <w:basedOn w:val="1"/>
    <w:next w:val="18"/>
    <w:qFormat/>
    <w:uiPriority w:val="0"/>
    <w:pPr>
      <w:widowControl/>
      <w:autoSpaceDE/>
      <w:autoSpaceDN/>
      <w:adjustRightInd/>
      <w:spacing w:line="400" w:lineRule="exact"/>
      <w:jc w:val="center"/>
    </w:pPr>
    <w:rPr>
      <w:rFonts w:ascii="Times New Roman"/>
      <w:sz w:val="21"/>
      <w:szCs w:val="20"/>
    </w:rPr>
  </w:style>
  <w:style w:type="paragraph" w:customStyle="1" w:styleId="104">
    <w:name w:val="Blockquote"/>
    <w:basedOn w:val="1"/>
    <w:qFormat/>
    <w:uiPriority w:val="0"/>
    <w:pPr>
      <w:spacing w:before="100" w:after="100"/>
      <w:ind w:left="360" w:right="360"/>
    </w:pPr>
    <w:rPr>
      <w:rFonts w:asci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emf"/><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113</Pages>
  <Words>3309</Words>
  <Characters>3870</Characters>
  <Lines>422</Lines>
  <Paragraphs>118</Paragraphs>
  <TotalTime>0</TotalTime>
  <ScaleCrop>false</ScaleCrop>
  <LinksUpToDate>false</LinksUpToDate>
  <CharactersWithSpaces>4039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2023-09-25T17:17:00Z</dcterms:created>
  <dc:creator>Administrator</dc:creator>
  <cp:lastModifiedBy>WPS_1573530454</cp:lastModifiedBy>
  <cp:lastPrinted>2024-04-25T04:22:00Z</cp:lastPrinted>
  <dcterms:modified xsi:type="dcterms:W3CDTF">2024-11-28T03:32:01Z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3CE04136636D4AB8A2EA96E633EA1A45_13</vt:lpwstr>
  </property>
</Properties>
</file>