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5AE28">
      <w:pPr>
        <w:widowControl/>
        <w:shd w:val="clear"/>
        <w:spacing w:line="360" w:lineRule="auto"/>
        <w:ind w:right="-26"/>
        <w:jc w:val="center"/>
        <w:textAlignment w:val="bottom"/>
        <w:rPr>
          <w:rFonts w:hint="eastAsia" w:ascii="宋体" w:hAnsi="宋体" w:eastAsia="宋体" w:cs="宋体"/>
          <w:b/>
          <w:color w:val="auto"/>
          <w:sz w:val="52"/>
          <w:szCs w:val="52"/>
          <w:highlight w:val="none"/>
        </w:rPr>
      </w:pPr>
    </w:p>
    <w:p w14:paraId="1A295DF8">
      <w:pPr>
        <w:pStyle w:val="21"/>
        <w:shd w:val="clear"/>
        <w:rPr>
          <w:rFonts w:hint="eastAsia" w:ascii="宋体" w:hAnsi="宋体" w:eastAsia="宋体" w:cs="宋体"/>
          <w:color w:val="auto"/>
          <w:highlight w:val="none"/>
        </w:rPr>
      </w:pPr>
    </w:p>
    <w:p w14:paraId="583E3CF3">
      <w:pPr>
        <w:widowControl/>
        <w:shd w:val="clear"/>
        <w:spacing w:line="360" w:lineRule="auto"/>
        <w:ind w:right="-26"/>
        <w:jc w:val="center"/>
        <w:textAlignment w:val="bottom"/>
        <w:rPr>
          <w:rFonts w:hint="eastAsia" w:ascii="宋体" w:hAnsi="宋体" w:eastAsia="宋体" w:cs="宋体"/>
          <w:b/>
          <w:color w:val="auto"/>
          <w:sz w:val="72"/>
          <w:highlight w:val="none"/>
        </w:rPr>
      </w:pPr>
    </w:p>
    <w:p w14:paraId="088EE04F">
      <w:pPr>
        <w:shd w:val="clear"/>
        <w:snapToGrid w:val="0"/>
        <w:jc w:val="center"/>
        <w:outlineLvl w:val="0"/>
        <w:rPr>
          <w:rFonts w:hint="eastAsia" w:ascii="宋体" w:hAnsi="宋体" w:eastAsia="宋体" w:cs="宋体"/>
          <w:b/>
          <w:bCs/>
          <w:color w:val="auto"/>
          <w:sz w:val="72"/>
          <w:szCs w:val="72"/>
          <w:highlight w:val="none"/>
        </w:rPr>
      </w:pPr>
      <w:bookmarkStart w:id="0" w:name="_Toc5586"/>
      <w:r>
        <w:rPr>
          <w:rFonts w:hint="eastAsia" w:ascii="宋体" w:hAnsi="宋体" w:eastAsia="宋体" w:cs="宋体"/>
          <w:b/>
          <w:bCs/>
          <w:color w:val="auto"/>
          <w:sz w:val="72"/>
          <w:szCs w:val="72"/>
          <w:highlight w:val="none"/>
        </w:rPr>
        <w:t>竞争性磋商文件</w:t>
      </w:r>
      <w:bookmarkEnd w:id="0"/>
    </w:p>
    <w:p w14:paraId="5BC15E2E">
      <w:pPr>
        <w:widowControl/>
        <w:shd w:val="clear"/>
        <w:spacing w:line="360" w:lineRule="auto"/>
        <w:ind w:right="-26"/>
        <w:jc w:val="center"/>
        <w:textAlignment w:val="bottom"/>
        <w:rPr>
          <w:rFonts w:hint="eastAsia" w:ascii="宋体" w:hAnsi="宋体" w:eastAsia="宋体" w:cs="宋体"/>
          <w:b/>
          <w:color w:val="auto"/>
          <w:sz w:val="44"/>
          <w:highlight w:val="none"/>
        </w:rPr>
      </w:pPr>
    </w:p>
    <w:p w14:paraId="649672DC">
      <w:pPr>
        <w:widowControl/>
        <w:shd w:val="clear"/>
        <w:spacing w:line="360" w:lineRule="auto"/>
        <w:ind w:right="-26"/>
        <w:jc w:val="center"/>
        <w:textAlignment w:val="bottom"/>
        <w:rPr>
          <w:rFonts w:hint="eastAsia" w:ascii="宋体" w:hAnsi="宋体" w:eastAsia="宋体" w:cs="宋体"/>
          <w:b/>
          <w:color w:val="auto"/>
          <w:sz w:val="44"/>
          <w:highlight w:val="none"/>
        </w:rPr>
      </w:pPr>
    </w:p>
    <w:p w14:paraId="7476ABE2">
      <w:pPr>
        <w:widowControl/>
        <w:shd w:val="clear"/>
        <w:spacing w:line="360" w:lineRule="auto"/>
        <w:ind w:right="-26"/>
        <w:jc w:val="center"/>
        <w:textAlignment w:val="bottom"/>
        <w:rPr>
          <w:rFonts w:hint="eastAsia" w:ascii="宋体" w:hAnsi="宋体" w:eastAsia="宋体" w:cs="宋体"/>
          <w:b/>
          <w:color w:val="auto"/>
          <w:sz w:val="44"/>
          <w:highlight w:val="none"/>
        </w:rPr>
      </w:pPr>
    </w:p>
    <w:p w14:paraId="15CBE55E">
      <w:pPr>
        <w:widowControl/>
        <w:shd w:val="clear"/>
        <w:spacing w:line="360" w:lineRule="auto"/>
        <w:ind w:right="-26"/>
        <w:jc w:val="center"/>
        <w:textAlignment w:val="bottom"/>
        <w:rPr>
          <w:rFonts w:hint="eastAsia" w:ascii="宋体" w:hAnsi="宋体" w:eastAsia="宋体" w:cs="宋体"/>
          <w:b/>
          <w:color w:val="auto"/>
          <w:sz w:val="44"/>
          <w:highlight w:val="none"/>
        </w:rPr>
      </w:pPr>
      <w:r>
        <w:rPr>
          <w:rFonts w:hint="eastAsia" w:ascii="宋体" w:hAnsi="宋体" w:eastAsia="宋体" w:cs="宋体"/>
          <w:color w:val="auto"/>
          <w:sz w:val="44"/>
          <w:highlight w:val="none"/>
        </w:rPr>
        <mc:AlternateContent>
          <mc:Choice Requires="wps">
            <w:drawing>
              <wp:anchor distT="0" distB="0" distL="114300" distR="114300" simplePos="0" relativeHeight="251660288" behindDoc="1" locked="0" layoutInCell="1" allowOverlap="1">
                <wp:simplePos x="0" y="0"/>
                <wp:positionH relativeFrom="column">
                  <wp:posOffset>181610</wp:posOffset>
                </wp:positionH>
                <wp:positionV relativeFrom="paragraph">
                  <wp:posOffset>213995</wp:posOffset>
                </wp:positionV>
                <wp:extent cx="4991735" cy="1652905"/>
                <wp:effectExtent l="0" t="0" r="18415" b="4445"/>
                <wp:wrapNone/>
                <wp:docPr id="3" name="文本框 6"/>
                <wp:cNvGraphicFramePr/>
                <a:graphic xmlns:a="http://schemas.openxmlformats.org/drawingml/2006/main">
                  <a:graphicData uri="http://schemas.microsoft.com/office/word/2010/wordprocessingShape">
                    <wps:wsp>
                      <wps:cNvSpPr txBox="1"/>
                      <wps:spPr>
                        <a:xfrm>
                          <a:off x="0" y="0"/>
                          <a:ext cx="4991735" cy="1652905"/>
                        </a:xfrm>
                        <a:prstGeom prst="rect">
                          <a:avLst/>
                        </a:prstGeom>
                        <a:gradFill rotWithShape="0">
                          <a:gsLst>
                            <a:gs pos="0">
                              <a:srgbClr val="FFFFFF"/>
                            </a:gs>
                            <a:gs pos="100000">
                              <a:srgbClr val="FFFFFF"/>
                            </a:gs>
                          </a:gsLst>
                          <a:lin ang="0"/>
                          <a:tileRect/>
                        </a:gradFill>
                        <a:ln w="15875">
                          <a:noFill/>
                        </a:ln>
                        <a:effectLst/>
                      </wps:spPr>
                      <wps:txbx>
                        <w:txbxContent>
                          <w:p w14:paraId="070926A9">
                            <w:pPr>
                              <w:widowControl/>
                              <w:spacing w:line="360" w:lineRule="auto"/>
                              <w:ind w:left="1606" w:right="-26" w:hanging="1606" w:hangingChars="500"/>
                              <w:jc w:val="both"/>
                              <w:textAlignment w:val="bottom"/>
                              <w:rPr>
                                <w:rFonts w:hint="eastAsia" w:ascii="宋体" w:hAnsi="宋体" w:eastAsia="宋体" w:cs="宋体"/>
                                <w:b/>
                                <w:sz w:val="32"/>
                                <w:lang w:eastAsia="zh-CN"/>
                              </w:rPr>
                            </w:pPr>
                            <w:r>
                              <w:rPr>
                                <w:rFonts w:hint="eastAsia" w:ascii="宋体" w:hAnsi="宋体" w:eastAsia="宋体" w:cs="宋体"/>
                                <w:b/>
                                <w:sz w:val="32"/>
                              </w:rPr>
                              <w:t>项目名称：</w:t>
                            </w:r>
                            <w:r>
                              <w:rPr>
                                <w:rFonts w:hint="eastAsia" w:ascii="宋体" w:hAnsi="宋体" w:eastAsia="宋体" w:cs="宋体"/>
                                <w:b/>
                                <w:sz w:val="32"/>
                                <w:lang w:val="en-US" w:eastAsia="zh-CN"/>
                              </w:rPr>
                              <w:t>大岭山大塘村优质产业空间项目（南地块）一期</w:t>
                            </w:r>
                            <w:r>
                              <w:rPr>
                                <w:rFonts w:hint="eastAsia" w:ascii="宋体" w:hAnsi="宋体" w:eastAsia="宋体" w:cs="宋体"/>
                                <w:b/>
                                <w:sz w:val="32"/>
                              </w:rPr>
                              <w:t>项目桩基础检测服务</w:t>
                            </w:r>
                          </w:p>
                          <w:p w14:paraId="0371235D">
                            <w:pPr>
                              <w:widowControl/>
                              <w:spacing w:line="360" w:lineRule="auto"/>
                              <w:ind w:left="1606" w:right="-26" w:hanging="1606" w:hangingChars="500"/>
                              <w:jc w:val="both"/>
                              <w:textAlignment w:val="bottom"/>
                              <w:rPr>
                                <w:rFonts w:hint="eastAsia" w:ascii="宋体" w:hAnsi="宋体" w:eastAsia="宋体" w:cs="宋体"/>
                                <w:b/>
                                <w:sz w:val="32"/>
                                <w:lang w:val="en-US" w:eastAsia="zh-CN"/>
                              </w:rPr>
                            </w:pPr>
                            <w:r>
                              <w:rPr>
                                <w:rFonts w:hint="eastAsia" w:ascii="宋体" w:hAnsi="宋体" w:eastAsia="宋体" w:cs="宋体"/>
                                <w:b/>
                                <w:sz w:val="32"/>
                              </w:rPr>
                              <w:t>项目编号：</w:t>
                            </w:r>
                            <w:r>
                              <w:rPr>
                                <w:rFonts w:hint="eastAsia" w:ascii="宋体" w:hAnsi="宋体" w:eastAsia="宋体" w:cs="宋体"/>
                                <w:b/>
                                <w:sz w:val="32"/>
                                <w:lang w:val="en-US" w:eastAsia="zh-CN"/>
                              </w:rPr>
                              <w:t>DGQS-DT-03-018-020（2024)</w:t>
                            </w:r>
                          </w:p>
                          <w:p w14:paraId="46763E48">
                            <w:pPr>
                              <w:widowControl/>
                              <w:spacing w:line="360" w:lineRule="auto"/>
                              <w:ind w:right="-26"/>
                              <w:textAlignment w:val="bottom"/>
                              <w:rPr>
                                <w:rFonts w:hint="eastAsia" w:ascii="宋体" w:hAnsi="宋体" w:eastAsia="宋体" w:cs="宋体"/>
                                <w:b/>
                                <w:sz w:val="32"/>
                                <w:lang w:eastAsia="zh-CN"/>
                              </w:rPr>
                            </w:pPr>
                            <w:r>
                              <w:rPr>
                                <w:rFonts w:hint="eastAsia" w:ascii="宋体" w:hAnsi="宋体" w:eastAsia="宋体" w:cs="宋体"/>
                                <w:b/>
                                <w:sz w:val="32"/>
                              </w:rPr>
                              <w:t>采 购 人：</w:t>
                            </w:r>
                            <w:r>
                              <w:rPr>
                                <w:rFonts w:hint="eastAsia" w:ascii="宋体" w:hAnsi="宋体" w:eastAsia="宋体" w:cs="宋体"/>
                                <w:b/>
                                <w:sz w:val="32"/>
                                <w:lang w:val="en-US" w:eastAsia="zh-CN"/>
                              </w:rPr>
                              <w:t>东莞市旗创产业投资有限公司</w:t>
                            </w:r>
                          </w:p>
                          <w:p w14:paraId="753400F6"/>
                        </w:txbxContent>
                      </wps:txbx>
                      <wps:bodyPr upright="1"/>
                    </wps:wsp>
                  </a:graphicData>
                </a:graphic>
              </wp:anchor>
            </w:drawing>
          </mc:Choice>
          <mc:Fallback>
            <w:pict>
              <v:shape id="文本框 6" o:spid="_x0000_s1026" o:spt="202" type="#_x0000_t202" style="position:absolute;left:0pt;margin-left:14.3pt;margin-top:16.85pt;height:130.15pt;width:393.05pt;z-index:-251656192;mso-width-relative:page;mso-height-relative:page;" fillcolor="#FFFFFF" filled="t" stroked="f" coordsize="21600,21600" o:gfxdata="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&#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03So2gAAAAkBAAAPAAAAAAAAAAEAIAAAACIAAABk&#10;cnMvZG93bnJldi54bWxQSwECFAAUAAAACACHTuJAD2XGmwQCAAAXBAAADgAAAAAAAAABACAAAAAp&#10;AQAAZHJzL2Uyb0RvYy54bWxQSwUGAAAAAAYABgBZAQAAnwUAAAAA&#10;">
                <v:fill type="gradient" on="t" color2="#FFFFFF" angle="90" focus="100%" focussize="0,0">
                  <o:fill type="gradientUnscaled" v:ext="backwardCompatible"/>
                </v:fill>
                <v:stroke on="f" weight="1.25pt"/>
                <v:imagedata o:title=""/>
                <o:lock v:ext="edit" aspectratio="f"/>
                <v:textbox>
                  <w:txbxContent>
                    <w:p w14:paraId="070926A9">
                      <w:pPr>
                        <w:widowControl/>
                        <w:spacing w:line="360" w:lineRule="auto"/>
                        <w:ind w:left="1606" w:right="-26" w:hanging="1606" w:hangingChars="500"/>
                        <w:jc w:val="both"/>
                        <w:textAlignment w:val="bottom"/>
                        <w:rPr>
                          <w:rFonts w:hint="eastAsia" w:ascii="宋体" w:hAnsi="宋体" w:eastAsia="宋体" w:cs="宋体"/>
                          <w:b/>
                          <w:sz w:val="32"/>
                          <w:lang w:eastAsia="zh-CN"/>
                        </w:rPr>
                      </w:pPr>
                      <w:r>
                        <w:rPr>
                          <w:rFonts w:hint="eastAsia" w:ascii="宋体" w:hAnsi="宋体" w:eastAsia="宋体" w:cs="宋体"/>
                          <w:b/>
                          <w:sz w:val="32"/>
                        </w:rPr>
                        <w:t>项目名称：</w:t>
                      </w:r>
                      <w:r>
                        <w:rPr>
                          <w:rFonts w:hint="eastAsia" w:ascii="宋体" w:hAnsi="宋体" w:eastAsia="宋体" w:cs="宋体"/>
                          <w:b/>
                          <w:sz w:val="32"/>
                          <w:lang w:val="en-US" w:eastAsia="zh-CN"/>
                        </w:rPr>
                        <w:t>大岭山大塘村优质产业空间项目（南地块）一期</w:t>
                      </w:r>
                      <w:r>
                        <w:rPr>
                          <w:rFonts w:hint="eastAsia" w:ascii="宋体" w:hAnsi="宋体" w:eastAsia="宋体" w:cs="宋体"/>
                          <w:b/>
                          <w:sz w:val="32"/>
                        </w:rPr>
                        <w:t>项目桩基础检测服务</w:t>
                      </w:r>
                    </w:p>
                    <w:p w14:paraId="0371235D">
                      <w:pPr>
                        <w:widowControl/>
                        <w:spacing w:line="360" w:lineRule="auto"/>
                        <w:ind w:left="1606" w:right="-26" w:hanging="1606" w:hangingChars="500"/>
                        <w:jc w:val="both"/>
                        <w:textAlignment w:val="bottom"/>
                        <w:rPr>
                          <w:rFonts w:hint="eastAsia" w:ascii="宋体" w:hAnsi="宋体" w:eastAsia="宋体" w:cs="宋体"/>
                          <w:b/>
                          <w:sz w:val="32"/>
                          <w:lang w:val="en-US" w:eastAsia="zh-CN"/>
                        </w:rPr>
                      </w:pPr>
                      <w:r>
                        <w:rPr>
                          <w:rFonts w:hint="eastAsia" w:ascii="宋体" w:hAnsi="宋体" w:eastAsia="宋体" w:cs="宋体"/>
                          <w:b/>
                          <w:sz w:val="32"/>
                        </w:rPr>
                        <w:t>项目编号：</w:t>
                      </w:r>
                      <w:r>
                        <w:rPr>
                          <w:rFonts w:hint="eastAsia" w:ascii="宋体" w:hAnsi="宋体" w:eastAsia="宋体" w:cs="宋体"/>
                          <w:b/>
                          <w:sz w:val="32"/>
                          <w:lang w:val="en-US" w:eastAsia="zh-CN"/>
                        </w:rPr>
                        <w:t>DGQS-DT-03-018-020（2024)</w:t>
                      </w:r>
                    </w:p>
                    <w:p w14:paraId="46763E48">
                      <w:pPr>
                        <w:widowControl/>
                        <w:spacing w:line="360" w:lineRule="auto"/>
                        <w:ind w:right="-26"/>
                        <w:textAlignment w:val="bottom"/>
                        <w:rPr>
                          <w:rFonts w:hint="eastAsia" w:ascii="宋体" w:hAnsi="宋体" w:eastAsia="宋体" w:cs="宋体"/>
                          <w:b/>
                          <w:sz w:val="32"/>
                          <w:lang w:eastAsia="zh-CN"/>
                        </w:rPr>
                      </w:pPr>
                      <w:r>
                        <w:rPr>
                          <w:rFonts w:hint="eastAsia" w:ascii="宋体" w:hAnsi="宋体" w:eastAsia="宋体" w:cs="宋体"/>
                          <w:b/>
                          <w:sz w:val="32"/>
                        </w:rPr>
                        <w:t>采 购 人：</w:t>
                      </w:r>
                      <w:r>
                        <w:rPr>
                          <w:rFonts w:hint="eastAsia" w:ascii="宋体" w:hAnsi="宋体" w:eastAsia="宋体" w:cs="宋体"/>
                          <w:b/>
                          <w:sz w:val="32"/>
                          <w:lang w:val="en-US" w:eastAsia="zh-CN"/>
                        </w:rPr>
                        <w:t>东莞市旗创产业投资有限公司</w:t>
                      </w:r>
                    </w:p>
                    <w:p w14:paraId="753400F6"/>
                  </w:txbxContent>
                </v:textbox>
              </v:shape>
            </w:pict>
          </mc:Fallback>
        </mc:AlternateContent>
      </w:r>
    </w:p>
    <w:p w14:paraId="08AEFF87">
      <w:pPr>
        <w:widowControl/>
        <w:shd w:val="clear"/>
        <w:spacing w:line="360" w:lineRule="auto"/>
        <w:ind w:right="-26"/>
        <w:jc w:val="center"/>
        <w:textAlignment w:val="bottom"/>
        <w:rPr>
          <w:rFonts w:hint="eastAsia" w:ascii="宋体" w:hAnsi="宋体" w:eastAsia="宋体" w:cs="宋体"/>
          <w:b/>
          <w:color w:val="auto"/>
          <w:sz w:val="44"/>
          <w:highlight w:val="none"/>
        </w:rPr>
      </w:pPr>
    </w:p>
    <w:p w14:paraId="26A8648B">
      <w:pPr>
        <w:widowControl/>
        <w:shd w:val="clear"/>
        <w:spacing w:line="360" w:lineRule="auto"/>
        <w:ind w:right="-26"/>
        <w:jc w:val="center"/>
        <w:textAlignment w:val="bottom"/>
        <w:rPr>
          <w:rFonts w:hint="eastAsia" w:ascii="宋体" w:hAnsi="宋体" w:eastAsia="宋体" w:cs="宋体"/>
          <w:b/>
          <w:color w:val="auto"/>
          <w:sz w:val="44"/>
          <w:highlight w:val="none"/>
        </w:rPr>
      </w:pPr>
    </w:p>
    <w:p w14:paraId="130777B8">
      <w:pPr>
        <w:widowControl/>
        <w:shd w:val="clear"/>
        <w:spacing w:line="360" w:lineRule="auto"/>
        <w:ind w:right="-26"/>
        <w:jc w:val="center"/>
        <w:textAlignment w:val="bottom"/>
        <w:rPr>
          <w:rFonts w:hint="eastAsia" w:ascii="宋体" w:hAnsi="宋体" w:eastAsia="宋体" w:cs="宋体"/>
          <w:b/>
          <w:color w:val="auto"/>
          <w:sz w:val="44"/>
          <w:highlight w:val="none"/>
        </w:rPr>
      </w:pPr>
    </w:p>
    <w:p w14:paraId="5F7E2173">
      <w:pPr>
        <w:widowControl/>
        <w:shd w:val="clear"/>
        <w:spacing w:line="360" w:lineRule="auto"/>
        <w:ind w:right="-26"/>
        <w:jc w:val="center"/>
        <w:textAlignment w:val="bottom"/>
        <w:rPr>
          <w:rFonts w:hint="eastAsia" w:ascii="宋体" w:hAnsi="宋体" w:eastAsia="宋体" w:cs="宋体"/>
          <w:b/>
          <w:color w:val="auto"/>
          <w:sz w:val="44"/>
          <w:highlight w:val="none"/>
        </w:rPr>
      </w:pPr>
    </w:p>
    <w:p w14:paraId="217FAE4F">
      <w:pPr>
        <w:widowControl/>
        <w:shd w:val="clear"/>
        <w:spacing w:line="360" w:lineRule="auto"/>
        <w:ind w:right="-26"/>
        <w:jc w:val="center"/>
        <w:textAlignment w:val="bottom"/>
        <w:rPr>
          <w:rFonts w:hint="eastAsia" w:ascii="宋体" w:hAnsi="宋体" w:eastAsia="宋体" w:cs="宋体"/>
          <w:b/>
          <w:color w:val="auto"/>
          <w:sz w:val="44"/>
          <w:highlight w:val="none"/>
        </w:rPr>
      </w:pPr>
    </w:p>
    <w:p w14:paraId="6DB14F53">
      <w:pPr>
        <w:widowControl/>
        <w:shd w:val="clear"/>
        <w:spacing w:line="360" w:lineRule="auto"/>
        <w:ind w:right="-26"/>
        <w:textAlignment w:val="bottom"/>
        <w:rPr>
          <w:rFonts w:hint="eastAsia" w:ascii="宋体" w:hAnsi="宋体" w:eastAsia="宋体" w:cs="宋体"/>
          <w:b/>
          <w:color w:val="auto"/>
          <w:sz w:val="32"/>
          <w:highlight w:val="none"/>
        </w:rPr>
      </w:pPr>
    </w:p>
    <w:p w14:paraId="2CC7EFB7">
      <w:pPr>
        <w:widowControl/>
        <w:shd w:val="clear"/>
        <w:spacing w:line="360" w:lineRule="auto"/>
        <w:ind w:right="-26" w:firstLine="2249" w:firstLineChars="700"/>
        <w:textAlignment w:val="bottom"/>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lang w:eastAsia="zh-CN"/>
        </w:rPr>
        <w:t>广东志合项目管理有限公司</w:t>
      </w:r>
      <w:r>
        <w:rPr>
          <w:rFonts w:hint="eastAsia" w:ascii="宋体" w:hAnsi="宋体" w:eastAsia="宋体" w:cs="宋体"/>
          <w:b/>
          <w:color w:val="auto"/>
          <w:sz w:val="32"/>
          <w:highlight w:val="none"/>
        </w:rPr>
        <w:t xml:space="preserve"> </w:t>
      </w:r>
    </w:p>
    <w:p w14:paraId="565615CA">
      <w:pPr>
        <w:widowControl/>
        <w:shd w:val="clear"/>
        <w:spacing w:line="360" w:lineRule="auto"/>
        <w:ind w:right="-26" w:hanging="480"/>
        <w:jc w:val="center"/>
        <w:textAlignment w:val="bottom"/>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r>
        <w:rPr>
          <w:rFonts w:hint="eastAsia" w:ascii="宋体" w:hAnsi="宋体" w:eastAsia="宋体" w:cs="宋体"/>
          <w:b/>
          <w:color w:val="auto"/>
          <w:sz w:val="32"/>
          <w:highlight w:val="none"/>
          <w:lang w:eastAsia="zh-CN"/>
        </w:rPr>
        <w:t>二〇二四</w:t>
      </w: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lang w:val="en-US" w:eastAsia="zh-CN"/>
        </w:rPr>
        <w:t>十一</w:t>
      </w:r>
      <w:r>
        <w:rPr>
          <w:rFonts w:hint="eastAsia" w:ascii="宋体" w:hAnsi="宋体" w:eastAsia="宋体" w:cs="宋体"/>
          <w:b/>
          <w:color w:val="auto"/>
          <w:sz w:val="32"/>
          <w:highlight w:val="none"/>
        </w:rPr>
        <w:t>月</w:t>
      </w:r>
    </w:p>
    <w:p w14:paraId="7849750B">
      <w:pPr>
        <w:pStyle w:val="2"/>
        <w:ind w:left="0" w:leftChars="0" w:firstLine="0" w:firstLineChars="0"/>
        <w:rPr>
          <w:rFonts w:hint="eastAsia" w:ascii="宋体" w:hAnsi="宋体" w:eastAsia="宋体" w:cs="宋体"/>
          <w:color w:val="auto"/>
          <w:highlight w:val="none"/>
        </w:rPr>
      </w:pPr>
    </w:p>
    <w:p w14:paraId="5B4B9B8D">
      <w:pPr>
        <w:widowControl/>
        <w:shd w:val="clear"/>
        <w:spacing w:line="360" w:lineRule="auto"/>
        <w:ind w:right="-26" w:hanging="480"/>
        <w:jc w:val="center"/>
        <w:textAlignment w:val="bottom"/>
        <w:rPr>
          <w:rFonts w:hint="eastAsia" w:ascii="宋体" w:hAnsi="宋体" w:eastAsia="宋体" w:cs="宋体"/>
          <w:b/>
          <w:color w:val="auto"/>
          <w:sz w:val="32"/>
          <w:highlight w:val="none"/>
        </w:rPr>
      </w:pPr>
    </w:p>
    <w:p w14:paraId="449C4A6F">
      <w:pPr>
        <w:widowControl/>
        <w:shd w:val="clear"/>
        <w:spacing w:line="360" w:lineRule="auto"/>
        <w:ind w:right="-26" w:hanging="480"/>
        <w:jc w:val="center"/>
        <w:textAlignment w:val="bottom"/>
        <w:rPr>
          <w:rFonts w:hint="eastAsia" w:ascii="宋体" w:hAnsi="宋体" w:eastAsia="宋体" w:cs="宋体"/>
          <w:b/>
          <w:color w:val="auto"/>
          <w:sz w:val="32"/>
          <w:highlight w:val="none"/>
        </w:rPr>
      </w:pPr>
    </w:p>
    <w:p w14:paraId="721919A8">
      <w:pPr>
        <w:widowControl/>
        <w:shd w:val="clear"/>
        <w:spacing w:line="360" w:lineRule="auto"/>
        <w:ind w:right="-26" w:hanging="480"/>
        <w:jc w:val="center"/>
        <w:textAlignment w:val="bottom"/>
        <w:rPr>
          <w:rFonts w:hint="eastAsia" w:ascii="宋体" w:hAnsi="宋体" w:eastAsia="宋体" w:cs="宋体"/>
          <w:b/>
          <w:color w:val="auto"/>
          <w:sz w:val="32"/>
          <w:highlight w:val="none"/>
        </w:rPr>
      </w:pPr>
    </w:p>
    <w:p w14:paraId="5803CC38">
      <w:pPr>
        <w:shd w:val="clear"/>
        <w:jc w:val="both"/>
        <w:rPr>
          <w:rFonts w:hint="eastAsia" w:ascii="宋体" w:hAnsi="宋体" w:eastAsia="宋体" w:cs="宋体"/>
          <w:color w:val="auto"/>
          <w:highlight w:val="none"/>
          <w:lang w:val="zh-CN"/>
        </w:rPr>
        <w:sectPr>
          <w:headerReference r:id="rId4" w:type="first"/>
          <w:headerReference r:id="rId3" w:type="default"/>
          <w:footerReference r:id="rId5" w:type="default"/>
          <w:footerReference r:id="rId6" w:type="even"/>
          <w:type w:val="nextColumn"/>
          <w:pgSz w:w="11907" w:h="16840"/>
          <w:pgMar w:top="1440" w:right="1800" w:bottom="1440" w:left="1800" w:header="851" w:footer="992" w:gutter="0"/>
          <w:pgBorders>
            <w:top w:val="none" w:sz="0" w:space="0"/>
            <w:left w:val="none" w:sz="0" w:space="0"/>
            <w:bottom w:val="none" w:sz="0" w:space="0"/>
            <w:right w:val="none" w:sz="0" w:space="0"/>
          </w:pgBorders>
          <w:pgNumType w:fmt="decimal" w:start="0"/>
          <w:cols w:space="720" w:num="1"/>
          <w:docGrid w:type="lines" w:linePitch="312" w:charSpace="0"/>
        </w:sectPr>
      </w:pPr>
      <w:bookmarkStart w:id="1" w:name="_Toc13507"/>
    </w:p>
    <w:bookmarkEnd w:id="1"/>
    <w:p w14:paraId="1B8CD613">
      <w:pPr>
        <w:shd w:val="clear"/>
        <w:spacing w:line="360" w:lineRule="auto"/>
        <w:ind w:left="48" w:leftChars="20"/>
        <w:jc w:val="center"/>
        <w:rPr>
          <w:rFonts w:hint="eastAsia" w:ascii="宋体" w:hAnsi="宋体" w:eastAsia="宋体" w:cs="宋体"/>
          <w:color w:val="auto"/>
          <w:sz w:val="32"/>
          <w:szCs w:val="32"/>
          <w:highlight w:val="none"/>
        </w:rPr>
      </w:pPr>
      <w:bookmarkStart w:id="2" w:name="_Toc27261"/>
      <w:r>
        <w:rPr>
          <w:rFonts w:hint="eastAsia" w:ascii="宋体" w:hAnsi="宋体" w:eastAsia="宋体" w:cs="宋体"/>
          <w:color w:val="auto"/>
          <w:sz w:val="32"/>
          <w:szCs w:val="32"/>
          <w:highlight w:val="none"/>
        </w:rPr>
        <w:t>温馨提示</w:t>
      </w:r>
    </w:p>
    <w:p w14:paraId="19A7944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（本提示内容非磋商文件的组成部分，仅为善意提醒。如有不一致，以磋商文件为准）</w:t>
      </w:r>
    </w:p>
    <w:p w14:paraId="61C3AC95">
      <w:pPr>
        <w:shd w:val="clear"/>
        <w:spacing w:line="360" w:lineRule="auto"/>
        <w:ind w:left="48" w:leftChars="20"/>
        <w:jc w:val="center"/>
        <w:rPr>
          <w:rFonts w:hint="eastAsia" w:ascii="宋体" w:hAnsi="宋体" w:eastAsia="宋体" w:cs="宋体"/>
          <w:color w:val="auto"/>
          <w:sz w:val="32"/>
          <w:szCs w:val="32"/>
          <w:highlight w:val="none"/>
        </w:rPr>
      </w:pPr>
    </w:p>
    <w:p w14:paraId="114B0E65">
      <w:pPr>
        <w:numPr>
          <w:ilvl w:val="0"/>
          <w:numId w:val="9"/>
        </w:numPr>
        <w:shd w:val="clear"/>
        <w:spacing w:line="360" w:lineRule="auto"/>
        <w:ind w:left="180" w:firstLine="48" w:firstLineChars="20"/>
        <w:jc w:val="both"/>
        <w:rPr>
          <w:rFonts w:hint="eastAsia" w:ascii="宋体" w:hAnsi="宋体" w:eastAsia="宋体" w:cs="宋体"/>
          <w:color w:val="auto"/>
          <w:highlight w:val="none"/>
        </w:rPr>
      </w:pPr>
      <w:r>
        <w:rPr>
          <w:rFonts w:hint="eastAsia" w:ascii="宋体" w:hAnsi="宋体" w:eastAsia="宋体" w:cs="宋体"/>
          <w:color w:val="auto"/>
          <w:highlight w:val="none"/>
        </w:rPr>
        <w:t>磋商截止时间一到，采购代理机构不接收供应商的任何相关磋商资料、文件。为此，请适当提前到达。</w:t>
      </w:r>
    </w:p>
    <w:p w14:paraId="3BD91DE4">
      <w:pPr>
        <w:numPr>
          <w:ilvl w:val="0"/>
          <w:numId w:val="9"/>
        </w:numPr>
        <w:shd w:val="clear"/>
        <w:spacing w:line="360" w:lineRule="auto"/>
        <w:ind w:left="180" w:firstLine="48" w:firstLineChars="20"/>
        <w:jc w:val="both"/>
        <w:rPr>
          <w:rFonts w:hint="eastAsia" w:ascii="宋体" w:hAnsi="宋体" w:eastAsia="宋体" w:cs="宋体"/>
          <w:color w:val="auto"/>
          <w:highlight w:val="none"/>
        </w:rPr>
      </w:pPr>
      <w:r>
        <w:rPr>
          <w:rFonts w:hint="eastAsia" w:ascii="宋体" w:hAnsi="宋体" w:eastAsia="宋体" w:cs="宋体"/>
          <w:color w:val="auto"/>
          <w:highlight w:val="none"/>
        </w:rPr>
        <w:t>磋商保证金必须于磋商截止时间前到达磋商文件中所注明账户。由于转账当天不一定能够达账，为避免因磋商保证金未到账而导致磋商被拒，建议至少提前2个工作日转账。</w:t>
      </w:r>
    </w:p>
    <w:p w14:paraId="04A41E5B">
      <w:pPr>
        <w:numPr>
          <w:ilvl w:val="0"/>
          <w:numId w:val="9"/>
        </w:numPr>
        <w:shd w:val="clear"/>
        <w:spacing w:line="360" w:lineRule="auto"/>
        <w:ind w:left="180" w:firstLine="48" w:firstLineChars="20"/>
        <w:jc w:val="both"/>
        <w:rPr>
          <w:rFonts w:hint="eastAsia" w:ascii="宋体" w:hAnsi="宋体" w:eastAsia="宋体" w:cs="宋体"/>
          <w:color w:val="auto"/>
          <w:highlight w:val="none"/>
        </w:rPr>
      </w:pPr>
      <w:r>
        <w:rPr>
          <w:rFonts w:hint="eastAsia" w:ascii="宋体" w:hAnsi="宋体" w:eastAsia="宋体" w:cs="宋体"/>
          <w:color w:val="auto"/>
          <w:highlight w:val="none"/>
        </w:rPr>
        <w:t>请正确填写《报价一览表》。多子包项目请仔细检查子包号，子包号与子包名称必须对应。</w:t>
      </w:r>
    </w:p>
    <w:p w14:paraId="79296008">
      <w:pPr>
        <w:numPr>
          <w:ilvl w:val="0"/>
          <w:numId w:val="9"/>
        </w:numPr>
        <w:shd w:val="clear"/>
        <w:spacing w:line="360" w:lineRule="auto"/>
        <w:ind w:left="180" w:firstLine="48" w:firstLineChars="20"/>
        <w:jc w:val="both"/>
        <w:rPr>
          <w:rFonts w:hint="eastAsia" w:ascii="宋体" w:hAnsi="宋体" w:eastAsia="宋体" w:cs="宋体"/>
          <w:color w:val="auto"/>
          <w:highlight w:val="none"/>
        </w:rPr>
      </w:pPr>
      <w:r>
        <w:rPr>
          <w:rFonts w:hint="eastAsia" w:ascii="宋体" w:hAnsi="宋体" w:eastAsia="宋体" w:cs="宋体"/>
          <w:color w:val="auto"/>
          <w:highlight w:val="none"/>
        </w:rPr>
        <w:t>请仔细检查磋商响应文件是否已按磋商文件要求盖章、签名、签署日期。</w:t>
      </w:r>
    </w:p>
    <w:p w14:paraId="77B21788">
      <w:pPr>
        <w:numPr>
          <w:ilvl w:val="0"/>
          <w:numId w:val="9"/>
        </w:numPr>
        <w:shd w:val="clear"/>
        <w:spacing w:line="360" w:lineRule="auto"/>
        <w:ind w:left="180" w:firstLine="48" w:firstLineChars="20"/>
        <w:jc w:val="both"/>
        <w:outlineLvl w:val="0"/>
        <w:rPr>
          <w:rFonts w:hint="eastAsia" w:ascii="宋体" w:hAnsi="宋体" w:eastAsia="宋体" w:cs="宋体"/>
          <w:color w:val="auto"/>
          <w:highlight w:val="none"/>
        </w:rPr>
      </w:pPr>
      <w:bookmarkStart w:id="3" w:name="_Toc17927"/>
      <w:r>
        <w:rPr>
          <w:rFonts w:hint="eastAsia" w:ascii="宋体" w:hAnsi="宋体" w:eastAsia="宋体" w:cs="宋体"/>
          <w:color w:val="auto"/>
          <w:highlight w:val="none"/>
        </w:rPr>
        <w:t>磋商响应文件应按顺序编制页码。</w:t>
      </w:r>
      <w:bookmarkEnd w:id="3"/>
    </w:p>
    <w:p w14:paraId="552DA39B">
      <w:pPr>
        <w:numPr>
          <w:ilvl w:val="0"/>
          <w:numId w:val="9"/>
        </w:numPr>
        <w:shd w:val="clear"/>
        <w:spacing w:line="360" w:lineRule="auto"/>
        <w:ind w:left="180" w:firstLine="48" w:firstLineChars="20"/>
        <w:jc w:val="both"/>
        <w:rPr>
          <w:rFonts w:hint="eastAsia" w:ascii="宋体" w:hAnsi="宋体" w:eastAsia="宋体" w:cs="宋体"/>
          <w:color w:val="auto"/>
          <w:highlight w:val="none"/>
        </w:rPr>
      </w:pPr>
      <w:r>
        <w:rPr>
          <w:rFonts w:hint="eastAsia" w:ascii="宋体" w:hAnsi="宋体" w:eastAsia="宋体" w:cs="宋体"/>
          <w:color w:val="auto"/>
          <w:highlight w:val="none"/>
        </w:rPr>
        <w:t>如所投产品属于许可证管理范围内的，须提交相应的许可证复印件。</w:t>
      </w:r>
    </w:p>
    <w:p w14:paraId="214EE601">
      <w:pPr>
        <w:numPr>
          <w:ilvl w:val="0"/>
          <w:numId w:val="9"/>
        </w:numPr>
        <w:shd w:val="clear"/>
        <w:spacing w:line="360" w:lineRule="auto"/>
        <w:ind w:left="180" w:firstLine="48" w:firstLineChars="20"/>
        <w:jc w:val="both"/>
        <w:rPr>
          <w:rFonts w:hint="eastAsia" w:ascii="宋体" w:hAnsi="宋体" w:eastAsia="宋体" w:cs="宋体"/>
          <w:color w:val="auto"/>
          <w:highlight w:val="none"/>
        </w:rPr>
      </w:pPr>
      <w:r>
        <w:rPr>
          <w:rFonts w:hint="eastAsia" w:ascii="宋体" w:hAnsi="宋体" w:eastAsia="宋体" w:cs="宋体"/>
          <w:color w:val="auto"/>
          <w:highlight w:val="none"/>
        </w:rPr>
        <w:t>为了提高采购效率，节约社会交易成本与时间，望购买了磋商文件而决定不参加本次磋商的供应商，在磋商响应文件递交截止时间的3日前，按《磋商邀请函》中的联系方式，以书面形式告知采购代理机构。对您的支持与配合，谨此致谢。</w:t>
      </w:r>
    </w:p>
    <w:p w14:paraId="2A39EB85">
      <w:pPr>
        <w:numPr>
          <w:ilvl w:val="0"/>
          <w:numId w:val="9"/>
        </w:numPr>
        <w:shd w:val="clear"/>
        <w:spacing w:line="360" w:lineRule="auto"/>
        <w:ind w:left="180" w:firstLine="48" w:firstLineChars="20"/>
        <w:jc w:val="both"/>
        <w:rPr>
          <w:rFonts w:hint="eastAsia" w:ascii="宋体" w:hAnsi="宋体" w:eastAsia="宋体" w:cs="宋体"/>
          <w:color w:val="auto"/>
          <w:highlight w:val="none"/>
        </w:rPr>
      </w:pPr>
      <w:r>
        <w:rPr>
          <w:rFonts w:hint="eastAsia" w:ascii="宋体" w:hAnsi="宋体" w:eastAsia="宋体" w:cs="宋体"/>
          <w:color w:val="auto"/>
          <w:highlight w:val="none"/>
        </w:rPr>
        <w:t>如需供应商支付的各种费用，如磋商文件售价、工程图纸押金、保证金和采购代理服务费等，磋商文件将书面详细告知，请供应商按磋商文件规定的方式和金额支付。</w:t>
      </w:r>
    </w:p>
    <w:p w14:paraId="6A183F0D">
      <w:pPr>
        <w:shd w:val="clear"/>
        <w:jc w:val="both"/>
        <w:rPr>
          <w:rFonts w:hint="eastAsia" w:ascii="宋体" w:hAnsi="宋体" w:eastAsia="宋体" w:cs="宋体"/>
          <w:b/>
          <w:bCs/>
          <w:color w:val="auto"/>
          <w:sz w:val="32"/>
          <w:szCs w:val="32"/>
          <w:highlight w:val="none"/>
          <w:lang w:val="zh-CN"/>
        </w:rPr>
      </w:pPr>
    </w:p>
    <w:p w14:paraId="32202C69">
      <w:pPr>
        <w:shd w:val="clear"/>
        <w:jc w:val="both"/>
        <w:rPr>
          <w:rFonts w:hint="eastAsia" w:ascii="宋体" w:hAnsi="宋体" w:eastAsia="宋体" w:cs="宋体"/>
          <w:b/>
          <w:bCs/>
          <w:color w:val="auto"/>
          <w:sz w:val="32"/>
          <w:szCs w:val="32"/>
          <w:highlight w:val="none"/>
          <w:lang w:val="zh-CN"/>
        </w:rPr>
      </w:pPr>
    </w:p>
    <w:p w14:paraId="639437C7">
      <w:pPr>
        <w:shd w:val="clear"/>
        <w:jc w:val="both"/>
        <w:rPr>
          <w:rFonts w:hint="eastAsia" w:ascii="宋体" w:hAnsi="宋体" w:eastAsia="宋体" w:cs="宋体"/>
          <w:b/>
          <w:bCs/>
          <w:color w:val="auto"/>
          <w:sz w:val="32"/>
          <w:szCs w:val="32"/>
          <w:highlight w:val="none"/>
          <w:lang w:val="zh-CN"/>
        </w:rPr>
      </w:pPr>
    </w:p>
    <w:p w14:paraId="142665D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BA2B83C">
      <w:pPr>
        <w:shd w:val="clear"/>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目录</w:t>
      </w:r>
      <w:bookmarkStart w:id="4" w:name="_Toc396137229"/>
    </w:p>
    <w:sdt>
      <w:sdtPr>
        <w:rPr>
          <w:rFonts w:hint="eastAsia" w:ascii="宋体" w:hAnsi="宋体" w:eastAsia="宋体" w:cs="宋体"/>
          <w:b/>
          <w:bCs/>
          <w:color w:val="auto"/>
          <w:sz w:val="36"/>
          <w:szCs w:val="44"/>
          <w:highlight w:val="none"/>
        </w:rPr>
        <w:id w:val="147463129"/>
        <w15:color w:val="DBDBDB"/>
        <w:docPartObj>
          <w:docPartGallery w:val="Table of Contents"/>
          <w:docPartUnique/>
        </w:docPartObj>
      </w:sdtPr>
      <w:sdtEndPr>
        <w:rPr>
          <w:rFonts w:hint="eastAsia" w:ascii="宋体" w:hAnsi="宋体" w:eastAsia="宋体" w:cs="宋体"/>
          <w:b/>
          <w:bCs/>
          <w:color w:val="auto"/>
          <w:sz w:val="36"/>
          <w:szCs w:val="44"/>
          <w:highlight w:val="none"/>
        </w:rPr>
      </w:sdtEndPr>
      <w:sdtContent>
        <w:p w14:paraId="37352B77">
          <w:pPr>
            <w:shd w:val="clear"/>
            <w:spacing w:line="360" w:lineRule="auto"/>
            <w:jc w:val="both"/>
            <w:rPr>
              <w:rFonts w:hint="eastAsia" w:ascii="宋体" w:hAnsi="宋体" w:eastAsia="宋体" w:cs="宋体"/>
              <w:b/>
              <w:bCs/>
              <w:color w:val="auto"/>
              <w:sz w:val="44"/>
              <w:szCs w:val="44"/>
              <w:highlight w:val="none"/>
            </w:rPr>
          </w:pPr>
        </w:p>
        <w:p w14:paraId="3523544B">
          <w:pPr>
            <w:pStyle w:val="188"/>
            <w:shd w:val="clear"/>
            <w:tabs>
              <w:tab w:val="right" w:leader="dot" w:pos="8306"/>
            </w:tabs>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"_Toc3573" </w:instrText>
          </w:r>
          <w:r>
            <w:rPr>
              <w:rFonts w:hint="eastAsia" w:ascii="宋体" w:hAnsi="宋体" w:eastAsia="宋体" w:cs="宋体"/>
              <w:color w:val="auto"/>
              <w:highlight w:val="none"/>
            </w:rPr>
            <w:fldChar w:fldCharType="separate"/>
          </w:r>
          <w:r>
            <w:rPr>
              <w:rFonts w:hint="eastAsia" w:ascii="宋体" w:hAnsi="宋体" w:eastAsia="宋体" w:cs="宋体"/>
              <w:b/>
              <w:bCs/>
              <w:color w:val="auto"/>
              <w:kern w:val="44"/>
              <w:sz w:val="32"/>
              <w:szCs w:val="48"/>
              <w:highlight w:val="none"/>
              <w:lang w:val="zh-CN"/>
            </w:rPr>
            <w:t xml:space="preserve">第一篇 </w:t>
          </w:r>
          <w:r>
            <w:rPr>
              <w:rFonts w:hint="eastAsia" w:ascii="宋体" w:hAnsi="宋体" w:eastAsia="宋体" w:cs="宋体"/>
              <w:b/>
              <w:bCs/>
              <w:color w:val="auto"/>
              <w:kern w:val="44"/>
              <w:sz w:val="32"/>
              <w:szCs w:val="48"/>
              <w:highlight w:val="none"/>
            </w:rPr>
            <w:t>磋商邀请书</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_Toc3573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24F80547">
          <w:pPr>
            <w:pStyle w:val="188"/>
            <w:shd w:val="clear"/>
            <w:tabs>
              <w:tab w:val="right" w:leader="dot" w:pos="8306"/>
            </w:tabs>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"_Toc17779" </w:instrText>
          </w:r>
          <w:r>
            <w:rPr>
              <w:rFonts w:hint="eastAsia" w:ascii="宋体" w:hAnsi="宋体" w:eastAsia="宋体" w:cs="宋体"/>
              <w:color w:val="auto"/>
              <w:highlight w:val="none"/>
            </w:rPr>
            <w:fldChar w:fldCharType="separate"/>
          </w:r>
          <w:r>
            <w:rPr>
              <w:rFonts w:hint="eastAsia" w:ascii="宋体" w:hAnsi="宋体" w:eastAsia="宋体" w:cs="宋体"/>
              <w:b/>
              <w:bCs/>
              <w:color w:val="auto"/>
              <w:kern w:val="44"/>
              <w:sz w:val="32"/>
              <w:szCs w:val="48"/>
              <w:highlight w:val="none"/>
              <w:lang w:val="zh-CN"/>
            </w:rPr>
            <w:t>第二篇 供应商须知</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_Toc17779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6</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5154450D">
          <w:pPr>
            <w:pStyle w:val="188"/>
            <w:shd w:val="clear"/>
            <w:tabs>
              <w:tab w:val="right" w:leader="dot" w:pos="8306"/>
            </w:tabs>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"_Toc22134" </w:instrText>
          </w:r>
          <w:r>
            <w:rPr>
              <w:rFonts w:hint="eastAsia" w:ascii="宋体" w:hAnsi="宋体" w:eastAsia="宋体" w:cs="宋体"/>
              <w:color w:val="auto"/>
              <w:highlight w:val="none"/>
            </w:rPr>
            <w:fldChar w:fldCharType="separate"/>
          </w:r>
          <w:r>
            <w:rPr>
              <w:rFonts w:hint="eastAsia" w:ascii="宋体" w:hAnsi="宋体" w:eastAsia="宋体" w:cs="宋体"/>
              <w:b/>
              <w:bCs/>
              <w:color w:val="auto"/>
              <w:kern w:val="44"/>
              <w:sz w:val="32"/>
              <w:szCs w:val="48"/>
              <w:highlight w:val="none"/>
              <w:lang w:val="zh-CN"/>
            </w:rPr>
            <w:t>第三篇 用户需求书</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_Toc22134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18</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47A0B60F">
          <w:pPr>
            <w:pStyle w:val="188"/>
            <w:shd w:val="clear"/>
            <w:tabs>
              <w:tab w:val="right" w:leader="dot" w:pos="8306"/>
            </w:tabs>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"_Toc28792" </w:instrText>
          </w:r>
          <w:r>
            <w:rPr>
              <w:rFonts w:hint="eastAsia" w:ascii="宋体" w:hAnsi="宋体" w:eastAsia="宋体" w:cs="宋体"/>
              <w:color w:val="auto"/>
              <w:highlight w:val="none"/>
            </w:rPr>
            <w:fldChar w:fldCharType="separate"/>
          </w:r>
          <w:r>
            <w:rPr>
              <w:rFonts w:hint="eastAsia" w:ascii="宋体" w:hAnsi="宋体" w:eastAsia="宋体" w:cs="宋体"/>
              <w:b/>
              <w:bCs/>
              <w:color w:val="auto"/>
              <w:kern w:val="44"/>
              <w:sz w:val="32"/>
              <w:szCs w:val="48"/>
              <w:highlight w:val="none"/>
              <w:lang w:val="zh-CN"/>
            </w:rPr>
            <w:t>第四篇 评审工作大纲</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_Toc28792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27</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1BD59BD7">
          <w:pPr>
            <w:pStyle w:val="188"/>
            <w:shd w:val="clear"/>
            <w:tabs>
              <w:tab w:val="right" w:leader="dot" w:pos="8306"/>
            </w:tabs>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"_Toc3360"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2"/>
              <w:szCs w:val="32"/>
              <w:highlight w:val="none"/>
            </w:rPr>
            <w:t xml:space="preserve">第五篇 </w:t>
          </w:r>
          <w:r>
            <w:rPr>
              <w:rFonts w:hint="eastAsia" w:ascii="宋体" w:hAnsi="宋体" w:eastAsia="宋体" w:cs="宋体"/>
              <w:b/>
              <w:bCs/>
              <w:color w:val="auto"/>
              <w:kern w:val="44"/>
              <w:sz w:val="32"/>
              <w:szCs w:val="48"/>
              <w:highlight w:val="none"/>
              <w:lang w:val="zh-CN"/>
            </w:rPr>
            <w:t>合同条款格式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_Toc3360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32</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2DD7CB13">
          <w:pPr>
            <w:pStyle w:val="188"/>
            <w:shd w:val="clear"/>
            <w:tabs>
              <w:tab w:val="right" w:leader="dot" w:pos="8306"/>
            </w:tabs>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"_Toc9129" </w:instrText>
          </w:r>
          <w:r>
            <w:rPr>
              <w:rFonts w:hint="eastAsia" w:ascii="宋体" w:hAnsi="宋体" w:eastAsia="宋体" w:cs="宋体"/>
              <w:color w:val="auto"/>
              <w:highlight w:val="none"/>
            </w:rPr>
            <w:fldChar w:fldCharType="separate"/>
          </w:r>
          <w:r>
            <w:rPr>
              <w:rFonts w:hint="eastAsia" w:ascii="宋体" w:hAnsi="宋体" w:eastAsia="宋体" w:cs="宋体"/>
              <w:b/>
              <w:bCs/>
              <w:color w:val="auto"/>
              <w:kern w:val="44"/>
              <w:sz w:val="32"/>
              <w:szCs w:val="48"/>
              <w:highlight w:val="none"/>
              <w:lang w:val="zh-CN"/>
            </w:rPr>
            <w:t>第六篇</w:t>
          </w:r>
          <w:r>
            <w:rPr>
              <w:rFonts w:hint="eastAsia" w:ascii="宋体" w:hAnsi="宋体" w:eastAsia="宋体" w:cs="宋体"/>
              <w:b/>
              <w:bCs/>
              <w:color w:val="auto"/>
              <w:kern w:val="44"/>
              <w:sz w:val="32"/>
              <w:szCs w:val="48"/>
              <w:highlight w:val="none"/>
            </w:rPr>
            <w:t xml:space="preserve"> </w:t>
          </w:r>
          <w:r>
            <w:rPr>
              <w:rFonts w:hint="eastAsia" w:ascii="宋体" w:hAnsi="宋体" w:eastAsia="宋体" w:cs="宋体"/>
              <w:b/>
              <w:bCs/>
              <w:color w:val="auto"/>
              <w:kern w:val="44"/>
              <w:sz w:val="32"/>
              <w:szCs w:val="48"/>
              <w:highlight w:val="none"/>
              <w:lang w:val="zh-CN"/>
            </w:rPr>
            <w:t>磋商响应文件格式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lang w:val="en-US" w:eastAsia="zh-CN"/>
            </w:rPr>
            <w:t>0</w:t>
          </w:r>
        </w:p>
        <w:p w14:paraId="6E595650">
          <w:pPr>
            <w:shd w:val="clea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end"/>
          </w:r>
        </w:p>
      </w:sdtContent>
    </w:sdt>
    <w:p w14:paraId="043EE748">
      <w:pPr>
        <w:shd w:val="clear"/>
        <w:jc w:val="center"/>
        <w:rPr>
          <w:rFonts w:hint="eastAsia" w:ascii="宋体" w:hAnsi="宋体" w:eastAsia="宋体" w:cs="宋体"/>
          <w:color w:val="auto"/>
          <w:highlight w:val="none"/>
        </w:rPr>
      </w:pPr>
      <w:r>
        <w:rPr>
          <w:rFonts w:hint="eastAsia" w:ascii="宋体" w:hAnsi="宋体" w:eastAsia="宋体" w:cs="宋体"/>
          <w:b/>
          <w:bCs/>
          <w:caps/>
          <w:color w:val="auto"/>
          <w:sz w:val="21"/>
          <w:szCs w:val="21"/>
          <w:highlight w:val="none"/>
        </w:rPr>
        <w:fldChar w:fldCharType="begin"/>
      </w:r>
      <w:r>
        <w:rPr>
          <w:rStyle w:val="61"/>
          <w:rFonts w:hint="eastAsia" w:ascii="宋体" w:hAnsi="宋体" w:eastAsia="宋体" w:cs="宋体"/>
          <w:b/>
          <w:bCs/>
          <w:caps/>
          <w:color w:val="auto"/>
          <w:sz w:val="21"/>
          <w:szCs w:val="21"/>
          <w:highlight w:val="none"/>
        </w:rPr>
        <w:instrText xml:space="preserve"> TOC \o "1-3" \h \z \u </w:instrText>
      </w:r>
      <w:r>
        <w:rPr>
          <w:rFonts w:hint="eastAsia" w:ascii="宋体" w:hAnsi="宋体" w:eastAsia="宋体" w:cs="宋体"/>
          <w:b/>
          <w:bCs/>
          <w:caps/>
          <w:color w:val="auto"/>
          <w:sz w:val="21"/>
          <w:szCs w:val="21"/>
          <w:highlight w:val="none"/>
        </w:rPr>
        <w:fldChar w:fldCharType="separate"/>
      </w:r>
    </w:p>
    <w:p w14:paraId="7DF13867">
      <w:pPr>
        <w:pStyle w:val="4"/>
        <w:keepNext/>
        <w:keepLines/>
        <w:pageBreakBefore/>
        <w:numPr>
          <w:ilvl w:val="0"/>
          <w:numId w:val="10"/>
        </w:numPr>
        <w:shd w:val="clear"/>
        <w:tabs>
          <w:tab w:val="left" w:pos="1080"/>
        </w:tabs>
        <w:spacing w:line="360" w:lineRule="auto"/>
        <w:ind w:left="1078" w:hanging="1077" w:hangingChars="449"/>
        <w:jc w:val="center"/>
        <w:rPr>
          <w:rFonts w:hint="eastAsia" w:ascii="宋体" w:hAnsi="宋体" w:eastAsia="宋体" w:cs="宋体"/>
          <w:b/>
          <w:bCs/>
          <w:color w:val="auto"/>
          <w:kern w:val="44"/>
          <w:sz w:val="28"/>
          <w:szCs w:val="28"/>
          <w:highlight w:val="none"/>
          <w:lang w:val="zh-CN"/>
        </w:rPr>
      </w:pPr>
      <w:bookmarkStart w:id="5" w:name="_Toc3573"/>
      <w:r>
        <w:rPr>
          <w:rFonts w:hint="eastAsia" w:ascii="宋体" w:hAnsi="宋体" w:eastAsia="宋体" w:cs="宋体"/>
          <w:color w:val="auto"/>
          <w:highlight w:val="none"/>
        </w:rPr>
        <w:fldChar w:fldCharType="end"/>
      </w:r>
      <w:bookmarkEnd w:id="4"/>
      <w:r>
        <w:rPr>
          <w:rFonts w:hint="eastAsia" w:ascii="宋体" w:hAnsi="宋体" w:eastAsia="宋体" w:cs="宋体"/>
          <w:b/>
          <w:bCs/>
          <w:color w:val="auto"/>
          <w:kern w:val="44"/>
          <w:sz w:val="28"/>
          <w:szCs w:val="28"/>
          <w:highlight w:val="none"/>
        </w:rPr>
        <w:t>磋商邀请书</w:t>
      </w:r>
      <w:bookmarkEnd w:id="2"/>
      <w:bookmarkEnd w:id="5"/>
    </w:p>
    <w:p w14:paraId="6BD1F732">
      <w:pPr>
        <w:keepNext w:val="0"/>
        <w:keepLines w:val="0"/>
        <w:pageBreakBefore w:val="0"/>
        <w:widowControl/>
        <w:shd w:val="clear"/>
        <w:tabs>
          <w:tab w:val="left" w:pos="-360"/>
        </w:tabs>
        <w:kinsoku/>
        <w:overflowPunct/>
        <w:topLinePunct w:val="0"/>
        <w:bidi w:val="0"/>
        <w:adjustRightInd/>
        <w:snapToGrid/>
        <w:spacing w:line="360" w:lineRule="auto"/>
        <w:ind w:right="-34" w:firstLine="420" w:firstLineChars="200"/>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广东志合项目管理有限公司</w:t>
      </w:r>
      <w:r>
        <w:rPr>
          <w:rFonts w:hint="eastAsia" w:ascii="宋体" w:hAnsi="宋体" w:eastAsia="宋体" w:cs="宋体"/>
          <w:color w:val="auto"/>
          <w:sz w:val="21"/>
          <w:szCs w:val="21"/>
          <w:highlight w:val="none"/>
        </w:rPr>
        <w:t>（以下简称“采购代理机构”）受</w:t>
      </w:r>
      <w:r>
        <w:rPr>
          <w:rFonts w:hint="eastAsia" w:ascii="宋体" w:hAnsi="宋体" w:eastAsia="宋体" w:cs="宋体"/>
          <w:color w:val="auto"/>
          <w:sz w:val="21"/>
          <w:szCs w:val="21"/>
          <w:highlight w:val="none"/>
          <w:lang w:val="en-US" w:eastAsia="zh-CN"/>
        </w:rPr>
        <w:t>东莞市旗创产业投资有限公司</w:t>
      </w:r>
      <w:r>
        <w:rPr>
          <w:rFonts w:hint="eastAsia" w:ascii="宋体" w:hAnsi="宋体" w:eastAsia="宋体" w:cs="宋体"/>
          <w:color w:val="auto"/>
          <w:sz w:val="21"/>
          <w:szCs w:val="21"/>
          <w:highlight w:val="none"/>
        </w:rPr>
        <w:t>（以下简称“采购人”）的委托，为</w:t>
      </w:r>
      <w:r>
        <w:rPr>
          <w:rFonts w:hint="eastAsia" w:ascii="宋体" w:hAnsi="宋体" w:eastAsia="宋体" w:cs="宋体"/>
          <w:color w:val="auto"/>
          <w:sz w:val="21"/>
          <w:szCs w:val="21"/>
          <w:highlight w:val="none"/>
          <w:lang w:val="en-US" w:eastAsia="zh-CN"/>
        </w:rPr>
        <w:t>大岭山大塘村优质产业空间项目（南地块）一期</w:t>
      </w:r>
      <w:r>
        <w:rPr>
          <w:rFonts w:hint="eastAsia" w:ascii="宋体" w:hAnsi="宋体" w:eastAsia="宋体" w:cs="宋体"/>
          <w:color w:val="auto"/>
          <w:sz w:val="21"/>
          <w:szCs w:val="21"/>
          <w:highlight w:val="none"/>
          <w:lang w:eastAsia="zh-CN"/>
        </w:rPr>
        <w:t>项目桩基础检测服务</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DGQS-DT-03-018-020（2024)</w:t>
      </w:r>
      <w:r>
        <w:rPr>
          <w:rFonts w:hint="eastAsia" w:ascii="宋体" w:hAnsi="宋体" w:eastAsia="宋体" w:cs="宋体"/>
          <w:color w:val="auto"/>
          <w:sz w:val="21"/>
          <w:szCs w:val="21"/>
          <w:highlight w:val="none"/>
        </w:rPr>
        <w:t>)采购所需的服务。本项目采用竞争性磋商采购方式，欢迎合格供应商就本项目提交密封磋商。</w:t>
      </w:r>
    </w:p>
    <w:p w14:paraId="42539DC5">
      <w:pPr>
        <w:keepNext w:val="0"/>
        <w:keepLines w:val="0"/>
        <w:pageBreakBefore w:val="0"/>
        <w:shd w:val="clear"/>
        <w:kinsoku/>
        <w:overflowPunct/>
        <w:topLinePunct w:val="0"/>
        <w:bidi w:val="0"/>
        <w:snapToGrid/>
        <w:spacing w:line="360" w:lineRule="auto"/>
        <w:rPr>
          <w:rFonts w:hint="eastAsia" w:ascii="宋体" w:hAnsi="宋体" w:eastAsia="宋体" w:cs="宋体"/>
          <w:b/>
          <w:color w:val="auto"/>
          <w:sz w:val="21"/>
          <w:szCs w:val="21"/>
          <w:highlight w:val="none"/>
        </w:rPr>
      </w:pPr>
      <w:bookmarkStart w:id="6" w:name="_Toc4600"/>
      <w:r>
        <w:rPr>
          <w:rFonts w:hint="eastAsia" w:ascii="宋体" w:hAnsi="宋体" w:eastAsia="宋体" w:cs="宋体"/>
          <w:b/>
          <w:color w:val="auto"/>
          <w:sz w:val="21"/>
          <w:szCs w:val="21"/>
          <w:highlight w:val="none"/>
        </w:rPr>
        <w:t>一、采购项目概况</w:t>
      </w:r>
    </w:p>
    <w:p w14:paraId="016AA892">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1、采购项目名称：</w:t>
      </w:r>
      <w:r>
        <w:rPr>
          <w:rFonts w:hint="eastAsia" w:ascii="宋体" w:hAnsi="宋体" w:eastAsia="宋体" w:cs="宋体"/>
          <w:b/>
          <w:color w:val="auto"/>
          <w:sz w:val="21"/>
          <w:szCs w:val="21"/>
          <w:highlight w:val="none"/>
          <w:u w:val="single"/>
          <w:lang w:val="en-US" w:eastAsia="zh-CN"/>
        </w:rPr>
        <w:t>大岭山大塘村优质产业空间项目（南地块）一期</w:t>
      </w:r>
      <w:r>
        <w:rPr>
          <w:rFonts w:hint="eastAsia" w:ascii="宋体" w:hAnsi="宋体" w:eastAsia="宋体" w:cs="宋体"/>
          <w:b/>
          <w:color w:val="auto"/>
          <w:sz w:val="21"/>
          <w:szCs w:val="21"/>
          <w:highlight w:val="none"/>
          <w:u w:val="single"/>
          <w:lang w:eastAsia="zh-CN"/>
        </w:rPr>
        <w:t>项目桩基础检测服务</w:t>
      </w:r>
    </w:p>
    <w:p w14:paraId="07EDDAFE">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2、预算金额（元）：¥56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0.00元</w:t>
      </w:r>
    </w:p>
    <w:p w14:paraId="721FD216">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rPr>
        <w:t>3、最高限价（元）：¥3</w:t>
      </w: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0.00元（服务系数0.6）</w:t>
      </w:r>
      <w:r>
        <w:rPr>
          <w:rFonts w:hint="eastAsia" w:ascii="宋体" w:hAnsi="宋体" w:eastAsia="宋体" w:cs="宋体"/>
          <w:color w:val="auto"/>
          <w:sz w:val="21"/>
          <w:szCs w:val="21"/>
          <w:highlight w:val="none"/>
          <w:u w:val="none"/>
          <w:lang w:eastAsia="zh-CN"/>
        </w:rPr>
        <w:t>。</w:t>
      </w:r>
    </w:p>
    <w:p w14:paraId="35BBE566">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、项目内容</w:t>
      </w:r>
    </w:p>
    <w:tbl>
      <w:tblPr>
        <w:tblStyle w:val="54"/>
        <w:tblW w:w="42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4"/>
        <w:gridCol w:w="2017"/>
      </w:tblGrid>
      <w:tr w14:paraId="347F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683" w:type="pct"/>
            <w:vAlign w:val="center"/>
          </w:tcPr>
          <w:p w14:paraId="4A78E52E">
            <w:pPr>
              <w:keepNext w:val="0"/>
              <w:keepLines w:val="0"/>
              <w:pageBreakBefore w:val="0"/>
              <w:shd w:val="clear"/>
              <w:kinsoku/>
              <w:overflowPunct/>
              <w:topLinePunct w:val="0"/>
              <w:bidi w:val="0"/>
              <w:snapToGrid/>
              <w:spacing w:line="360" w:lineRule="auto"/>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项目内容</w:t>
            </w:r>
          </w:p>
        </w:tc>
        <w:tc>
          <w:tcPr>
            <w:tcW w:w="1316" w:type="pct"/>
            <w:vAlign w:val="center"/>
          </w:tcPr>
          <w:p w14:paraId="201D4D31">
            <w:pPr>
              <w:keepNext w:val="0"/>
              <w:keepLines w:val="0"/>
              <w:pageBreakBefore w:val="0"/>
              <w:shd w:val="clear"/>
              <w:kinsoku/>
              <w:overflowPunct/>
              <w:topLinePunct w:val="0"/>
              <w:bidi w:val="0"/>
              <w:snapToGrid/>
              <w:spacing w:line="360" w:lineRule="auto"/>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采购服务单位数量</w:t>
            </w:r>
          </w:p>
        </w:tc>
      </w:tr>
      <w:tr w14:paraId="5321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83" w:type="pct"/>
            <w:vAlign w:val="center"/>
          </w:tcPr>
          <w:p w14:paraId="1E5B476F">
            <w:pPr>
              <w:keepNext w:val="0"/>
              <w:keepLines w:val="0"/>
              <w:pageBreakBefore w:val="0"/>
              <w:shd w:val="clear"/>
              <w:kinsoku/>
              <w:overflowPunct/>
              <w:topLinePunct w:val="0"/>
              <w:bidi w:val="0"/>
              <w:snapToGrid/>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sz w:val="21"/>
                <w:szCs w:val="21"/>
                <w:highlight w:val="none"/>
                <w:u w:val="none"/>
                <w:lang w:val="en-US" w:eastAsia="zh-CN"/>
              </w:rPr>
              <w:t>大岭山大塘村优质产业空间项目（南地块）一期</w:t>
            </w:r>
            <w:r>
              <w:rPr>
                <w:rFonts w:hint="eastAsia" w:ascii="宋体" w:hAnsi="宋体" w:eastAsia="宋体" w:cs="宋体"/>
                <w:bCs/>
                <w:color w:val="auto"/>
                <w:sz w:val="21"/>
                <w:szCs w:val="21"/>
                <w:highlight w:val="none"/>
                <w:u w:val="none"/>
                <w:lang w:eastAsia="zh-CN"/>
              </w:rPr>
              <w:t>项目桩基础检测服务</w:t>
            </w:r>
          </w:p>
        </w:tc>
        <w:tc>
          <w:tcPr>
            <w:tcW w:w="1316" w:type="pct"/>
            <w:vAlign w:val="center"/>
          </w:tcPr>
          <w:p w14:paraId="1C98D3DE">
            <w:pPr>
              <w:keepNext w:val="0"/>
              <w:keepLines w:val="0"/>
              <w:pageBreakBefore w:val="0"/>
              <w:shd w:val="clear"/>
              <w:kinsoku/>
              <w:overflowPunct/>
              <w:topLinePunct w:val="0"/>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bl>
    <w:p w14:paraId="26DEEC83">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、项目需求</w:t>
      </w:r>
    </w:p>
    <w:p w14:paraId="74CA9D05">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详细内容请参阅采购文件第三部分《用户需求书》。</w:t>
      </w:r>
    </w:p>
    <w:p w14:paraId="28CA9A77">
      <w:pPr>
        <w:keepNext w:val="0"/>
        <w:keepLines w:val="0"/>
        <w:pageBreakBefore w:val="0"/>
        <w:widowControl/>
        <w:shd w:val="clear"/>
        <w:kinsoku/>
        <w:overflowPunct/>
        <w:topLinePunct w:val="0"/>
        <w:bidi w:val="0"/>
        <w:adjustRightInd/>
        <w:snapToGrid/>
        <w:spacing w:line="360" w:lineRule="auto"/>
        <w:outlineLvl w:val="0"/>
        <w:rPr>
          <w:rFonts w:hint="eastAsia" w:ascii="宋体" w:hAnsi="宋体" w:eastAsia="宋体" w:cs="宋体"/>
          <w:b/>
          <w:bCs/>
          <w:color w:val="auto"/>
          <w:kern w:val="28"/>
          <w:sz w:val="21"/>
          <w:szCs w:val="21"/>
          <w:highlight w:val="none"/>
        </w:rPr>
      </w:pPr>
      <w:r>
        <w:rPr>
          <w:rFonts w:hint="eastAsia" w:ascii="宋体" w:hAnsi="宋体" w:eastAsia="宋体" w:cs="宋体"/>
          <w:b/>
          <w:bCs/>
          <w:color w:val="auto"/>
          <w:kern w:val="28"/>
          <w:sz w:val="21"/>
          <w:szCs w:val="21"/>
          <w:highlight w:val="none"/>
          <w:lang w:val="zh-CN"/>
        </w:rPr>
        <w:t>二、供应商须满足以下资格条件</w:t>
      </w:r>
      <w:r>
        <w:rPr>
          <w:rFonts w:hint="eastAsia" w:ascii="宋体" w:hAnsi="宋体" w:eastAsia="宋体" w:cs="宋体"/>
          <w:b/>
          <w:bCs/>
          <w:color w:val="auto"/>
          <w:kern w:val="28"/>
          <w:sz w:val="21"/>
          <w:szCs w:val="21"/>
          <w:highlight w:val="none"/>
        </w:rPr>
        <w:t>：</w:t>
      </w:r>
      <w:bookmarkEnd w:id="6"/>
    </w:p>
    <w:p w14:paraId="7167B351">
      <w:pPr>
        <w:keepNext w:val="0"/>
        <w:keepLines w:val="0"/>
        <w:pageBreakBefore w:val="0"/>
        <w:widowControl w:val="0"/>
        <w:kinsoku/>
        <w:wordWrap/>
        <w:overflowPunct/>
        <w:topLinePunct w:val="0"/>
        <w:autoSpaceDE w:val="0"/>
        <w:autoSpaceDN w:val="0"/>
        <w:bidi w:val="0"/>
        <w:adjustRightInd w:val="0"/>
        <w:snapToGrid/>
        <w:spacing w:line="360" w:lineRule="auto"/>
        <w:ind w:firstLine="411" w:firstLineChars="196"/>
        <w:textAlignment w:val="auto"/>
        <w:rPr>
          <w:rFonts w:hint="eastAsia" w:ascii="宋体" w:hAnsi="宋体" w:eastAsia="宋体" w:cs="宋体"/>
          <w:color w:val="auto"/>
          <w:sz w:val="21"/>
          <w:szCs w:val="21"/>
          <w:highlight w:val="none"/>
        </w:rPr>
      </w:pPr>
      <w:bookmarkStart w:id="7" w:name="_Toc8581"/>
      <w:bookmarkStart w:id="8" w:name="_Toc396137230"/>
      <w:r>
        <w:rPr>
          <w:rFonts w:hint="eastAsia" w:ascii="宋体" w:hAnsi="宋体" w:eastAsia="宋体" w:cs="宋体"/>
          <w:color w:val="auto"/>
          <w:sz w:val="21"/>
          <w:szCs w:val="21"/>
          <w:highlight w:val="none"/>
        </w:rPr>
        <w:t>1、一般要求：</w:t>
      </w:r>
    </w:p>
    <w:p w14:paraId="5A142B3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须为在中华人民共和国境内登记注册的具有独立承担民事责任能力的法人或其他组织【提供《营业执照》复印件（加盖公章）或《事业单位法人证书》复印件（加盖公章）或其他主体证书复印件（加盖公章）】。</w:t>
      </w:r>
    </w:p>
    <w:p w14:paraId="0B59C92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1800C95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的单位负责人为同一人或者存在直接控股、管理关系的不同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，不得参加同一合同项下的采购活动。</w:t>
      </w:r>
    </w:p>
    <w:p w14:paraId="10C909E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需提供相关证明资料。</w:t>
      </w:r>
    </w:p>
    <w:p w14:paraId="6AEFD5A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（5）未被列入东实集团及下属企业相关领域黑名单。【以</w:t>
      </w:r>
      <w:r>
        <w:rPr>
          <w:rFonts w:hint="eastAsia" w:ascii="宋体" w:hAnsi="宋体" w:eastAsia="宋体" w:cs="宋体"/>
          <w:color w:val="auto"/>
          <w:kern w:val="2"/>
          <w:sz w:val="21"/>
          <w:szCs w:val="21"/>
          <w:highlight w:val="none"/>
          <w:lang w:val="zh-CN"/>
        </w:rPr>
        <w:t>东莞实业投资控股集团有限公司</w:t>
      </w:r>
      <w:r>
        <w:rPr>
          <w:rFonts w:hint="eastAsia" w:ascii="宋体" w:hAnsi="宋体" w:eastAsia="宋体" w:cs="宋体"/>
          <w:color w:val="auto"/>
          <w:sz w:val="21"/>
          <w:szCs w:val="21"/>
          <w:highlight w:val="none"/>
        </w:rPr>
        <w:t>发文（东实通〔2021〕44号）、（东实通〔2021〕98号）、（东实通〔2022〕75号）、（东实通〔2023〕37号）为准，如有最新发文通知，按最新文件执行。】</w:t>
      </w:r>
    </w:p>
    <w:p w14:paraId="04FDEC9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2、其他要求</w:t>
      </w:r>
    </w:p>
    <w:p w14:paraId="17F77CFA">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20" w:firstLineChars="200"/>
        <w:textAlignment w:val="auto"/>
        <w:outlineLvl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须具备建设行政主管部门颁发的建设工程质量检测机构资质证书（检测范围须涵盖本次</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rPr>
        <w:t>对应标段的主要内容：地基基础工程检测），且证书在有效期内。</w:t>
      </w:r>
    </w:p>
    <w:p w14:paraId="735653DD">
      <w:pPr>
        <w:keepNext w:val="0"/>
        <w:keepLines w:val="0"/>
        <w:pageBreakBefore w:val="0"/>
        <w:shd w:val="clear"/>
        <w:kinsoku/>
        <w:overflowPunct/>
        <w:topLinePunct w:val="0"/>
        <w:bidi w:val="0"/>
        <w:snapToGrid/>
        <w:spacing w:line="360" w:lineRule="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三、获取磋商文件：</w:t>
      </w:r>
      <w:bookmarkEnd w:id="7"/>
    </w:p>
    <w:p w14:paraId="54C65BBD">
      <w:pPr>
        <w:keepNext w:val="0"/>
        <w:keepLines w:val="0"/>
        <w:pageBreakBefore w:val="0"/>
        <w:widowControl/>
        <w:shd w:val="clear"/>
        <w:kinsoku/>
        <w:overflowPunct/>
        <w:topLinePunct w:val="0"/>
        <w:bidi w:val="0"/>
        <w:adjustRightInd/>
        <w:snapToGrid/>
        <w:spacing w:line="360" w:lineRule="auto"/>
        <w:ind w:left="0" w:right="0" w:firstLine="420" w:firstLineChars="200"/>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本项目不进行实名登记报名，拟参加磋商的供应商于磋商截止时间前自行网上下载采购文件。采购文件下载地址：中国招标投标公共服务平台（http://www.cebpubservice.com/）、</w:t>
      </w:r>
      <w:r>
        <w:rPr>
          <w:rFonts w:hint="eastAsia" w:ascii="宋体" w:hAnsi="宋体" w:eastAsia="宋体" w:cs="宋体"/>
          <w:strike w:val="0"/>
          <w:color w:val="auto"/>
          <w:kern w:val="2"/>
          <w:sz w:val="21"/>
          <w:szCs w:val="21"/>
          <w:highlight w:val="none"/>
        </w:rPr>
        <w:t>东莞实业投资控股集团有限公司-招标采购栏目（http://www.dgsy.com.cn/）、</w:t>
      </w:r>
      <w:r>
        <w:rPr>
          <w:rFonts w:hint="eastAsia" w:ascii="宋体" w:hAnsi="宋体" w:eastAsia="宋体" w:cs="宋体"/>
          <w:color w:val="auto"/>
          <w:kern w:val="2"/>
          <w:sz w:val="21"/>
          <w:szCs w:val="21"/>
          <w:highlight w:val="none"/>
          <w:lang w:eastAsia="zh-CN"/>
        </w:rPr>
        <w:t>广东志合项目管理有限公司网站（http://www.gdzhihe.cn/）</w:t>
      </w:r>
      <w:r>
        <w:rPr>
          <w:rFonts w:hint="eastAsia" w:ascii="宋体" w:hAnsi="宋体" w:eastAsia="宋体" w:cs="宋体"/>
          <w:color w:val="auto"/>
          <w:kern w:val="2"/>
          <w:sz w:val="21"/>
          <w:szCs w:val="21"/>
          <w:highlight w:val="none"/>
        </w:rPr>
        <w:t>。</w:t>
      </w:r>
    </w:p>
    <w:p w14:paraId="6AC8645C">
      <w:pPr>
        <w:pStyle w:val="65"/>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rPr>
        <w:t>采购结果公告发布媒介：</w:t>
      </w:r>
      <w:r>
        <w:rPr>
          <w:rFonts w:hint="eastAsia" w:ascii="宋体" w:hAnsi="宋体" w:eastAsia="宋体" w:cs="宋体"/>
          <w:color w:val="auto"/>
          <w:sz w:val="21"/>
          <w:szCs w:val="21"/>
          <w:highlight w:val="none"/>
        </w:rPr>
        <w:t>东莞实业投资控股集团有限公司-招标采购栏目（http://www.dgsy.com.cn/）。</w:t>
      </w:r>
    </w:p>
    <w:p w14:paraId="2C7F45A2">
      <w:pPr>
        <w:keepNext w:val="0"/>
        <w:keepLines w:val="0"/>
        <w:pageBreakBefore w:val="0"/>
        <w:widowControl/>
        <w:shd w:val="clear"/>
        <w:kinsoku/>
        <w:overflowPunct/>
        <w:topLinePunct w:val="0"/>
        <w:bidi w:val="0"/>
        <w:snapToGrid/>
        <w:spacing w:line="360" w:lineRule="auto"/>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四、接收响应文件的时间、地点、截止时间，开启响应文件时间、地点</w:t>
      </w:r>
      <w:r>
        <w:rPr>
          <w:rFonts w:hint="eastAsia" w:ascii="宋体" w:hAnsi="宋体" w:eastAsia="宋体" w:cs="宋体"/>
          <w:b/>
          <w:color w:val="auto"/>
          <w:szCs w:val="21"/>
          <w:highlight w:val="none"/>
        </w:rPr>
        <w:t>：</w:t>
      </w:r>
    </w:p>
    <w:p w14:paraId="77442CD4">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1、接收响应文件的时间：</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rPr>
        <w:t>日（北京时间）</w:t>
      </w:r>
      <w:r>
        <w:rPr>
          <w:rFonts w:hint="eastAsia" w:ascii="宋体" w:hAnsi="宋体" w:eastAsia="宋体" w:cs="宋体"/>
          <w:color w:val="auto"/>
          <w:szCs w:val="21"/>
          <w:highlight w:val="none"/>
          <w:u w:val="single"/>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30</w:t>
      </w:r>
      <w:r>
        <w:rPr>
          <w:rFonts w:hint="eastAsia" w:ascii="宋体" w:hAnsi="宋体" w:eastAsia="宋体" w:cs="宋体"/>
          <w:color w:val="auto"/>
          <w:sz w:val="21"/>
          <w:szCs w:val="21"/>
          <w:highlight w:val="none"/>
        </w:rPr>
        <w:t>。</w:t>
      </w:r>
    </w:p>
    <w:p w14:paraId="5F5B7D00">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2、接收响应文件截止时间及开启响应文件时间：</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rPr>
        <w:t>日</w:t>
      </w:r>
      <w:r>
        <w:rPr>
          <w:rFonts w:hint="eastAsia" w:ascii="宋体" w:hAnsi="宋体" w:eastAsia="宋体" w:cs="宋体"/>
          <w:color w:val="auto"/>
          <w:sz w:val="21"/>
          <w:szCs w:val="21"/>
          <w:highlight w:val="none"/>
          <w:lang w:val="en-US" w:eastAsia="zh-CN"/>
        </w:rPr>
        <w:t>下</w:t>
      </w:r>
      <w:r>
        <w:rPr>
          <w:rFonts w:hint="eastAsia" w:ascii="宋体" w:hAnsi="宋体" w:eastAsia="宋体" w:cs="宋体"/>
          <w:color w:val="auto"/>
          <w:sz w:val="21"/>
          <w:szCs w:val="21"/>
          <w:highlight w:val="none"/>
        </w:rPr>
        <w:t>午</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:30。</w:t>
      </w:r>
    </w:p>
    <w:p w14:paraId="76EA8360">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3、接收响应文件地点：</w:t>
      </w:r>
      <w:r>
        <w:rPr>
          <w:rFonts w:hint="eastAsia" w:ascii="宋体" w:hAnsi="宋体" w:eastAsia="宋体" w:cs="宋体"/>
          <w:color w:val="auto"/>
          <w:sz w:val="21"/>
          <w:szCs w:val="21"/>
          <w:highlight w:val="none"/>
          <w:lang w:eastAsia="zh-CN"/>
        </w:rPr>
        <w:t>广东省东莞市南城街道西平三路3号2栋11单元301室</w:t>
      </w:r>
      <w:r>
        <w:rPr>
          <w:rFonts w:hint="eastAsia" w:ascii="宋体" w:hAnsi="宋体" w:eastAsia="宋体" w:cs="宋体"/>
          <w:color w:val="auto"/>
          <w:sz w:val="21"/>
          <w:szCs w:val="21"/>
          <w:highlight w:val="none"/>
        </w:rPr>
        <w:t>。</w:t>
      </w:r>
    </w:p>
    <w:p w14:paraId="33487190">
      <w:pPr>
        <w:keepNext w:val="0"/>
        <w:keepLines w:val="0"/>
        <w:pageBreakBefore w:val="0"/>
        <w:shd w:val="clear"/>
        <w:kinsoku/>
        <w:overflowPunct/>
        <w:topLinePunct w:val="0"/>
        <w:bidi w:val="0"/>
        <w:snapToGrid/>
        <w:spacing w:line="360" w:lineRule="auto"/>
        <w:outlineLvl w:val="0"/>
        <w:rPr>
          <w:rFonts w:hint="eastAsia" w:ascii="宋体" w:hAnsi="宋体" w:eastAsia="宋体" w:cs="宋体"/>
          <w:b/>
          <w:bCs/>
          <w:color w:val="auto"/>
          <w:sz w:val="21"/>
          <w:szCs w:val="21"/>
          <w:highlight w:val="none"/>
        </w:rPr>
      </w:pPr>
      <w:bookmarkStart w:id="9" w:name="_Toc26926"/>
      <w:r>
        <w:rPr>
          <w:rFonts w:hint="eastAsia" w:ascii="宋体" w:hAnsi="宋体" w:eastAsia="宋体" w:cs="宋体"/>
          <w:b/>
          <w:bCs/>
          <w:color w:val="auto"/>
          <w:sz w:val="21"/>
          <w:szCs w:val="21"/>
          <w:highlight w:val="none"/>
        </w:rPr>
        <w:t>五、</w:t>
      </w:r>
      <w:r>
        <w:rPr>
          <w:rFonts w:hint="eastAsia" w:ascii="宋体" w:hAnsi="宋体" w:eastAsia="宋体" w:cs="宋体"/>
          <w:b/>
          <w:color w:val="auto"/>
          <w:sz w:val="21"/>
          <w:szCs w:val="21"/>
          <w:highlight w:val="none"/>
        </w:rPr>
        <w:t>采购代理机构</w:t>
      </w:r>
      <w:r>
        <w:rPr>
          <w:rFonts w:hint="eastAsia" w:ascii="宋体" w:hAnsi="宋体" w:eastAsia="宋体" w:cs="宋体"/>
          <w:b/>
          <w:bCs/>
          <w:color w:val="auto"/>
          <w:sz w:val="21"/>
          <w:szCs w:val="21"/>
          <w:highlight w:val="none"/>
        </w:rPr>
        <w:t>及采购人</w:t>
      </w:r>
      <w:r>
        <w:rPr>
          <w:rFonts w:hint="eastAsia" w:ascii="宋体" w:hAnsi="宋体" w:eastAsia="宋体" w:cs="宋体"/>
          <w:b/>
          <w:color w:val="auto"/>
          <w:sz w:val="21"/>
          <w:szCs w:val="21"/>
          <w:highlight w:val="none"/>
        </w:rPr>
        <w:t>的地址和联系方式</w:t>
      </w:r>
      <w:r>
        <w:rPr>
          <w:rFonts w:hint="eastAsia" w:ascii="宋体" w:hAnsi="宋体" w:eastAsia="宋体" w:cs="宋体"/>
          <w:b/>
          <w:bCs/>
          <w:color w:val="auto"/>
          <w:sz w:val="21"/>
          <w:szCs w:val="21"/>
          <w:highlight w:val="none"/>
        </w:rPr>
        <w:t>：</w:t>
      </w:r>
      <w:bookmarkEnd w:id="9"/>
    </w:p>
    <w:p w14:paraId="6967A03B">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 购 人：</w:t>
      </w:r>
      <w:r>
        <w:rPr>
          <w:rFonts w:hint="eastAsia" w:ascii="宋体" w:hAnsi="宋体" w:eastAsia="宋体" w:cs="宋体"/>
          <w:color w:val="auto"/>
          <w:sz w:val="21"/>
          <w:szCs w:val="21"/>
          <w:highlight w:val="none"/>
          <w:lang w:val="en-US" w:eastAsia="zh-CN"/>
        </w:rPr>
        <w:t>东莞市旗创产业投资有限公司</w:t>
      </w:r>
    </w:p>
    <w:p w14:paraId="3C43D352">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址：东莞市东城区八一路机关二号大院9号楼</w:t>
      </w:r>
    </w:p>
    <w:p w14:paraId="7111ABA8">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eastAsia="zh-CN"/>
        </w:rPr>
        <w:t>曾小姐</w:t>
      </w:r>
    </w:p>
    <w:p w14:paraId="4856B96C">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电    话：0769-28681293 </w:t>
      </w:r>
      <w:r>
        <w:rPr>
          <w:rFonts w:hint="eastAsia" w:ascii="宋体" w:hAnsi="宋体" w:eastAsia="宋体" w:cs="宋体"/>
          <w:b/>
          <w:color w:val="auto"/>
          <w:sz w:val="21"/>
          <w:szCs w:val="21"/>
          <w:highlight w:val="none"/>
        </w:rPr>
        <w:t xml:space="preserve"> </w:t>
      </w:r>
    </w:p>
    <w:p w14:paraId="142EB538">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广东志合项目管理有限公司</w:t>
      </w:r>
    </w:p>
    <w:p w14:paraId="619E99C3">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广东省东莞市南城街道西平三路3号2栋11单元301室</w:t>
      </w:r>
      <w:bookmarkStart w:id="335" w:name="_GoBack"/>
      <w:bookmarkEnd w:id="335"/>
    </w:p>
    <w:p w14:paraId="2319231D">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项目联系人: </w:t>
      </w:r>
      <w:r>
        <w:rPr>
          <w:rFonts w:hint="eastAsia" w:ascii="宋体" w:hAnsi="宋体" w:eastAsia="宋体" w:cs="宋体"/>
          <w:color w:val="auto"/>
          <w:sz w:val="21"/>
          <w:szCs w:val="21"/>
          <w:highlight w:val="none"/>
          <w:lang w:eastAsia="zh-CN"/>
        </w:rPr>
        <w:t>周先生</w:t>
      </w:r>
    </w:p>
    <w:p w14:paraId="522D4092">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eastAsia="zh-CN"/>
        </w:rPr>
        <w:t>0769-22333556</w:t>
      </w:r>
    </w:p>
    <w:p w14:paraId="52F25B51">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邮    箱：</w:t>
      </w:r>
      <w:r>
        <w:rPr>
          <w:rFonts w:hint="eastAsia" w:ascii="宋体" w:hAnsi="宋体" w:eastAsia="宋体" w:cs="宋体"/>
          <w:color w:val="auto"/>
          <w:sz w:val="21"/>
          <w:szCs w:val="21"/>
          <w:highlight w:val="none"/>
          <w:lang w:eastAsia="zh-CN"/>
        </w:rPr>
        <w:t>48463673@qq.com</w:t>
      </w:r>
      <w:r>
        <w:rPr>
          <w:rFonts w:hint="eastAsia" w:ascii="宋体" w:hAnsi="宋体" w:eastAsia="宋体" w:cs="宋体"/>
          <w:b/>
          <w:color w:val="auto"/>
          <w:sz w:val="21"/>
          <w:szCs w:val="21"/>
          <w:highlight w:val="none"/>
        </w:rPr>
        <w:t xml:space="preserve">                                    </w:t>
      </w:r>
    </w:p>
    <w:p w14:paraId="5B94B8F8">
      <w:pPr>
        <w:keepNext w:val="0"/>
        <w:keepLines w:val="0"/>
        <w:pageBreakBefore w:val="0"/>
        <w:shd w:val="clear"/>
        <w:kinsoku/>
        <w:overflowPunct/>
        <w:topLinePunct w:val="0"/>
        <w:bidi w:val="0"/>
        <w:snapToGrid/>
        <w:spacing w:line="360" w:lineRule="auto"/>
        <w:ind w:firstLine="422" w:firstLineChars="200"/>
        <w:jc w:val="right"/>
        <w:rPr>
          <w:rFonts w:hint="eastAsia" w:ascii="宋体" w:hAnsi="宋体" w:eastAsia="宋体" w:cs="宋体"/>
          <w:b/>
          <w:color w:val="auto"/>
          <w:sz w:val="21"/>
          <w:szCs w:val="21"/>
          <w:highlight w:val="none"/>
          <w:lang w:val="en-US" w:eastAsia="zh-CN"/>
        </w:rPr>
      </w:pPr>
    </w:p>
    <w:p w14:paraId="64C1DC14">
      <w:pPr>
        <w:keepNext w:val="0"/>
        <w:keepLines w:val="0"/>
        <w:pageBreakBefore w:val="0"/>
        <w:shd w:val="clear"/>
        <w:kinsoku/>
        <w:overflowPunct/>
        <w:topLinePunct w:val="0"/>
        <w:bidi w:val="0"/>
        <w:snapToGrid/>
        <w:spacing w:line="360" w:lineRule="auto"/>
        <w:ind w:firstLine="422" w:firstLineChars="200"/>
        <w:jc w:val="righ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东莞市旗创产业投资有限公司</w:t>
      </w:r>
    </w:p>
    <w:p w14:paraId="6B2D76F1">
      <w:pPr>
        <w:keepNext w:val="0"/>
        <w:keepLines w:val="0"/>
        <w:pageBreakBefore w:val="0"/>
        <w:shd w:val="clear"/>
        <w:kinsoku/>
        <w:overflowPunct/>
        <w:topLinePunct w:val="0"/>
        <w:bidi w:val="0"/>
        <w:snapToGrid/>
        <w:spacing w:line="360" w:lineRule="auto"/>
        <w:ind w:firstLine="422" w:firstLineChars="200"/>
        <w:jc w:val="righ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广东志合项目管理有限公司</w:t>
      </w:r>
    </w:p>
    <w:p w14:paraId="7B9BE314">
      <w:pPr>
        <w:keepNext w:val="0"/>
        <w:keepLines w:val="0"/>
        <w:pageBreakBefore w:val="0"/>
        <w:shd w:val="clear"/>
        <w:kinsoku/>
        <w:wordWrap w:val="0"/>
        <w:overflowPunct/>
        <w:topLinePunct w:val="0"/>
        <w:bidi w:val="0"/>
        <w:snapToGrid/>
        <w:spacing w:line="360" w:lineRule="auto"/>
        <w:ind w:right="-34" w:firstLine="426" w:firstLineChars="202"/>
        <w:jc w:val="right"/>
        <w:rPr>
          <w:rFonts w:hint="eastAsia" w:ascii="宋体" w:hAnsi="宋体" w:eastAsia="宋体" w:cs="宋体"/>
          <w:b/>
          <w:color w:val="auto"/>
          <w:sz w:val="21"/>
          <w:szCs w:val="21"/>
          <w:highlight w:val="none"/>
          <w:lang w:eastAsia="zh-CN"/>
        </w:rPr>
      </w:pPr>
    </w:p>
    <w:p w14:paraId="3154009E">
      <w:pPr>
        <w:keepNext w:val="0"/>
        <w:keepLines w:val="0"/>
        <w:pageBreakBefore w:val="0"/>
        <w:shd w:val="clear"/>
        <w:kinsoku/>
        <w:wordWrap w:val="0"/>
        <w:overflowPunct/>
        <w:topLinePunct w:val="0"/>
        <w:bidi w:val="0"/>
        <w:snapToGrid/>
        <w:spacing w:line="360" w:lineRule="auto"/>
        <w:ind w:right="-34" w:firstLine="426" w:firstLineChars="202"/>
        <w:jc w:val="righ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2024</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rPr>
        <w:t>月</w:t>
      </w:r>
      <w:r>
        <w:rPr>
          <w:rFonts w:hint="eastAsia" w:hAnsi="宋体" w:cs="宋体"/>
          <w:b/>
          <w:color w:val="auto"/>
          <w:sz w:val="21"/>
          <w:szCs w:val="21"/>
          <w:highlight w:val="none"/>
          <w:lang w:val="en-US" w:eastAsia="zh-CN"/>
        </w:rPr>
        <w:t>26</w:t>
      </w:r>
      <w:r>
        <w:rPr>
          <w:rFonts w:hint="eastAsia" w:ascii="宋体" w:hAnsi="宋体" w:eastAsia="宋体" w:cs="宋体"/>
          <w:b/>
          <w:color w:val="auto"/>
          <w:sz w:val="21"/>
          <w:szCs w:val="21"/>
          <w:highlight w:val="none"/>
        </w:rPr>
        <w:t>日</w:t>
      </w:r>
    </w:p>
    <w:p w14:paraId="2224CE1B">
      <w:pPr>
        <w:pStyle w:val="4"/>
        <w:keepNext/>
        <w:keepLines/>
        <w:pageBreakBefore/>
        <w:numPr>
          <w:ilvl w:val="0"/>
          <w:numId w:val="10"/>
        </w:numPr>
        <w:shd w:val="clear"/>
        <w:tabs>
          <w:tab w:val="left" w:pos="1080"/>
        </w:tabs>
        <w:spacing w:line="360" w:lineRule="auto"/>
        <w:ind w:left="1262" w:hanging="1262" w:hangingChars="449"/>
        <w:jc w:val="center"/>
        <w:rPr>
          <w:rFonts w:hint="eastAsia" w:ascii="宋体" w:hAnsi="宋体" w:eastAsia="宋体" w:cs="宋体"/>
          <w:b/>
          <w:bCs/>
          <w:color w:val="auto"/>
          <w:kern w:val="44"/>
          <w:sz w:val="28"/>
          <w:szCs w:val="28"/>
          <w:highlight w:val="none"/>
          <w:lang w:val="zh-CN"/>
        </w:rPr>
      </w:pPr>
      <w:bookmarkStart w:id="10" w:name="_Toc16634"/>
      <w:bookmarkStart w:id="11" w:name="_Toc17779"/>
      <w:r>
        <w:rPr>
          <w:rFonts w:hint="eastAsia" w:ascii="宋体" w:hAnsi="宋体" w:eastAsia="宋体" w:cs="宋体"/>
          <w:b/>
          <w:bCs/>
          <w:color w:val="auto"/>
          <w:kern w:val="44"/>
          <w:sz w:val="28"/>
          <w:szCs w:val="28"/>
          <w:highlight w:val="none"/>
          <w:lang w:val="zh-CN"/>
        </w:rPr>
        <w:t>供应商须知</w:t>
      </w:r>
      <w:bookmarkEnd w:id="8"/>
      <w:bookmarkEnd w:id="10"/>
      <w:bookmarkEnd w:id="11"/>
    </w:p>
    <w:p w14:paraId="4A19D223">
      <w:pPr>
        <w:pStyle w:val="5"/>
        <w:shd w:val="clear"/>
        <w:adjustRightInd/>
        <w:spacing w:line="360" w:lineRule="auto"/>
        <w:ind w:firstLine="562" w:firstLineChars="200"/>
        <w:jc w:val="center"/>
        <w:rPr>
          <w:rFonts w:hint="eastAsia" w:ascii="宋体" w:hAnsi="宋体" w:eastAsia="宋体" w:cs="宋体"/>
          <w:color w:val="auto"/>
          <w:sz w:val="28"/>
          <w:szCs w:val="28"/>
          <w:highlight w:val="none"/>
        </w:rPr>
      </w:pPr>
      <w:bookmarkStart w:id="12" w:name="_Toc102277756"/>
      <w:bookmarkStart w:id="13" w:name="_Toc12804"/>
      <w:bookmarkStart w:id="14" w:name="_Toc6968687"/>
      <w:bookmarkStart w:id="15" w:name="_Toc507407359"/>
      <w:bookmarkStart w:id="16" w:name="_Toc6882675"/>
      <w:bookmarkStart w:id="17" w:name="_Toc5203"/>
      <w:bookmarkStart w:id="18" w:name="_Toc466786434"/>
      <w:bookmarkStart w:id="19" w:name="_Toc7897861"/>
      <w:r>
        <w:rPr>
          <w:rFonts w:hint="eastAsia" w:ascii="宋体" w:hAnsi="宋体" w:eastAsia="宋体" w:cs="宋体"/>
          <w:color w:val="auto"/>
          <w:sz w:val="28"/>
          <w:szCs w:val="28"/>
          <w:highlight w:val="none"/>
        </w:rPr>
        <w:t>一、说  明</w:t>
      </w:r>
      <w:bookmarkEnd w:id="12"/>
      <w:bookmarkEnd w:id="13"/>
      <w:bookmarkEnd w:id="14"/>
      <w:bookmarkEnd w:id="15"/>
      <w:bookmarkEnd w:id="16"/>
      <w:bookmarkEnd w:id="17"/>
      <w:bookmarkEnd w:id="18"/>
      <w:bookmarkEnd w:id="19"/>
    </w:p>
    <w:p w14:paraId="2F1FD360">
      <w:pPr>
        <w:pStyle w:val="6"/>
        <w:shd w:val="clear"/>
        <w:adjustRightInd/>
        <w:spacing w:line="360" w:lineRule="auto"/>
        <w:ind w:firstLine="420" w:firstLineChars="200"/>
        <w:rPr>
          <w:rFonts w:hint="eastAsia" w:ascii="宋体" w:hAnsi="宋体" w:eastAsia="宋体" w:cs="宋体"/>
          <w:color w:val="auto"/>
          <w:sz w:val="21"/>
          <w:szCs w:val="21"/>
          <w:highlight w:val="none"/>
        </w:rPr>
      </w:pPr>
      <w:bookmarkStart w:id="20" w:name="_Toc24987"/>
      <w:bookmarkStart w:id="21" w:name="_Toc7897862"/>
      <w:bookmarkStart w:id="22" w:name="_Toc475249114"/>
      <w:bookmarkStart w:id="23" w:name="_Toc3730"/>
      <w:r>
        <w:rPr>
          <w:rFonts w:hint="eastAsia" w:ascii="宋体" w:hAnsi="宋体" w:eastAsia="宋体" w:cs="宋体"/>
          <w:color w:val="auto"/>
          <w:sz w:val="21"/>
          <w:szCs w:val="21"/>
          <w:highlight w:val="none"/>
        </w:rPr>
        <w:t>1.适用范围</w:t>
      </w:r>
      <w:bookmarkEnd w:id="20"/>
      <w:bookmarkEnd w:id="21"/>
      <w:bookmarkEnd w:id="22"/>
      <w:bookmarkEnd w:id="23"/>
    </w:p>
    <w:p w14:paraId="18524424">
      <w:pPr>
        <w:shd w:val="clear"/>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1.1本磋商文件仅适用于本次采购邀请中所叙述的项目。</w:t>
      </w:r>
    </w:p>
    <w:p w14:paraId="591B9B59">
      <w:pPr>
        <w:shd w:val="clear"/>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1.2本磋商文件的解释权在采购代理机构。</w:t>
      </w:r>
    </w:p>
    <w:p w14:paraId="190ED55C">
      <w:pPr>
        <w:pStyle w:val="6"/>
        <w:shd w:val="clear"/>
        <w:adjustRightInd/>
        <w:spacing w:line="360" w:lineRule="auto"/>
        <w:ind w:firstLine="420" w:firstLineChars="200"/>
        <w:rPr>
          <w:rFonts w:hint="eastAsia" w:ascii="宋体" w:hAnsi="宋体" w:eastAsia="宋体" w:cs="宋体"/>
          <w:color w:val="auto"/>
          <w:sz w:val="21"/>
          <w:szCs w:val="21"/>
          <w:highlight w:val="none"/>
        </w:rPr>
      </w:pPr>
      <w:bookmarkStart w:id="24" w:name="_Toc598"/>
      <w:bookmarkStart w:id="25" w:name="_Toc9738"/>
      <w:bookmarkStart w:id="26" w:name="_Toc475249115"/>
      <w:bookmarkStart w:id="27" w:name="_Toc7897863"/>
      <w:r>
        <w:rPr>
          <w:rFonts w:hint="eastAsia" w:ascii="宋体" w:hAnsi="宋体" w:eastAsia="宋体" w:cs="宋体"/>
          <w:color w:val="auto"/>
          <w:sz w:val="21"/>
          <w:szCs w:val="21"/>
          <w:highlight w:val="none"/>
        </w:rPr>
        <w:t>2.定义</w:t>
      </w:r>
      <w:bookmarkEnd w:id="24"/>
      <w:bookmarkEnd w:id="25"/>
      <w:bookmarkEnd w:id="26"/>
      <w:bookmarkEnd w:id="27"/>
    </w:p>
    <w:p w14:paraId="214F48F6">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2.1“采购人”是指</w:t>
      </w:r>
      <w:r>
        <w:rPr>
          <w:rFonts w:hint="eastAsia" w:ascii="宋体" w:hAnsi="宋体" w:eastAsia="宋体" w:cs="宋体"/>
          <w:color w:val="auto"/>
          <w:sz w:val="21"/>
          <w:szCs w:val="21"/>
          <w:highlight w:val="none"/>
          <w:lang w:eastAsia="zh-CN"/>
        </w:rPr>
        <w:t>东莞市旗创产业投资有限公司</w:t>
      </w:r>
      <w:r>
        <w:rPr>
          <w:rFonts w:hint="eastAsia" w:ascii="宋体" w:hAnsi="宋体" w:eastAsia="宋体" w:cs="宋体"/>
          <w:color w:val="auto"/>
          <w:sz w:val="21"/>
          <w:szCs w:val="21"/>
          <w:highlight w:val="none"/>
        </w:rPr>
        <w:t>。</w:t>
      </w:r>
    </w:p>
    <w:p w14:paraId="1D289111">
      <w:pPr>
        <w:shd w:val="clea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2.2“采购代理机构”是指</w:t>
      </w:r>
      <w:r>
        <w:rPr>
          <w:rFonts w:hint="eastAsia" w:ascii="宋体" w:hAnsi="宋体" w:eastAsia="宋体" w:cs="宋体"/>
          <w:color w:val="auto"/>
          <w:sz w:val="21"/>
          <w:szCs w:val="21"/>
          <w:highlight w:val="none"/>
          <w:lang w:eastAsia="zh-CN"/>
        </w:rPr>
        <w:t>广东志合项目管理有限公司</w:t>
      </w:r>
      <w:r>
        <w:rPr>
          <w:rFonts w:hint="eastAsia" w:ascii="宋体" w:hAnsi="宋体" w:eastAsia="宋体" w:cs="宋体"/>
          <w:color w:val="auto"/>
          <w:sz w:val="21"/>
          <w:szCs w:val="21"/>
          <w:highlight w:val="none"/>
        </w:rPr>
        <w:t>。</w:t>
      </w:r>
    </w:p>
    <w:p w14:paraId="59B654B5">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2.3“供应商”指向采购代理机构提交响应文件的法人。</w:t>
      </w:r>
    </w:p>
    <w:p w14:paraId="4BEC0D0A">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货物：卖方按磋商文件规定向买方提供的货物。</w:t>
      </w:r>
    </w:p>
    <w:p w14:paraId="7023749B">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服务：磋商文件规定卖方必须承担的咨询、技术协助、培训及其它相关义务。</w:t>
      </w:r>
    </w:p>
    <w:p w14:paraId="77E06E5B">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语言：磋商文件的语言为简体中文。</w:t>
      </w:r>
    </w:p>
    <w:p w14:paraId="44B818F0">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日期：指公历日。</w:t>
      </w:r>
    </w:p>
    <w:p w14:paraId="7C8AE36B">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 时间：指北京时间。</w:t>
      </w:r>
    </w:p>
    <w:p w14:paraId="4A51FC87">
      <w:pPr>
        <w:pStyle w:val="6"/>
        <w:shd w:val="clear"/>
        <w:adjustRightInd/>
        <w:spacing w:line="360" w:lineRule="auto"/>
        <w:ind w:firstLine="420" w:firstLineChars="200"/>
        <w:rPr>
          <w:rFonts w:hint="eastAsia" w:ascii="宋体" w:hAnsi="宋体" w:eastAsia="宋体" w:cs="宋体"/>
          <w:color w:val="auto"/>
          <w:sz w:val="21"/>
          <w:szCs w:val="21"/>
          <w:highlight w:val="none"/>
        </w:rPr>
      </w:pPr>
      <w:bookmarkStart w:id="28" w:name="_Toc367"/>
      <w:bookmarkStart w:id="29" w:name="_Toc7897864"/>
      <w:bookmarkStart w:id="30" w:name="_Toc110953831"/>
      <w:bookmarkStart w:id="31" w:name="_Toc24709"/>
      <w:bookmarkStart w:id="32" w:name="_Toc507407360"/>
      <w:bookmarkStart w:id="33" w:name="_Toc466786435"/>
      <w:bookmarkStart w:id="34" w:name="_Toc6968688"/>
      <w:bookmarkStart w:id="35" w:name="_Toc6882676"/>
      <w:bookmarkStart w:id="36" w:name="_Toc102277757"/>
      <w:r>
        <w:rPr>
          <w:rFonts w:hint="eastAsia" w:ascii="宋体" w:hAnsi="宋体" w:eastAsia="宋体" w:cs="宋体"/>
          <w:color w:val="auto"/>
          <w:sz w:val="21"/>
          <w:szCs w:val="21"/>
          <w:highlight w:val="none"/>
        </w:rPr>
        <w:t>3.适用法律</w:t>
      </w:r>
      <w:bookmarkEnd w:id="28"/>
      <w:bookmarkEnd w:id="29"/>
      <w:bookmarkEnd w:id="30"/>
      <w:bookmarkEnd w:id="31"/>
    </w:p>
    <w:p w14:paraId="30E76244">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采购人、供应商和采购代理机构均应当参照</w:t>
      </w:r>
      <w:r>
        <w:rPr>
          <w:rFonts w:hint="eastAsia" w:ascii="宋体" w:hAnsi="宋体" w:eastAsia="宋体" w:cs="宋体"/>
          <w:color w:val="auto"/>
          <w:sz w:val="21"/>
          <w:szCs w:val="21"/>
          <w:highlight w:val="none"/>
          <w:lang w:eastAsia="zh-CN"/>
        </w:rPr>
        <w:t>东莞市旗创产业投资有限公司</w:t>
      </w:r>
      <w:r>
        <w:rPr>
          <w:rFonts w:hint="eastAsia" w:ascii="宋体" w:hAnsi="宋体" w:eastAsia="宋体" w:cs="宋体"/>
          <w:color w:val="auto"/>
          <w:sz w:val="21"/>
          <w:szCs w:val="21"/>
          <w:highlight w:val="none"/>
        </w:rPr>
        <w:t>相关招标采购规定执行。</w:t>
      </w:r>
    </w:p>
    <w:p w14:paraId="0233840F">
      <w:pPr>
        <w:pStyle w:val="6"/>
        <w:shd w:val="clear"/>
        <w:adjustRightInd/>
        <w:spacing w:line="360" w:lineRule="auto"/>
        <w:ind w:firstLine="420" w:firstLineChars="200"/>
        <w:rPr>
          <w:rFonts w:hint="eastAsia" w:ascii="宋体" w:hAnsi="宋体" w:eastAsia="宋体" w:cs="宋体"/>
          <w:color w:val="auto"/>
          <w:sz w:val="21"/>
          <w:szCs w:val="21"/>
          <w:highlight w:val="none"/>
          <w:lang w:val="zh-CN"/>
        </w:rPr>
      </w:pPr>
      <w:bookmarkStart w:id="37" w:name="_Toc20707"/>
      <w:bookmarkStart w:id="38" w:name="_Toc10397"/>
      <w:bookmarkStart w:id="39" w:name="_Toc7897866"/>
      <w:bookmarkStart w:id="40" w:name="_Toc110953833"/>
      <w:r>
        <w:rPr>
          <w:rFonts w:hint="eastAsia" w:ascii="宋体" w:hAnsi="宋体" w:eastAsia="宋体" w:cs="宋体"/>
          <w:color w:val="auto"/>
          <w:sz w:val="21"/>
          <w:szCs w:val="21"/>
          <w:highlight w:val="none"/>
          <w:lang w:val="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本项目不接受联合体磋商。</w:t>
      </w:r>
      <w:bookmarkEnd w:id="37"/>
    </w:p>
    <w:p w14:paraId="11C6AA39">
      <w:pPr>
        <w:pStyle w:val="6"/>
        <w:shd w:val="clear"/>
        <w:adjustRightInd/>
        <w:spacing w:line="360" w:lineRule="auto"/>
        <w:ind w:firstLine="420" w:firstLineChars="200"/>
        <w:rPr>
          <w:rFonts w:hint="eastAsia" w:ascii="宋体" w:hAnsi="宋体" w:eastAsia="宋体" w:cs="宋体"/>
          <w:bCs/>
          <w:color w:val="auto"/>
          <w:sz w:val="21"/>
          <w:szCs w:val="21"/>
          <w:highlight w:val="none"/>
        </w:rPr>
      </w:pPr>
      <w:bookmarkStart w:id="41" w:name="_Toc10368"/>
      <w:r>
        <w:rPr>
          <w:rFonts w:hint="eastAsia" w:ascii="宋体" w:hAnsi="宋体" w:eastAsia="宋体" w:cs="宋体"/>
          <w:color w:val="auto"/>
          <w:sz w:val="21"/>
          <w:szCs w:val="21"/>
          <w:highlight w:val="none"/>
        </w:rPr>
        <w:t>5.禁止事项</w:t>
      </w:r>
      <w:bookmarkEnd w:id="38"/>
      <w:bookmarkEnd w:id="39"/>
      <w:bookmarkEnd w:id="40"/>
      <w:bookmarkEnd w:id="41"/>
    </w:p>
    <w:p w14:paraId="2370E164">
      <w:pPr>
        <w:shd w:val="clear"/>
        <w:spacing w:line="360" w:lineRule="auto"/>
        <w:ind w:firstLine="420" w:firstLineChars="200"/>
        <w:rPr>
          <w:rFonts w:hint="eastAsia" w:ascii="宋体" w:hAnsi="宋体" w:eastAsia="宋体" w:cs="宋体"/>
          <w:color w:val="auto"/>
          <w:sz w:val="21"/>
          <w:szCs w:val="21"/>
          <w:highlight w:val="none"/>
        </w:rPr>
      </w:pPr>
      <w:bookmarkStart w:id="42" w:name="_Toc98126218"/>
      <w:bookmarkStart w:id="43" w:name="_Toc98126293"/>
      <w:r>
        <w:rPr>
          <w:rFonts w:hint="eastAsia" w:ascii="宋体" w:hAnsi="宋体" w:eastAsia="宋体" w:cs="宋体"/>
          <w:color w:val="auto"/>
          <w:sz w:val="21"/>
          <w:szCs w:val="21"/>
          <w:highlight w:val="none"/>
        </w:rPr>
        <w:t>5.1采购人、供应商和采购代理机构不得相互串通损害国家利益、社会公共利益和其他当事人的合法权益。</w:t>
      </w:r>
    </w:p>
    <w:p w14:paraId="48793BAA">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5.2供应商不得向采购人、采购代理机构、磋商小组的组成人员行贿或者采取其他不正当手段谋取成交。</w:t>
      </w:r>
      <w:bookmarkEnd w:id="42"/>
      <w:bookmarkEnd w:id="43"/>
    </w:p>
    <w:p w14:paraId="398BC4BB">
      <w:pPr>
        <w:shd w:val="clear"/>
        <w:spacing w:line="360" w:lineRule="auto"/>
        <w:ind w:firstLine="420" w:firstLineChars="200"/>
        <w:rPr>
          <w:rFonts w:hint="eastAsia" w:ascii="宋体" w:hAnsi="宋体" w:eastAsia="宋体" w:cs="宋体"/>
          <w:color w:val="auto"/>
          <w:sz w:val="21"/>
          <w:szCs w:val="21"/>
          <w:highlight w:val="none"/>
        </w:rPr>
      </w:pPr>
      <w:bookmarkStart w:id="44" w:name="_Toc98126294"/>
      <w:bookmarkStart w:id="45" w:name="_Toc98126219"/>
      <w:r>
        <w:rPr>
          <w:rFonts w:hint="eastAsia" w:ascii="宋体" w:hAnsi="宋体" w:eastAsia="宋体" w:cs="宋体"/>
          <w:color w:val="auto"/>
          <w:sz w:val="21"/>
          <w:szCs w:val="21"/>
          <w:highlight w:val="none"/>
        </w:rPr>
        <w:t>5.3采购代理机构不得向采购人行贿或者采取其他不正当手段谋取非法利益。</w:t>
      </w:r>
      <w:bookmarkEnd w:id="44"/>
      <w:bookmarkEnd w:id="45"/>
    </w:p>
    <w:p w14:paraId="3B236511">
      <w:pPr>
        <w:shd w:val="clear"/>
        <w:spacing w:line="360" w:lineRule="auto"/>
        <w:ind w:firstLine="420" w:firstLineChars="200"/>
        <w:rPr>
          <w:rFonts w:hint="eastAsia" w:ascii="宋体" w:hAnsi="宋体" w:eastAsia="宋体" w:cs="宋体"/>
          <w:color w:val="auto"/>
          <w:sz w:val="21"/>
          <w:szCs w:val="21"/>
          <w:highlight w:val="none"/>
        </w:rPr>
      </w:pPr>
      <w:bookmarkStart w:id="46" w:name="_Toc98126220"/>
      <w:bookmarkStart w:id="47" w:name="_Toc98126295"/>
      <w:r>
        <w:rPr>
          <w:rFonts w:hint="eastAsia" w:ascii="宋体" w:hAnsi="宋体" w:eastAsia="宋体" w:cs="宋体"/>
          <w:color w:val="auto"/>
          <w:sz w:val="21"/>
          <w:szCs w:val="21"/>
          <w:highlight w:val="none"/>
        </w:rPr>
        <w:t>5.4除供应商被要求对响应文件进行质疑澄清外，从开启响应文件之时起至授予合同止，供应商不得就与其响应文件有关的事项主动与磋商小组、采购人以及采购代理机构接触。</w:t>
      </w:r>
      <w:bookmarkEnd w:id="46"/>
      <w:bookmarkEnd w:id="47"/>
    </w:p>
    <w:p w14:paraId="115EA147">
      <w:pPr>
        <w:pStyle w:val="6"/>
        <w:shd w:val="clear"/>
        <w:adjustRightInd/>
        <w:spacing w:line="360" w:lineRule="auto"/>
        <w:ind w:firstLine="420" w:firstLineChars="200"/>
        <w:rPr>
          <w:rFonts w:hint="eastAsia" w:ascii="宋体" w:hAnsi="宋体" w:eastAsia="宋体" w:cs="宋体"/>
          <w:bCs/>
          <w:color w:val="auto"/>
          <w:sz w:val="21"/>
          <w:szCs w:val="21"/>
          <w:highlight w:val="none"/>
        </w:rPr>
      </w:pPr>
      <w:bookmarkStart w:id="48" w:name="_Toc2863"/>
      <w:bookmarkStart w:id="49" w:name="_Toc110953834"/>
      <w:bookmarkStart w:id="50" w:name="_Toc7897867"/>
      <w:bookmarkStart w:id="51" w:name="_Toc25870"/>
      <w:r>
        <w:rPr>
          <w:rFonts w:hint="eastAsia" w:ascii="宋体" w:hAnsi="宋体" w:eastAsia="宋体" w:cs="宋体"/>
          <w:color w:val="auto"/>
          <w:sz w:val="21"/>
          <w:szCs w:val="21"/>
          <w:highlight w:val="none"/>
        </w:rPr>
        <w:t>6.保密及其它注意事项</w:t>
      </w:r>
      <w:bookmarkEnd w:id="48"/>
      <w:bookmarkEnd w:id="49"/>
      <w:bookmarkEnd w:id="50"/>
      <w:bookmarkEnd w:id="51"/>
    </w:p>
    <w:p w14:paraId="5D830EA6">
      <w:pPr>
        <w:shd w:val="clear"/>
        <w:spacing w:line="360" w:lineRule="auto"/>
        <w:ind w:firstLine="420" w:firstLineChars="200"/>
        <w:rPr>
          <w:rFonts w:hint="eastAsia" w:ascii="宋体" w:hAnsi="宋体" w:eastAsia="宋体" w:cs="宋体"/>
          <w:color w:val="auto"/>
          <w:sz w:val="21"/>
          <w:szCs w:val="21"/>
          <w:highlight w:val="none"/>
        </w:rPr>
      </w:pPr>
      <w:bookmarkStart w:id="52" w:name="_Toc98126297"/>
      <w:bookmarkStart w:id="53" w:name="_Toc98126222"/>
      <w:r>
        <w:rPr>
          <w:rFonts w:hint="eastAsia" w:ascii="宋体" w:hAnsi="宋体" w:eastAsia="宋体" w:cs="宋体"/>
          <w:color w:val="auto"/>
          <w:sz w:val="21"/>
          <w:szCs w:val="21"/>
          <w:highlight w:val="none"/>
        </w:rPr>
        <w:t>6.1凡参与采购工作的有关人员均应自觉接受有关主管部门的监督，不得向他人透露可能影响公平竞争的有关情况。</w:t>
      </w:r>
      <w:bookmarkEnd w:id="52"/>
      <w:bookmarkEnd w:id="53"/>
    </w:p>
    <w:p w14:paraId="2F5EC141">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开启响应文件后，直至向成交供应商发出《成交通知书》止，凡与审查、澄清、评估和比较有关资料以及评审意见等，均不得向供应商及与评审无关的其他人透露。在采购工作结束后，与评审情况有接触的任何人，不得将评审情况扩散出磋商小组人员之外。</w:t>
      </w:r>
    </w:p>
    <w:p w14:paraId="63A9BF29">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6.3在评审期间，供应商不得向磋商小组成员询问评审情况，不得进行旨在影响评审结果的活动。</w:t>
      </w:r>
    </w:p>
    <w:p w14:paraId="642E1C48">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6.4磋商小组不向未成交供应商解释落选原因，不退还响应文件。</w:t>
      </w:r>
    </w:p>
    <w:p w14:paraId="7C2D522D">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6.5所有供应商自行承担与响应有关的全部费用。采购人和采购代理机构在任何情况下均不承担该费用。</w:t>
      </w:r>
    </w:p>
    <w:p w14:paraId="4EFE87AB">
      <w:pPr>
        <w:pStyle w:val="6"/>
        <w:shd w:val="clear"/>
        <w:adjustRightInd/>
        <w:spacing w:line="360" w:lineRule="auto"/>
        <w:ind w:firstLine="420" w:firstLineChars="200"/>
        <w:rPr>
          <w:rFonts w:hint="eastAsia" w:ascii="宋体" w:hAnsi="宋体" w:eastAsia="宋体" w:cs="宋体"/>
          <w:color w:val="auto"/>
          <w:sz w:val="21"/>
          <w:szCs w:val="21"/>
          <w:highlight w:val="none"/>
        </w:rPr>
      </w:pPr>
      <w:bookmarkStart w:id="54" w:name="_Toc27298"/>
      <w:bookmarkStart w:id="55" w:name="_Toc497016085"/>
      <w:bookmarkStart w:id="56" w:name="_Toc7897868"/>
      <w:bookmarkStart w:id="57" w:name="_Toc13371"/>
      <w:r>
        <w:rPr>
          <w:rFonts w:hint="eastAsia" w:ascii="宋体" w:hAnsi="宋体" w:eastAsia="宋体" w:cs="宋体"/>
          <w:color w:val="auto"/>
          <w:sz w:val="21"/>
          <w:szCs w:val="21"/>
          <w:highlight w:val="none"/>
        </w:rPr>
        <w:t>7.供应商诚信管理</w:t>
      </w:r>
      <w:bookmarkEnd w:id="54"/>
      <w:bookmarkEnd w:id="55"/>
      <w:bookmarkEnd w:id="56"/>
      <w:bookmarkEnd w:id="57"/>
    </w:p>
    <w:p w14:paraId="1C5998A0">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供应商在本磋商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供应商之间串通响应（递交响应书之前或之后），人为地使响应丧失竞争性，损害采购人从公开竞争中所能获得的权益。</w:t>
      </w:r>
    </w:p>
    <w:p w14:paraId="0F71E4AC">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7.2如果采购人或采购代理机构有证据表明供应商在本磋商项目的竞争中存在腐败、欺诈或其他严重违背诚信原则的行为，则将拒绝其响应。</w:t>
      </w:r>
    </w:p>
    <w:p w14:paraId="090B6E91">
      <w:pPr>
        <w:shd w:val="clear"/>
        <w:spacing w:line="360" w:lineRule="auto"/>
        <w:rPr>
          <w:rFonts w:hint="eastAsia" w:ascii="宋体" w:hAnsi="宋体" w:eastAsia="宋体" w:cs="宋体"/>
          <w:color w:val="auto"/>
          <w:sz w:val="21"/>
          <w:szCs w:val="21"/>
          <w:highlight w:val="none"/>
        </w:rPr>
      </w:pPr>
    </w:p>
    <w:p w14:paraId="766FD1D9">
      <w:pPr>
        <w:pStyle w:val="5"/>
        <w:shd w:val="clear"/>
        <w:adjustRightInd/>
        <w:spacing w:line="360" w:lineRule="auto"/>
        <w:ind w:firstLine="562" w:firstLineChars="200"/>
        <w:jc w:val="center"/>
        <w:rPr>
          <w:rFonts w:hint="eastAsia" w:ascii="宋体" w:hAnsi="宋体" w:eastAsia="宋体" w:cs="宋体"/>
          <w:color w:val="auto"/>
          <w:sz w:val="28"/>
          <w:szCs w:val="28"/>
          <w:highlight w:val="none"/>
        </w:rPr>
      </w:pPr>
      <w:bookmarkStart w:id="58" w:name="_Toc17498"/>
      <w:bookmarkStart w:id="59" w:name="_Toc7897869"/>
      <w:bookmarkStart w:id="60" w:name="_Toc23741"/>
      <w:r>
        <w:rPr>
          <w:rFonts w:hint="eastAsia" w:ascii="宋体" w:hAnsi="宋体" w:eastAsia="宋体" w:cs="宋体"/>
          <w:color w:val="auto"/>
          <w:sz w:val="28"/>
          <w:szCs w:val="28"/>
          <w:highlight w:val="none"/>
        </w:rPr>
        <w:t>二、磋商文件说明</w:t>
      </w:r>
      <w:bookmarkEnd w:id="32"/>
      <w:bookmarkEnd w:id="33"/>
      <w:bookmarkEnd w:id="34"/>
      <w:bookmarkEnd w:id="35"/>
      <w:bookmarkEnd w:id="36"/>
      <w:bookmarkEnd w:id="58"/>
      <w:bookmarkEnd w:id="59"/>
      <w:bookmarkEnd w:id="60"/>
    </w:p>
    <w:p w14:paraId="3D496942">
      <w:pPr>
        <w:pStyle w:val="6"/>
        <w:shd w:val="clear"/>
        <w:adjustRightInd/>
        <w:spacing w:line="360" w:lineRule="auto"/>
        <w:ind w:firstLine="420" w:firstLineChars="200"/>
        <w:rPr>
          <w:rFonts w:hint="eastAsia" w:ascii="宋体" w:hAnsi="宋体" w:eastAsia="宋体" w:cs="宋体"/>
          <w:color w:val="auto"/>
          <w:sz w:val="21"/>
          <w:szCs w:val="21"/>
          <w:highlight w:val="none"/>
        </w:rPr>
      </w:pPr>
      <w:bookmarkStart w:id="61" w:name="_Toc7897870"/>
      <w:bookmarkStart w:id="62" w:name="_Toc110953836"/>
      <w:bookmarkStart w:id="63" w:name="_Toc23606"/>
      <w:bookmarkStart w:id="64" w:name="_Toc29560"/>
      <w:bookmarkStart w:id="65" w:name="_Toc466786436"/>
      <w:bookmarkStart w:id="66" w:name="_Toc6968689"/>
      <w:bookmarkStart w:id="67" w:name="_Toc507407361"/>
      <w:bookmarkStart w:id="68" w:name="_Toc102277758"/>
      <w:bookmarkStart w:id="69" w:name="_Toc6882677"/>
      <w:r>
        <w:rPr>
          <w:rFonts w:hint="eastAsia" w:ascii="宋体" w:hAnsi="宋体" w:eastAsia="宋体" w:cs="宋体"/>
          <w:color w:val="auto"/>
          <w:sz w:val="21"/>
          <w:szCs w:val="21"/>
          <w:highlight w:val="none"/>
        </w:rPr>
        <w:t>8.磋商文件构成</w:t>
      </w:r>
      <w:bookmarkEnd w:id="61"/>
      <w:bookmarkEnd w:id="62"/>
      <w:bookmarkEnd w:id="63"/>
      <w:bookmarkEnd w:id="64"/>
    </w:p>
    <w:p w14:paraId="10AD326E">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8.1磋商文件用以阐明项目情况、评审程序、评审办法、定标标准和合同条款参考范本和响应文件的制作等，由磋商邀请书、供应商须知、用户需求书、合同范本和响应文件格式构成。</w:t>
      </w:r>
    </w:p>
    <w:p w14:paraId="6C936950">
      <w:pPr>
        <w:pStyle w:val="6"/>
        <w:shd w:val="clear"/>
        <w:adjustRightInd/>
        <w:spacing w:line="360" w:lineRule="auto"/>
        <w:ind w:firstLine="420" w:firstLineChars="200"/>
        <w:rPr>
          <w:rFonts w:hint="eastAsia" w:ascii="宋体" w:hAnsi="宋体" w:eastAsia="宋体" w:cs="宋体"/>
          <w:color w:val="auto"/>
          <w:sz w:val="21"/>
          <w:szCs w:val="21"/>
          <w:highlight w:val="none"/>
        </w:rPr>
      </w:pPr>
      <w:bookmarkStart w:id="70" w:name="_Toc7897871"/>
      <w:bookmarkStart w:id="71" w:name="_Toc19701"/>
      <w:bookmarkStart w:id="72" w:name="_Toc16827"/>
      <w:bookmarkStart w:id="73" w:name="_Toc110953837"/>
      <w:r>
        <w:rPr>
          <w:rFonts w:hint="eastAsia" w:ascii="宋体" w:hAnsi="宋体" w:eastAsia="宋体" w:cs="宋体"/>
          <w:color w:val="auto"/>
          <w:sz w:val="21"/>
          <w:szCs w:val="21"/>
          <w:highlight w:val="none"/>
        </w:rPr>
        <w:t>9.磋商文件的修改</w:t>
      </w:r>
      <w:bookmarkEnd w:id="70"/>
      <w:bookmarkEnd w:id="71"/>
      <w:bookmarkEnd w:id="72"/>
      <w:bookmarkEnd w:id="73"/>
    </w:p>
    <w:p w14:paraId="08087334">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将在提交首次响应文件截止时间5日前以书面形式通知所有获取磋商文件的供应商。</w:t>
      </w:r>
    </w:p>
    <w:p w14:paraId="74AC4961">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9.2如果修改的时间距响应文件递交截止时间不足5日的，将相应顺延递交首次响应文件截止时间。</w:t>
      </w:r>
    </w:p>
    <w:p w14:paraId="669DC697">
      <w:pPr>
        <w:pStyle w:val="3"/>
        <w:shd w:val="clear"/>
        <w:ind w:firstLine="400"/>
        <w:rPr>
          <w:rFonts w:hint="eastAsia" w:ascii="宋体" w:hAnsi="宋体" w:eastAsia="宋体" w:cs="宋体"/>
          <w:color w:val="auto"/>
          <w:highlight w:val="none"/>
        </w:rPr>
      </w:pPr>
    </w:p>
    <w:bookmarkEnd w:id="65"/>
    <w:bookmarkEnd w:id="66"/>
    <w:bookmarkEnd w:id="67"/>
    <w:bookmarkEnd w:id="68"/>
    <w:bookmarkEnd w:id="69"/>
    <w:p w14:paraId="259B494C">
      <w:pPr>
        <w:pStyle w:val="5"/>
        <w:shd w:val="clear"/>
        <w:adjustRightInd/>
        <w:spacing w:line="360" w:lineRule="auto"/>
        <w:ind w:firstLine="562" w:firstLineChars="200"/>
        <w:jc w:val="center"/>
        <w:rPr>
          <w:rFonts w:hint="eastAsia" w:ascii="宋体" w:hAnsi="宋体" w:eastAsia="宋体" w:cs="宋体"/>
          <w:color w:val="auto"/>
          <w:sz w:val="28"/>
          <w:szCs w:val="28"/>
          <w:highlight w:val="none"/>
        </w:rPr>
      </w:pPr>
      <w:bookmarkStart w:id="74" w:name="_Toc110953838"/>
      <w:bookmarkStart w:id="75" w:name="_Toc15398"/>
      <w:bookmarkStart w:id="76" w:name="_Toc18245"/>
      <w:bookmarkStart w:id="77" w:name="_Toc7897872"/>
      <w:bookmarkStart w:id="78" w:name="_Toc507407362"/>
      <w:bookmarkStart w:id="79" w:name="_Toc6968690"/>
      <w:bookmarkStart w:id="80" w:name="_Toc6882678"/>
      <w:bookmarkStart w:id="81" w:name="_Toc102277759"/>
      <w:bookmarkStart w:id="82" w:name="_Toc466786437"/>
      <w:r>
        <w:rPr>
          <w:rFonts w:hint="eastAsia" w:ascii="宋体" w:hAnsi="宋体" w:eastAsia="宋体" w:cs="宋体"/>
          <w:color w:val="auto"/>
          <w:sz w:val="28"/>
          <w:szCs w:val="28"/>
          <w:highlight w:val="none"/>
        </w:rPr>
        <w:t>三、响应文件的制作</w:t>
      </w:r>
      <w:bookmarkEnd w:id="74"/>
      <w:bookmarkEnd w:id="75"/>
      <w:bookmarkEnd w:id="76"/>
      <w:bookmarkEnd w:id="77"/>
    </w:p>
    <w:p w14:paraId="2FEB50AA">
      <w:pPr>
        <w:pStyle w:val="6"/>
        <w:shd w:val="clear"/>
        <w:adjustRightInd/>
        <w:spacing w:line="360" w:lineRule="auto"/>
        <w:ind w:firstLine="420" w:firstLineChars="200"/>
        <w:rPr>
          <w:rFonts w:hint="eastAsia" w:ascii="宋体" w:hAnsi="宋体" w:eastAsia="宋体" w:cs="宋体"/>
          <w:color w:val="auto"/>
          <w:sz w:val="21"/>
          <w:szCs w:val="21"/>
          <w:highlight w:val="none"/>
        </w:rPr>
      </w:pPr>
      <w:bookmarkStart w:id="83" w:name="_Toc15756"/>
      <w:bookmarkStart w:id="84" w:name="_Toc23789"/>
      <w:bookmarkStart w:id="85" w:name="_Toc110953839"/>
      <w:bookmarkStart w:id="86" w:name="_Toc7897873"/>
      <w:r>
        <w:rPr>
          <w:rFonts w:hint="eastAsia" w:ascii="宋体" w:hAnsi="宋体" w:eastAsia="宋体" w:cs="宋体"/>
          <w:color w:val="auto"/>
          <w:sz w:val="21"/>
          <w:szCs w:val="21"/>
          <w:highlight w:val="none"/>
        </w:rPr>
        <w:t>10.制作要求</w:t>
      </w:r>
      <w:bookmarkEnd w:id="83"/>
      <w:bookmarkEnd w:id="84"/>
      <w:bookmarkEnd w:id="85"/>
      <w:bookmarkEnd w:id="86"/>
    </w:p>
    <w:p w14:paraId="74F16C10">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10.1供应商应当仔细阅读磋商文件的所有内容，按磋商文件的要求提供响应文件，并保证所提供的全部资料的真实性及对磋商文件作出实质性响应。</w:t>
      </w:r>
    </w:p>
    <w:p w14:paraId="1964F4CC">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10.2供应商应按磋商文件中提供的响应文件格式制作响应文件。如有关表格不能满足填报需要，可以对表格格式作出相应调整，但不得更改表格的实质性内容。</w:t>
      </w:r>
    </w:p>
    <w:p w14:paraId="5CCDD9F7">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b/>
          <w:color w:val="auto"/>
          <w:sz w:val="21"/>
          <w:szCs w:val="21"/>
          <w:highlight w:val="none"/>
        </w:rPr>
        <w:t>3供应商应提供正本一份、副本</w:t>
      </w:r>
      <w:r>
        <w:rPr>
          <w:rFonts w:hint="eastAsia" w:ascii="宋体" w:hAnsi="宋体" w:eastAsia="宋体" w:cs="宋体"/>
          <w:b/>
          <w:color w:val="auto"/>
          <w:sz w:val="21"/>
          <w:szCs w:val="21"/>
          <w:highlight w:val="none"/>
          <w:lang w:eastAsia="zh-CN"/>
        </w:rPr>
        <w:t>三</w:t>
      </w:r>
      <w:r>
        <w:rPr>
          <w:rFonts w:hint="eastAsia" w:ascii="宋体" w:hAnsi="宋体" w:eastAsia="宋体" w:cs="宋体"/>
          <w:b/>
          <w:color w:val="auto"/>
          <w:sz w:val="21"/>
          <w:szCs w:val="21"/>
          <w:highlight w:val="none"/>
        </w:rPr>
        <w:t>份、唱标信封一份。</w:t>
      </w:r>
      <w:r>
        <w:rPr>
          <w:rFonts w:hint="eastAsia" w:ascii="宋体" w:hAnsi="宋体" w:eastAsia="宋体" w:cs="宋体"/>
          <w:color w:val="auto"/>
          <w:sz w:val="21"/>
          <w:szCs w:val="21"/>
          <w:highlight w:val="none"/>
        </w:rPr>
        <w:t>在每一份响应文件上要明确注明“正本”、“副本”或“唱标信封”字样，一旦正本和副本有差异，以正本为准。</w:t>
      </w:r>
    </w:p>
    <w:p w14:paraId="021B89EE">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响应文件的正本必须打印，并由供应商的法定代表人或经正式授权对供应商有约束力的委托代理人在响应文件上签字并加盖公章。委托代理人必须出具书面形式的《授权委托书》并附在响应文件中。响应文件的副本可采用正本的复印件。</w:t>
      </w:r>
    </w:p>
    <w:p w14:paraId="6FD4E115">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10.5除供应商对错处作必要修改外，响应文件中不许有加行、涂改或改写。任何行间插字、涂改和增删，必须由供应商的法定代表人或委托代理人在修改处签字或加盖公章才有效。</w:t>
      </w:r>
    </w:p>
    <w:p w14:paraId="12E29081">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10.6电报、电话、传真、电子邮件形式的响应概不接受。</w:t>
      </w:r>
    </w:p>
    <w:p w14:paraId="580DAD6D">
      <w:pPr>
        <w:pStyle w:val="6"/>
        <w:shd w:val="clear"/>
        <w:adjustRightInd/>
        <w:spacing w:line="360" w:lineRule="auto"/>
        <w:ind w:firstLine="420" w:firstLineChars="200"/>
        <w:rPr>
          <w:rFonts w:hint="eastAsia" w:ascii="宋体" w:hAnsi="宋体" w:eastAsia="宋体" w:cs="宋体"/>
          <w:color w:val="auto"/>
          <w:sz w:val="21"/>
          <w:szCs w:val="21"/>
          <w:highlight w:val="none"/>
        </w:rPr>
      </w:pPr>
      <w:bookmarkStart w:id="87" w:name="_Toc110953840"/>
      <w:bookmarkStart w:id="88" w:name="_Toc7897874"/>
      <w:bookmarkStart w:id="89" w:name="_Toc18079"/>
      <w:bookmarkStart w:id="90" w:name="_Toc20552"/>
      <w:r>
        <w:rPr>
          <w:rFonts w:hint="eastAsia" w:ascii="宋体" w:hAnsi="宋体" w:eastAsia="宋体" w:cs="宋体"/>
          <w:color w:val="auto"/>
          <w:sz w:val="21"/>
          <w:szCs w:val="21"/>
          <w:highlight w:val="none"/>
        </w:rPr>
        <w:t>11.响应文件的内容</w:t>
      </w:r>
      <w:bookmarkEnd w:id="87"/>
      <w:bookmarkEnd w:id="88"/>
      <w:bookmarkEnd w:id="89"/>
      <w:bookmarkEnd w:id="90"/>
    </w:p>
    <w:p w14:paraId="496F6541">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11.1响应文件应包括下列部分：</w:t>
      </w:r>
    </w:p>
    <w:p w14:paraId="7E997C9A">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11.1.1价格文件</w:t>
      </w:r>
    </w:p>
    <w:p w14:paraId="55859F24">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11.1.2商务、技术文件</w:t>
      </w:r>
    </w:p>
    <w:p w14:paraId="4AE4D4CF">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11.1.3唱标信封（须独立密封）</w:t>
      </w:r>
    </w:p>
    <w:p w14:paraId="5A450666">
      <w:pPr>
        <w:shd w:val="clea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供应商应如实详细提供第11.1款所要求的全部资料，价格部分文件必须单独装订成册，商务、技术和其他证明资料等磋商响应文件不能出现磋商价格。</w:t>
      </w:r>
    </w:p>
    <w:p w14:paraId="218786E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11.2响应（磋商）报价</w:t>
      </w:r>
    </w:p>
    <w:p w14:paraId="297747D4">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（1）响应（磋商）报价应为人民币含税全包价，报价应包含服务及所需的各种税费、售后服务费及合同实施过程中的应预见和不可预见费用等完成合同规定责任和义务、达到合同目的的一切费用。</w:t>
      </w:r>
    </w:p>
    <w:p w14:paraId="186F332E">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（2）磋商报价应包括所有应支付的对专利权和版权、设计或其他知识产权而需要向其他方支付的版税。</w:t>
      </w:r>
    </w:p>
    <w:p w14:paraId="332E3970">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（3）供应商应按响应文件的《报价一览表》格式填写响应内容的单价和总价。</w:t>
      </w:r>
    </w:p>
    <w:p w14:paraId="102C264B">
      <w:pPr>
        <w:shd w:val="clea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bCs/>
          <w:color w:val="auto"/>
          <w:sz w:val="21"/>
          <w:szCs w:val="21"/>
          <w:highlight w:val="none"/>
        </w:rPr>
        <w:t>供应商每次报价超过</w:t>
      </w:r>
      <w:r>
        <w:rPr>
          <w:rFonts w:hint="eastAsia" w:ascii="宋体" w:hAnsi="宋体" w:eastAsia="宋体" w:cs="宋体"/>
          <w:b/>
          <w:bCs/>
          <w:color w:val="auto"/>
          <w:sz w:val="21"/>
          <w:szCs w:val="21"/>
          <w:highlight w:val="none"/>
          <w:lang w:eastAsia="zh-CN"/>
        </w:rPr>
        <w:t>最高报价</w:t>
      </w:r>
      <w:r>
        <w:rPr>
          <w:rFonts w:hint="eastAsia" w:ascii="宋体" w:hAnsi="宋体" w:eastAsia="宋体" w:cs="宋体"/>
          <w:b/>
          <w:bCs/>
          <w:color w:val="auto"/>
          <w:sz w:val="21"/>
          <w:szCs w:val="21"/>
          <w:highlight w:val="none"/>
        </w:rPr>
        <w:t>视为非实质性响应磋商而予以拒绝。</w:t>
      </w:r>
    </w:p>
    <w:p w14:paraId="43C1F51D">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（5）经磋商后，供应商所报的最后磋商报价在合同执行过程中是固定不变的，不得以任何理由予以变更。</w:t>
      </w:r>
    </w:p>
    <w:p w14:paraId="68BA0134">
      <w:pPr>
        <w:shd w:val="clea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（6）供应商只能就单个项目提供唯一的方案和报价，不接受选择性的方案和报价。</w:t>
      </w:r>
    </w:p>
    <w:p w14:paraId="5D331A34">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11.3证明供应商合格和资格的文件</w:t>
      </w:r>
    </w:p>
    <w:p w14:paraId="14C691AF">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11.4供应商应当提交具备履行合同的证明文件。</w:t>
      </w:r>
    </w:p>
    <w:p w14:paraId="0D2D70E1">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11.5证明文件包括：履行合同所必须具备的财务能力证明、技术能力证明，符合磋商文件资格要求的证明等。</w:t>
      </w:r>
    </w:p>
    <w:p w14:paraId="29C71B25">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11.6证明服务的合格性和符合磋商文件规定的文件。</w:t>
      </w:r>
    </w:p>
    <w:p w14:paraId="0820DDCC">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11.7供应商应提交其拟供的合同项下的服务的合格性符合磋商文件规定的证明文件，并作为其响应文件的一部分。</w:t>
      </w:r>
    </w:p>
    <w:p w14:paraId="44D8DA0C">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服务合格性的证明文件应包括服务来源地的说明，服务与磋商文件的要求相一致的证明文件，其他说明所提供服务已对技术要求做出了实质性响应的文件或说明与技术规格条文的偏差和例外等，形式可以是文字说明、图纸及其他资料。</w:t>
      </w:r>
    </w:p>
    <w:p w14:paraId="27D73166">
      <w:pPr>
        <w:pStyle w:val="6"/>
        <w:shd w:val="clear"/>
        <w:adjustRightInd/>
        <w:spacing w:line="360" w:lineRule="auto"/>
        <w:ind w:firstLine="420" w:firstLineChars="200"/>
        <w:rPr>
          <w:rFonts w:hint="eastAsia" w:ascii="宋体" w:hAnsi="宋体" w:eastAsia="宋体" w:cs="宋体"/>
          <w:color w:val="auto"/>
          <w:sz w:val="21"/>
          <w:szCs w:val="21"/>
          <w:highlight w:val="none"/>
        </w:rPr>
      </w:pPr>
      <w:bookmarkStart w:id="91" w:name="_Toc110953841"/>
      <w:bookmarkStart w:id="92" w:name="_Toc9150"/>
      <w:bookmarkStart w:id="93" w:name="_Toc7897875"/>
      <w:bookmarkStart w:id="94" w:name="_Toc21763"/>
      <w:r>
        <w:rPr>
          <w:rFonts w:hint="eastAsia" w:ascii="宋体" w:hAnsi="宋体" w:eastAsia="宋体" w:cs="宋体"/>
          <w:color w:val="auto"/>
          <w:sz w:val="21"/>
          <w:szCs w:val="21"/>
          <w:highlight w:val="none"/>
        </w:rPr>
        <w:t>12.响应文件格式</w:t>
      </w:r>
      <w:bookmarkEnd w:id="91"/>
      <w:bookmarkEnd w:id="92"/>
      <w:bookmarkEnd w:id="93"/>
      <w:bookmarkEnd w:id="94"/>
    </w:p>
    <w:p w14:paraId="21F6F7B4">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12.1供应商应将响应文件装订成册，并填写“响应文件目录”。上述文件及表格为供应商必须提交的文件，各供应商可以根据实际情况增加内容，但不得擅自减少有关内容。响应文件的完整性是评审的内容之一。</w:t>
      </w:r>
    </w:p>
    <w:p w14:paraId="0B3FC406">
      <w:pPr>
        <w:pStyle w:val="6"/>
        <w:shd w:val="clear"/>
        <w:adjustRightInd/>
        <w:spacing w:line="360" w:lineRule="auto"/>
        <w:ind w:firstLine="420" w:firstLineChars="200"/>
        <w:rPr>
          <w:rFonts w:hint="eastAsia" w:ascii="宋体" w:hAnsi="宋体" w:eastAsia="宋体" w:cs="宋体"/>
          <w:color w:val="auto"/>
          <w:sz w:val="21"/>
          <w:szCs w:val="21"/>
          <w:highlight w:val="none"/>
        </w:rPr>
      </w:pPr>
      <w:bookmarkStart w:id="95" w:name="_Toc185150707"/>
      <w:bookmarkStart w:id="96" w:name="_Toc24570"/>
      <w:bookmarkStart w:id="97" w:name="_Toc30889"/>
      <w:bookmarkStart w:id="98" w:name="_Toc7897876"/>
      <w:r>
        <w:rPr>
          <w:rFonts w:hint="eastAsia" w:ascii="宋体" w:hAnsi="宋体" w:eastAsia="宋体" w:cs="宋体"/>
          <w:color w:val="auto"/>
          <w:sz w:val="21"/>
          <w:szCs w:val="21"/>
          <w:highlight w:val="none"/>
        </w:rPr>
        <w:t>13.</w:t>
      </w:r>
      <w:bookmarkEnd w:id="95"/>
      <w:r>
        <w:rPr>
          <w:rFonts w:hint="eastAsia" w:ascii="宋体" w:hAnsi="宋体" w:eastAsia="宋体" w:cs="宋体"/>
          <w:color w:val="auto"/>
          <w:sz w:val="21"/>
          <w:szCs w:val="21"/>
          <w:highlight w:val="none"/>
        </w:rPr>
        <w:t>磋商保证金</w:t>
      </w:r>
      <w:bookmarkEnd w:id="96"/>
      <w:bookmarkEnd w:id="97"/>
      <w:bookmarkEnd w:id="98"/>
    </w:p>
    <w:p w14:paraId="1E69F37F">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13.1供应商应向采购代理机构提交磋商保证金，并作为其响应文件的一部分。磋商保证金的金额：</w:t>
      </w:r>
    </w:p>
    <w:tbl>
      <w:tblPr>
        <w:tblStyle w:val="54"/>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8"/>
        <w:gridCol w:w="3810"/>
      </w:tblGrid>
      <w:tr w14:paraId="3C54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4998" w:type="dxa"/>
            <w:shd w:val="clear" w:color="auto" w:fill="E0E0E0"/>
            <w:vAlign w:val="center"/>
          </w:tcPr>
          <w:p w14:paraId="478F643B">
            <w:pPr>
              <w:shd w:val="clea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3810" w:type="dxa"/>
            <w:shd w:val="clear" w:color="auto" w:fill="E0E0E0"/>
            <w:vAlign w:val="center"/>
          </w:tcPr>
          <w:p w14:paraId="300442B5">
            <w:pPr>
              <w:shd w:val="clea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保证金</w:t>
            </w:r>
          </w:p>
        </w:tc>
      </w:tr>
      <w:tr w14:paraId="508F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98" w:type="dxa"/>
            <w:vAlign w:val="center"/>
          </w:tcPr>
          <w:p w14:paraId="263510F3">
            <w:pPr>
              <w:widowControl/>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大岭山大塘村优质产业空间项目（南地块）一期项目桩基础检测服务</w:t>
            </w:r>
          </w:p>
        </w:tc>
        <w:tc>
          <w:tcPr>
            <w:tcW w:w="3810" w:type="dxa"/>
            <w:vAlign w:val="center"/>
          </w:tcPr>
          <w:p w14:paraId="424EA6C3">
            <w:pPr>
              <w:widowControl/>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人民币</w:t>
            </w:r>
            <w:r>
              <w:rPr>
                <w:rFonts w:hint="eastAsia" w:hAnsi="宋体" w:cs="宋体"/>
                <w:color w:val="auto"/>
                <w:sz w:val="21"/>
                <w:szCs w:val="21"/>
                <w:highlight w:val="none"/>
                <w:lang w:val="en-US" w:eastAsia="zh-CN"/>
              </w:rPr>
              <w:t>陆仟元整</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6000</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元）</w:t>
            </w:r>
          </w:p>
        </w:tc>
      </w:tr>
    </w:tbl>
    <w:p w14:paraId="7CCE48A7">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13.2供应商应按要求提交磋商保证金，供应商采用银行转账、</w:t>
      </w:r>
      <w:r>
        <w:rPr>
          <w:rFonts w:hint="eastAsia" w:ascii="宋体" w:hAnsi="宋体" w:eastAsia="宋体" w:cs="宋体"/>
          <w:color w:val="auto"/>
          <w:kern w:val="2"/>
          <w:sz w:val="21"/>
          <w:szCs w:val="21"/>
          <w:highlight w:val="none"/>
          <w:lang w:val="zh-CN"/>
        </w:rPr>
        <w:t>电汇</w:t>
      </w:r>
      <w:r>
        <w:rPr>
          <w:rFonts w:hint="eastAsia" w:ascii="宋体" w:hAnsi="宋体" w:eastAsia="宋体" w:cs="宋体"/>
          <w:color w:val="auto"/>
          <w:sz w:val="21"/>
          <w:szCs w:val="21"/>
          <w:highlight w:val="none"/>
        </w:rPr>
        <w:t>的形式缴交，磋商供应商与交款人名称必须一致，非磋商供应商缴纳的磋商保证金无效。</w:t>
      </w:r>
    </w:p>
    <w:p w14:paraId="568BD87D">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13.3磋商保证金的提交，应符合下列规定： </w:t>
      </w:r>
    </w:p>
    <w:p w14:paraId="0439AC34">
      <w:pPr>
        <w:shd w:val="clear"/>
        <w:tabs>
          <w:tab w:val="left" w:pos="567"/>
        </w:tabs>
        <w:spacing w:line="360" w:lineRule="auto"/>
        <w:ind w:firstLine="420" w:firstLineChars="20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磋商保证金采用转帐、电汇方式提交，应符合以下要求：保证金汇入以下磋商保证金专用账户，不接收由以供应商分支机构、私人帐户和其他单位转入的保证金。磋商保证金必须在磋商响应文件递交截止前到账，磋商保证金未按规定时间到达指定账户或提交金额不足的，将被视为无效响应。且在备注或用途中注明本项目的项目编号。</w:t>
      </w:r>
    </w:p>
    <w:p w14:paraId="71EEEDC3">
      <w:pPr>
        <w:shd w:val="clea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磋商保证金专用账户如下：</w:t>
      </w:r>
    </w:p>
    <w:p w14:paraId="25DBF603">
      <w:pPr>
        <w:shd w:val="clear"/>
        <w:spacing w:line="360" w:lineRule="auto"/>
        <w:ind w:firstLine="422" w:firstLineChars="200"/>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账户名称：广东志合项目管理有限公司</w:t>
      </w:r>
    </w:p>
    <w:p w14:paraId="5DFFD260">
      <w:pPr>
        <w:shd w:val="clear"/>
        <w:spacing w:line="360" w:lineRule="auto"/>
        <w:ind w:firstLine="422" w:firstLineChars="200"/>
        <w:rPr>
          <w:rFonts w:hint="eastAsia" w:ascii="宋体" w:hAnsi="宋体" w:eastAsia="宋体" w:cs="宋体"/>
          <w:b/>
          <w:bCs/>
          <w:color w:val="auto"/>
          <w:kern w:val="2"/>
          <w:sz w:val="21"/>
          <w:szCs w:val="21"/>
          <w:highlight w:val="none"/>
          <w:lang w:val="zh-CN" w:eastAsia="zh-CN"/>
        </w:rPr>
      </w:pPr>
      <w:r>
        <w:rPr>
          <w:rFonts w:hint="eastAsia" w:ascii="宋体" w:hAnsi="宋体" w:eastAsia="宋体" w:cs="宋体"/>
          <w:b/>
          <w:bCs/>
          <w:color w:val="auto"/>
          <w:kern w:val="2"/>
          <w:sz w:val="21"/>
          <w:szCs w:val="21"/>
          <w:highlight w:val="none"/>
          <w:lang w:val="zh-CN"/>
        </w:rPr>
        <w:t>账  号：550000111010087</w:t>
      </w:r>
    </w:p>
    <w:p w14:paraId="5B7AC58D">
      <w:pPr>
        <w:shd w:val="clear"/>
        <w:spacing w:line="360" w:lineRule="auto"/>
        <w:ind w:firstLine="422" w:firstLineChars="200"/>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开户行：东莞银行股份有限公司中心区时代支行</w:t>
      </w:r>
    </w:p>
    <w:p w14:paraId="517EF60E">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保证资金以其供应商的名称（以分公司或子公司汇款无效）在本项目磋商响应文件截止前汇入到保证金专用账户（以银行到帐为准），可采用银行转帐方式提交，但不可以采用现金方式（包括以存现方式）提交，未按要求提交磋商保证金的将导致废标。</w:t>
      </w:r>
    </w:p>
    <w:p w14:paraId="01F554E2">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供应商应将汇款底单复印件附在《磋商保证金汇入情况说明》中。并将《磋商保证金汇入情况说明》密封在单独的唱标信封内。磋商保证金的汇入单位名称须与磋商供应商名称一致，不接受以分支机构名义或个人账户代替供应商进行汇款。</w:t>
      </w:r>
    </w:p>
    <w:p w14:paraId="4875FAF9">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13.5凡没有根据规定递交磋商保证金的，应视为非响应性磋商予以拒绝。</w:t>
      </w:r>
    </w:p>
    <w:p w14:paraId="1ABBECE6">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未成交供应商的磋商保证金自成交通知书发出后5个工作日内退还（不计利息）；成交供应商的磋商保证金，将在其签署合同后，采购代理机构在5个工作日内退还（不计利息）。逾期办理的，采购人不承担迟延退款责任。</w:t>
      </w:r>
    </w:p>
    <w:p w14:paraId="05DF414E">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13.7下列任何情况发生时，磋商保证金将被没收：</w:t>
      </w:r>
    </w:p>
    <w:p w14:paraId="13687988">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13.7.1供应商在磋商文件中规定的磋商有效期内撤回其磋商；</w:t>
      </w:r>
    </w:p>
    <w:p w14:paraId="305B27F3">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13.7.2供应商串通磋商或者以其他弄虚作假方式磋商；</w:t>
      </w:r>
    </w:p>
    <w:p w14:paraId="55F86EE3">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13.7.3成交供应商在规定期限内未能按规定签订合同；</w:t>
      </w:r>
    </w:p>
    <w:p w14:paraId="50B2E1A3">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13.7.4法律法规规定和磋商文件中规定的其它情况。</w:t>
      </w:r>
    </w:p>
    <w:p w14:paraId="5A0047E6">
      <w:pPr>
        <w:pStyle w:val="6"/>
        <w:shd w:val="clear"/>
        <w:adjustRightInd/>
        <w:spacing w:line="360" w:lineRule="auto"/>
        <w:ind w:firstLine="420" w:firstLineChars="200"/>
        <w:rPr>
          <w:rFonts w:hint="eastAsia" w:ascii="宋体" w:hAnsi="宋体" w:eastAsia="宋体" w:cs="宋体"/>
          <w:color w:val="auto"/>
          <w:sz w:val="21"/>
          <w:szCs w:val="21"/>
          <w:highlight w:val="none"/>
        </w:rPr>
      </w:pPr>
      <w:bookmarkStart w:id="99" w:name="_Toc480010709"/>
      <w:bookmarkStart w:id="100" w:name="_Toc480171880"/>
      <w:bookmarkStart w:id="101" w:name="_Toc503758471"/>
      <w:bookmarkStart w:id="102" w:name="_Toc2525"/>
      <w:bookmarkStart w:id="103" w:name="_Toc110953842"/>
      <w:bookmarkStart w:id="104" w:name="_Toc480020258"/>
      <w:bookmarkStart w:id="105" w:name="_Toc7897877"/>
      <w:bookmarkStart w:id="106" w:name="_Toc454701382"/>
      <w:bookmarkStart w:id="107" w:name="_Toc480021054"/>
      <w:bookmarkStart w:id="108" w:name="_Toc468606030"/>
      <w:bookmarkStart w:id="109" w:name="_Toc467987824"/>
      <w:bookmarkStart w:id="110" w:name="_Toc458262615"/>
      <w:bookmarkStart w:id="111" w:name="_Toc479991583"/>
      <w:bookmarkStart w:id="112" w:name="_Toc467236741"/>
      <w:bookmarkStart w:id="113" w:name="_Toc468157537"/>
      <w:bookmarkStart w:id="114" w:name="_Toc32304"/>
      <w:r>
        <w:rPr>
          <w:rFonts w:hint="eastAsia" w:ascii="宋体" w:hAnsi="宋体" w:eastAsia="宋体" w:cs="宋体"/>
          <w:color w:val="auto"/>
          <w:sz w:val="21"/>
          <w:szCs w:val="21"/>
          <w:highlight w:val="none"/>
        </w:rPr>
        <w:t>14.响应有效期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9F3AEA6">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14.1响应文件从开启响应文件之日起，响应有效期为90个工作日。</w:t>
      </w:r>
    </w:p>
    <w:p w14:paraId="2FAA82A2">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14.2特殊情况下，采购代理机构可于响应有效期期满之前，要求供应商同意延长响应有效期，要求与答复均应为书面形式。对于同意该要求的供应商，既不要求也不允许其修改响应文件。</w:t>
      </w:r>
    </w:p>
    <w:p w14:paraId="335E88C2">
      <w:pPr>
        <w:pStyle w:val="3"/>
        <w:shd w:val="clear"/>
        <w:ind w:firstLine="400"/>
        <w:rPr>
          <w:rFonts w:hint="eastAsia" w:ascii="宋体" w:hAnsi="宋体" w:eastAsia="宋体" w:cs="宋体"/>
          <w:color w:val="auto"/>
          <w:highlight w:val="none"/>
        </w:rPr>
      </w:pPr>
    </w:p>
    <w:bookmarkEnd w:id="78"/>
    <w:bookmarkEnd w:id="79"/>
    <w:bookmarkEnd w:id="80"/>
    <w:bookmarkEnd w:id="81"/>
    <w:bookmarkEnd w:id="82"/>
    <w:p w14:paraId="0C23B41C">
      <w:pPr>
        <w:pStyle w:val="5"/>
        <w:shd w:val="clear"/>
        <w:adjustRightInd/>
        <w:spacing w:line="360" w:lineRule="auto"/>
        <w:ind w:firstLine="562" w:firstLineChars="200"/>
        <w:jc w:val="center"/>
        <w:rPr>
          <w:rFonts w:hint="eastAsia" w:ascii="宋体" w:hAnsi="宋体" w:eastAsia="宋体" w:cs="宋体"/>
          <w:color w:val="auto"/>
          <w:sz w:val="28"/>
          <w:szCs w:val="28"/>
          <w:highlight w:val="none"/>
        </w:rPr>
      </w:pPr>
      <w:bookmarkStart w:id="115" w:name="_Toc17761"/>
      <w:bookmarkStart w:id="116" w:name="_Toc2740"/>
      <w:bookmarkStart w:id="117" w:name="_Toc110953843"/>
      <w:bookmarkStart w:id="118" w:name="_Toc7897878"/>
      <w:bookmarkStart w:id="119" w:name="_Toc6968691"/>
      <w:bookmarkStart w:id="120" w:name="_Toc507407363"/>
      <w:bookmarkStart w:id="121" w:name="_Toc102277760"/>
      <w:bookmarkStart w:id="122" w:name="_Toc466786438"/>
      <w:bookmarkStart w:id="123" w:name="_Toc6882679"/>
      <w:r>
        <w:rPr>
          <w:rFonts w:hint="eastAsia" w:ascii="宋体" w:hAnsi="宋体" w:eastAsia="宋体" w:cs="宋体"/>
          <w:color w:val="auto"/>
          <w:sz w:val="28"/>
          <w:szCs w:val="28"/>
          <w:highlight w:val="none"/>
        </w:rPr>
        <w:t>四、响应文件的递交</w:t>
      </w:r>
      <w:bookmarkEnd w:id="115"/>
      <w:bookmarkEnd w:id="116"/>
      <w:bookmarkEnd w:id="117"/>
      <w:bookmarkEnd w:id="118"/>
    </w:p>
    <w:p w14:paraId="0982D1C2">
      <w:pPr>
        <w:pStyle w:val="6"/>
        <w:shd w:val="clear"/>
        <w:adjustRightInd/>
        <w:spacing w:line="360" w:lineRule="auto"/>
        <w:ind w:firstLine="420" w:firstLineChars="200"/>
        <w:rPr>
          <w:rFonts w:hint="eastAsia" w:ascii="宋体" w:hAnsi="宋体" w:eastAsia="宋体" w:cs="宋体"/>
          <w:color w:val="auto"/>
          <w:sz w:val="21"/>
          <w:szCs w:val="21"/>
          <w:highlight w:val="none"/>
        </w:rPr>
      </w:pPr>
      <w:bookmarkStart w:id="124" w:name="_Toc2684"/>
      <w:bookmarkStart w:id="125" w:name="_Toc11500"/>
      <w:bookmarkStart w:id="126" w:name="_Toc7897879"/>
      <w:bookmarkStart w:id="127" w:name="_Toc110953844"/>
      <w:r>
        <w:rPr>
          <w:rFonts w:hint="eastAsia" w:ascii="宋体" w:hAnsi="宋体" w:eastAsia="宋体" w:cs="宋体"/>
          <w:color w:val="auto"/>
          <w:sz w:val="21"/>
          <w:szCs w:val="21"/>
          <w:highlight w:val="none"/>
        </w:rPr>
        <w:t>15.响应文件的密封和标记</w:t>
      </w:r>
      <w:bookmarkEnd w:id="124"/>
      <w:bookmarkEnd w:id="125"/>
      <w:bookmarkEnd w:id="126"/>
      <w:bookmarkEnd w:id="127"/>
    </w:p>
    <w:p w14:paraId="111A33BD">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15.1供应商应将响应文件正本和副本用信封分别密封，并标明供应商的名称、采购编号及“正本”或“副本”字样。</w:t>
      </w:r>
    </w:p>
    <w:p w14:paraId="2858BC5D">
      <w:pPr>
        <w:shd w:val="clea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15.2唱标信封应单独密封，与磋商响应文件一同提交。</w:t>
      </w:r>
    </w:p>
    <w:p w14:paraId="1BB83808">
      <w:pPr>
        <w:shd w:val="clear"/>
        <w:tabs>
          <w:tab w:val="left" w:pos="567"/>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15.3在磋商响应文件密封袋上均应标明以下内容：</w:t>
      </w:r>
    </w:p>
    <w:p w14:paraId="29AB31CB">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收 件 人：；</w:t>
      </w:r>
    </w:p>
    <w:p w14:paraId="50F2673C">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项目名称：；</w:t>
      </w:r>
    </w:p>
    <w:p w14:paraId="25E8B1BE">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采购编号：；</w:t>
      </w:r>
    </w:p>
    <w:p w14:paraId="4E0121C2">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年   月   日   时   分开标，此时间以前不得开封；</w:t>
      </w:r>
    </w:p>
    <w:p w14:paraId="7BC92E7A">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标明供应商名称、地址、联系人和电话以及文件的种类（如价格文件、商务技术文件、唱标信封等）。</w:t>
      </w:r>
    </w:p>
    <w:p w14:paraId="1F70D00F">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15.4供应商应按上述规定进行密封和标记后，将响应文件按照磋商文件中规定的时间和地址送至采购代理机构。</w:t>
      </w:r>
    </w:p>
    <w:p w14:paraId="096B84BF">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15.5未按上述规定进行密封、标记和递交的，采购代理机构对响应文件的不依时间递交、误投、破损、封装不合格或提前拆封不负责。</w:t>
      </w:r>
    </w:p>
    <w:p w14:paraId="71FCEBCB">
      <w:pPr>
        <w:pStyle w:val="6"/>
        <w:shd w:val="clear"/>
        <w:adjustRightInd/>
        <w:spacing w:line="360" w:lineRule="auto"/>
        <w:ind w:firstLine="420" w:firstLineChars="200"/>
        <w:rPr>
          <w:rFonts w:hint="eastAsia" w:ascii="宋体" w:hAnsi="宋体" w:eastAsia="宋体" w:cs="宋体"/>
          <w:color w:val="auto"/>
          <w:sz w:val="21"/>
          <w:szCs w:val="21"/>
          <w:highlight w:val="none"/>
        </w:rPr>
      </w:pPr>
      <w:bookmarkStart w:id="128" w:name="_Toc7897880"/>
      <w:bookmarkStart w:id="129" w:name="_Toc12710"/>
      <w:bookmarkStart w:id="130" w:name="_Toc110953845"/>
      <w:bookmarkStart w:id="131" w:name="_Toc10017"/>
      <w:r>
        <w:rPr>
          <w:rFonts w:hint="eastAsia" w:ascii="宋体" w:hAnsi="宋体" w:eastAsia="宋体" w:cs="宋体"/>
          <w:color w:val="auto"/>
          <w:sz w:val="21"/>
          <w:szCs w:val="21"/>
          <w:highlight w:val="none"/>
        </w:rPr>
        <w:t>16.响应文件的递交</w:t>
      </w:r>
      <w:bookmarkEnd w:id="128"/>
      <w:bookmarkEnd w:id="129"/>
      <w:bookmarkEnd w:id="130"/>
      <w:bookmarkEnd w:id="131"/>
    </w:p>
    <w:p w14:paraId="79807C67">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16.1所有响应文件都必须在响应截止时间之前送至采购代理机构。</w:t>
      </w:r>
    </w:p>
    <w:p w14:paraId="1CDD4CF6">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16.2采购代理机构拒绝接受以下文件：</w:t>
      </w:r>
    </w:p>
    <w:p w14:paraId="36FAA85E">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（1）提前递交的文件，</w:t>
      </w:r>
    </w:p>
    <w:p w14:paraId="09B3B46B">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（2）在响应截止时间后递交的响应文件，</w:t>
      </w:r>
    </w:p>
    <w:p w14:paraId="584F275D">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（3）未按规定包装和密封的响应文件。</w:t>
      </w:r>
    </w:p>
    <w:p w14:paraId="66E6F6AF">
      <w:pPr>
        <w:shd w:val="clear"/>
        <w:spacing w:line="360" w:lineRule="auto"/>
        <w:ind w:firstLine="420" w:firstLineChars="200"/>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16.3响应文件的修改与撤回</w:t>
      </w:r>
    </w:p>
    <w:p w14:paraId="4564B697">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（1）供应商在递交响应文件后到响应截止时间之前，可以补充、修改或撤回其响应文件，但供应商必须以书面形式通知采购代理机构。补充、修改的内容与响应文件不一致的，以补偿、修改的内容为准。</w:t>
      </w:r>
    </w:p>
    <w:p w14:paraId="5DDE03C0">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（2）除法律法规允许的情况外，在响应截止时间之后至响应有效期之间的这段时间内，供应商不得对其响应文件做任何修改，亦不得撤回其响应，否则磋商保证金将不予退还。</w:t>
      </w:r>
    </w:p>
    <w:p w14:paraId="19567B50">
      <w:pPr>
        <w:shd w:val="clear"/>
        <w:spacing w:line="360" w:lineRule="auto"/>
        <w:ind w:firstLine="420" w:firstLineChars="200"/>
        <w:rPr>
          <w:rFonts w:hint="eastAsia" w:ascii="宋体" w:hAnsi="宋体" w:eastAsia="宋体" w:cs="宋体"/>
          <w:color w:val="auto"/>
          <w:sz w:val="21"/>
          <w:szCs w:val="21"/>
          <w:highlight w:val="none"/>
        </w:rPr>
      </w:pPr>
    </w:p>
    <w:p w14:paraId="77987865">
      <w:pPr>
        <w:pStyle w:val="5"/>
        <w:shd w:val="clear"/>
        <w:adjustRightInd/>
        <w:spacing w:line="360" w:lineRule="auto"/>
        <w:ind w:firstLine="562" w:firstLineChars="200"/>
        <w:jc w:val="center"/>
        <w:rPr>
          <w:rFonts w:hint="eastAsia" w:ascii="宋体" w:hAnsi="宋体" w:eastAsia="宋体" w:cs="宋体"/>
          <w:color w:val="auto"/>
          <w:sz w:val="28"/>
          <w:szCs w:val="28"/>
          <w:highlight w:val="none"/>
        </w:rPr>
      </w:pPr>
      <w:bookmarkStart w:id="132" w:name="_Toc7897881"/>
      <w:bookmarkStart w:id="133" w:name="_Toc22874"/>
      <w:bookmarkStart w:id="134" w:name="_Toc3138"/>
      <w:r>
        <w:rPr>
          <w:rFonts w:hint="eastAsia" w:ascii="宋体" w:hAnsi="宋体" w:eastAsia="宋体" w:cs="宋体"/>
          <w:color w:val="auto"/>
          <w:sz w:val="28"/>
          <w:szCs w:val="28"/>
          <w:highlight w:val="none"/>
        </w:rPr>
        <w:t>五、采购仪式和</w:t>
      </w:r>
      <w:bookmarkEnd w:id="119"/>
      <w:bookmarkEnd w:id="120"/>
      <w:bookmarkEnd w:id="121"/>
      <w:bookmarkEnd w:id="122"/>
      <w:bookmarkEnd w:id="123"/>
      <w:r>
        <w:rPr>
          <w:rFonts w:hint="eastAsia" w:ascii="宋体" w:hAnsi="宋体" w:eastAsia="宋体" w:cs="宋体"/>
          <w:color w:val="auto"/>
          <w:sz w:val="28"/>
          <w:szCs w:val="28"/>
          <w:highlight w:val="none"/>
        </w:rPr>
        <w:t>评审会议</w:t>
      </w:r>
      <w:bookmarkEnd w:id="132"/>
      <w:bookmarkEnd w:id="133"/>
      <w:bookmarkEnd w:id="134"/>
    </w:p>
    <w:p w14:paraId="299C4191">
      <w:pPr>
        <w:pStyle w:val="6"/>
        <w:shd w:val="clear"/>
        <w:adjustRightInd/>
        <w:spacing w:line="360" w:lineRule="auto"/>
        <w:ind w:firstLine="422" w:firstLineChars="200"/>
        <w:rPr>
          <w:rFonts w:hint="eastAsia" w:ascii="宋体" w:hAnsi="宋体" w:eastAsia="宋体" w:cs="宋体"/>
          <w:b/>
          <w:color w:val="auto"/>
          <w:sz w:val="21"/>
          <w:szCs w:val="21"/>
          <w:highlight w:val="none"/>
        </w:rPr>
      </w:pPr>
      <w:bookmarkStart w:id="135" w:name="_Toc475249134"/>
      <w:r>
        <w:rPr>
          <w:rFonts w:hint="eastAsia" w:ascii="宋体" w:hAnsi="宋体" w:eastAsia="宋体" w:cs="宋体"/>
          <w:b/>
          <w:color w:val="auto"/>
          <w:sz w:val="21"/>
          <w:szCs w:val="21"/>
          <w:highlight w:val="none"/>
        </w:rPr>
        <w:t>17.</w:t>
      </w:r>
      <w:bookmarkEnd w:id="135"/>
      <w:r>
        <w:rPr>
          <w:rFonts w:hint="eastAsia" w:ascii="宋体" w:hAnsi="宋体" w:eastAsia="宋体" w:cs="宋体"/>
          <w:b/>
          <w:color w:val="auto"/>
          <w:sz w:val="21"/>
          <w:szCs w:val="21"/>
          <w:highlight w:val="none"/>
        </w:rPr>
        <w:t>开启响应文件</w:t>
      </w:r>
    </w:p>
    <w:p w14:paraId="5C2F2973">
      <w:pPr>
        <w:shd w:val="clear"/>
        <w:spacing w:line="360" w:lineRule="auto"/>
        <w:ind w:firstLine="420" w:firstLineChars="200"/>
        <w:rPr>
          <w:rFonts w:hint="eastAsia" w:ascii="宋体" w:hAnsi="宋体" w:eastAsia="宋体" w:cs="宋体"/>
          <w:color w:val="auto"/>
          <w:sz w:val="21"/>
          <w:szCs w:val="21"/>
          <w:highlight w:val="none"/>
        </w:rPr>
      </w:pPr>
      <w:bookmarkStart w:id="136" w:name="_Toc475249135"/>
      <w:bookmarkStart w:id="137" w:name="_Toc475249138"/>
      <w:r>
        <w:rPr>
          <w:rFonts w:hint="eastAsia" w:ascii="宋体" w:hAnsi="宋体" w:eastAsia="宋体" w:cs="宋体"/>
          <w:color w:val="auto"/>
          <w:sz w:val="21"/>
          <w:szCs w:val="21"/>
          <w:highlight w:val="none"/>
        </w:rPr>
        <w:t>17.1采购代理机构在《磋商邀请书》规定的日期、时间和地点在有供应商代表在场的场合组织采购仪式，参加采购仪式的代表应签名报到以证明其出席。</w:t>
      </w:r>
    </w:p>
    <w:p w14:paraId="5CA8410B">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开启响应文件前，采购人、采购代理机构和供应商将检查响应文件的密封情况。在确认密封完好后，进行拆封唱标。唱标主要内容为响应文件正本中磋商保证金的内容以及采购代理机构认为合适的其他内容，并做记录。</w:t>
      </w:r>
    </w:p>
    <w:p w14:paraId="603BD0D6">
      <w:pPr>
        <w:pStyle w:val="6"/>
        <w:shd w:val="clear"/>
        <w:adjustRightIn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18.磋商小组</w:t>
      </w:r>
      <w:bookmarkEnd w:id="136"/>
    </w:p>
    <w:p w14:paraId="47EC94C6">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18.1采购代理机构将根据项目特点组建磋商小组，磋商小组由采购人代表和评审专家共3人或以上单数组成，其中评审专家人数不得少于磋商小组成员总数的2/3。</w:t>
      </w:r>
    </w:p>
    <w:p w14:paraId="35AB79E8">
      <w:pPr>
        <w:pStyle w:val="6"/>
        <w:shd w:val="clear"/>
        <w:adjustRightInd/>
        <w:spacing w:line="360" w:lineRule="auto"/>
        <w:ind w:firstLine="422" w:firstLineChars="200"/>
        <w:rPr>
          <w:rFonts w:hint="eastAsia" w:ascii="宋体" w:hAnsi="宋体" w:eastAsia="宋体" w:cs="宋体"/>
          <w:b/>
          <w:color w:val="auto"/>
          <w:sz w:val="21"/>
          <w:szCs w:val="21"/>
          <w:highlight w:val="none"/>
        </w:rPr>
      </w:pPr>
      <w:bookmarkStart w:id="138" w:name="_Toc37121259"/>
      <w:bookmarkStart w:id="139" w:name="_Toc535141844"/>
      <w:r>
        <w:rPr>
          <w:rFonts w:hint="eastAsia" w:ascii="宋体" w:hAnsi="宋体" w:eastAsia="宋体" w:cs="宋体"/>
          <w:b/>
          <w:color w:val="auto"/>
          <w:sz w:val="21"/>
          <w:szCs w:val="21"/>
          <w:highlight w:val="none"/>
        </w:rPr>
        <w:t>19.对响应文件的初审</w:t>
      </w:r>
      <w:bookmarkEnd w:id="138"/>
      <w:bookmarkEnd w:id="139"/>
    </w:p>
    <w:p w14:paraId="0C647C7B">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19.1开启响应文件后，采购代理机构将组织磋商小组对响应文件进行初审，初审包括资格性审查和符合性审查。</w:t>
      </w:r>
    </w:p>
    <w:p w14:paraId="02362B4B">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19.2资格性审查是指依据法律规定和磋商文件的规定，对响应文件中的资格证明等进行审查，确定供应商是否具备响应资格。</w:t>
      </w:r>
    </w:p>
    <w:p w14:paraId="15FC1A9F">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符合性审查是指依据磋商文件的规定，从响应文件的有效性、完整性和对磋商文件的响应程度进行审查，以确定是否对磋商文件的实质性要求作出响应，包括审查响应文件是否完整，有否计算错误，文件签署是否合格，响应书的编排是否有序等。</w:t>
      </w:r>
    </w:p>
    <w:p w14:paraId="21B538B7">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在对响应文件进行详细评估之前，磋商小组将审查每份响应文件是否实质上响应了磋商文件的要求。实质性响应的响应应该是与磋商文件要求的全部条款、条件和规格相符，没有重大偏离的响应。对关键条文的偏离、保留或反对，例如关于适用法律、税及关税等的偏离将被认为是实质上的偏离，而纠正这些偏离将影响到其他提交实质性响应响应的供应商的公平竞争地位。</w:t>
      </w:r>
    </w:p>
    <w:p w14:paraId="0C66D6E7">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19.5磋商小组确定响应文件的响应性，只根据响应文件本身的内容，而不寻找外部的证据。</w:t>
      </w:r>
    </w:p>
    <w:p w14:paraId="677CD085">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19.6实质上没有响应磋商文件要求的响应文件将被拒绝。供应商不得通过修正或撤销不合要求的偏离或保留从而使其响应成为实质上的响应。</w:t>
      </w:r>
    </w:p>
    <w:p w14:paraId="2AB307AF">
      <w:pPr>
        <w:pStyle w:val="6"/>
        <w:shd w:val="clear"/>
        <w:adjustRightIn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20.对响应文件的澄清</w:t>
      </w:r>
    </w:p>
    <w:p w14:paraId="79625F58">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磋商小组在对响应文件的有效性、完整性和响应程度进行审查时，可以要求供应商对响应文件中含义不明确、同类问题表述不一致或者有明显文字和计算错误的内容等作出必要的澄清、说明或者更正。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磋商小组不接受响应人主动提出的澄清、说明或更正。</w:t>
      </w:r>
    </w:p>
    <w:p w14:paraId="7E9EFE10">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响应文件内容表述不一致按照以下方法处理：响应文件中报价一览表内容与响应文件明细表内容不一致的，以报价一览表为准；响应文件的大写金额和小写金额不一致的，以大写金额为准；总价金额与按单价汇总金额不一致的，以单价金额计算结果为准；单价金额小数点有明显错位的，应以单价为准，并修改总价；对不同文字文本响应文件的解释发生异议的，应以中文文本为准。</w:t>
      </w:r>
    </w:p>
    <w:p w14:paraId="49BA3636">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20.3供应商的法定代表人或委托代理人应当按照采购代理机构通知的时间和地点接受询问，对响应文件中含义不明确的内容作必要的澄清、说明或者纠正。</w:t>
      </w:r>
    </w:p>
    <w:p w14:paraId="67ACC931">
      <w:pPr>
        <w:pStyle w:val="6"/>
        <w:shd w:val="clear"/>
        <w:adjustRightIn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21.开展磋商</w:t>
      </w:r>
    </w:p>
    <w:p w14:paraId="1C6B1621">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21.1主持人宣布评审纪律，磋商小组所有成员及相关工作人员签名确认。</w:t>
      </w:r>
    </w:p>
    <w:p w14:paraId="790D6B42">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磋商小组所有成员应当集中与单一供应商分别进行一轮或多轮的磋商（具体磋商轮次由磋商小组视情况决定）在磋商中，磋商小组及有关当事人应当严格遵循保密原则，任何人不得透露与磋商有关的供应商的技术、价格和其他信息。</w:t>
      </w:r>
    </w:p>
    <w:p w14:paraId="54CD4F2B">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在磋商过程中，磋商小组可以根据磋商文件和磋商情况实质性变动采购需求中的技术、服务要求以及合同草案条款，但不得变动磋商文件中的其他内容，并应当以书面形式通知所有参加磋商的供应商。实质性变动的内容，须经采购人代表确认。对磋商文件作出的实质性变动是磋商文件的有效组成部分。</w:t>
      </w:r>
    </w:p>
    <w:p w14:paraId="21A065FF">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14:paraId="65A55C8F">
      <w:pPr>
        <w:pStyle w:val="6"/>
        <w:shd w:val="clear"/>
        <w:adjustRightIn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22.最后报价</w:t>
      </w:r>
    </w:p>
    <w:p w14:paraId="3CDDFDE7">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磋商文件能够详细列明采购标的的技术、服务要求的，磋商结束后，磋商小组应当要求所有实质性响应的供应商在规定时间内提交最后报价，除法律法规规定的允许的情况外，提交最后报价的供应商不得少于3家。最后报价是供应商响应文件的有效组成部分。</w:t>
      </w:r>
    </w:p>
    <w:p w14:paraId="43E698C1">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22.2已提交响应文件的供应商，在提交最后报价之前，可以根据磋商情况退出磋商。采购人、采购代理机构应当退还退出磋商的供应商的磋商保证金。</w:t>
      </w:r>
    </w:p>
    <w:bookmarkEnd w:id="137"/>
    <w:p w14:paraId="3FAD0EB0">
      <w:pPr>
        <w:pStyle w:val="6"/>
        <w:shd w:val="clear"/>
        <w:adjustRightIn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23.综合评分</w:t>
      </w:r>
    </w:p>
    <w:p w14:paraId="51715E1A">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经磋商确定最终采购需求和提交最后报价的供应商后，由磋商小组采用综合评分法对提交最后报价的供应商的响应文件和最后报价进行综合评分。详见本文件《第四篇 评标工作大纲》。</w:t>
      </w:r>
    </w:p>
    <w:p w14:paraId="573CF65D">
      <w:pPr>
        <w:pStyle w:val="3"/>
        <w:shd w:val="clear"/>
        <w:ind w:firstLine="400"/>
        <w:rPr>
          <w:rFonts w:hint="eastAsia" w:ascii="宋体" w:hAnsi="宋体" w:eastAsia="宋体" w:cs="宋体"/>
          <w:color w:val="auto"/>
          <w:highlight w:val="none"/>
        </w:rPr>
      </w:pPr>
    </w:p>
    <w:p w14:paraId="1AFD7FA7">
      <w:pPr>
        <w:pStyle w:val="5"/>
        <w:shd w:val="clear"/>
        <w:adjustRightInd/>
        <w:spacing w:line="360" w:lineRule="auto"/>
        <w:ind w:firstLine="562" w:firstLineChars="200"/>
        <w:jc w:val="center"/>
        <w:rPr>
          <w:rFonts w:hint="eastAsia" w:ascii="宋体" w:hAnsi="宋体" w:eastAsia="宋体" w:cs="宋体"/>
          <w:color w:val="auto"/>
          <w:sz w:val="28"/>
          <w:szCs w:val="28"/>
          <w:highlight w:val="none"/>
        </w:rPr>
      </w:pPr>
      <w:bookmarkStart w:id="140" w:name="_Toc18625"/>
      <w:bookmarkStart w:id="141" w:name="_Toc21174"/>
      <w:bookmarkStart w:id="142" w:name="_Toc7897882"/>
      <w:r>
        <w:rPr>
          <w:rFonts w:hint="eastAsia" w:ascii="宋体" w:hAnsi="宋体" w:eastAsia="宋体" w:cs="宋体"/>
          <w:color w:val="auto"/>
          <w:sz w:val="28"/>
          <w:szCs w:val="28"/>
          <w:highlight w:val="none"/>
        </w:rPr>
        <w:t>六、确定成交供应商</w:t>
      </w:r>
      <w:bookmarkEnd w:id="140"/>
      <w:bookmarkEnd w:id="141"/>
      <w:bookmarkEnd w:id="142"/>
    </w:p>
    <w:p w14:paraId="07EC11F4">
      <w:pPr>
        <w:pStyle w:val="6"/>
        <w:shd w:val="clear"/>
        <w:adjustRightIn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24.确定成交</w:t>
      </w:r>
    </w:p>
    <w:p w14:paraId="1363FE0C">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24.1磋商小组完成评审工作后，出具评审报告，推荐3名以上成交候选供应商。符合法律法规允许的情况的，可以推荐2家成交候选供应商。</w:t>
      </w:r>
    </w:p>
    <w:p w14:paraId="162C6FD5">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24.2采购人从成交候选供应商名单中按照综合得分排序确定1名成交供应商。</w:t>
      </w:r>
    </w:p>
    <w:p w14:paraId="55B0E5B0">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根据响应或评审情况，采购代理机构保留在确定成交供应商之前任何时候接受或拒绝任何响应，以及宣布评审程序无效或拒绝所有响应的权力，对受影响的供应商不承担任何责任，也无义务向受影响的供应商解释这一行动的理由。</w:t>
      </w:r>
    </w:p>
    <w:p w14:paraId="0C466AFB">
      <w:pPr>
        <w:pStyle w:val="6"/>
        <w:shd w:val="clear"/>
        <w:adjustRightInd/>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25.资格后审</w:t>
      </w:r>
    </w:p>
    <w:p w14:paraId="16C27C59">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25.1采购人将根据磋商文件中的要求，对评委会推荐的成交候选人进行资格后审。</w:t>
      </w:r>
    </w:p>
    <w:p w14:paraId="15E048B3">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25.2成交候选人须无条件配合资格后审，否则采购人有权取消成交资格。</w:t>
      </w:r>
    </w:p>
    <w:p w14:paraId="4A443485">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资格后审须提供包括但不限于营业执照、税务登记证和在磋商响应文件中提供的资质证明文件、合同等重要证明文件的原件进行核对，综合考察成交供应商的履约能力。如采购人要求还须提供业绩证明的其他材料,成交候选人须配合提供。如授权其分支机构进行项目实施或提供售后服务的，亦应提供其与分支机构关系的法律证明材料。</w:t>
      </w:r>
    </w:p>
    <w:p w14:paraId="4A8E3A6A">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25.4如发现供应商提交虚假资料谋取成交的，采购人有权没收其磋商保证金，并保留追究其赔偿采购人由此而造成一切损失的责任。</w:t>
      </w:r>
    </w:p>
    <w:p w14:paraId="34D1D8FE">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人保留审查成交供应商是否有能力令采购人满意的履行合同的权利，包括但不限于对成交供应商的规模、人员、场地、生产能力、供货能力等方面的核实或现场考察。如果审查通过，采购人将把合同授予该供应商；如果审查没有通过，采购人将拒绝其磋商，并对下一个候选的供应商能否令人满意地履行合同作类似的审查或重新采购。</w:t>
      </w:r>
    </w:p>
    <w:p w14:paraId="14B81100">
      <w:pPr>
        <w:pStyle w:val="3"/>
        <w:shd w:val="clear"/>
        <w:ind w:firstLine="400"/>
        <w:rPr>
          <w:rFonts w:hint="eastAsia" w:ascii="宋体" w:hAnsi="宋体" w:eastAsia="宋体" w:cs="宋体"/>
          <w:color w:val="auto"/>
          <w:highlight w:val="none"/>
        </w:rPr>
      </w:pPr>
      <w:bookmarkStart w:id="143" w:name="_Toc475249142"/>
    </w:p>
    <w:p w14:paraId="1ACE1AF0">
      <w:pPr>
        <w:pStyle w:val="6"/>
        <w:shd w:val="clear"/>
        <w:adjustRightIn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26.成交通知</w:t>
      </w:r>
      <w:bookmarkEnd w:id="143"/>
    </w:p>
    <w:p w14:paraId="7CF61ABC">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成交结果将在</w:t>
      </w:r>
      <w:r>
        <w:rPr>
          <w:rFonts w:hint="eastAsia" w:ascii="宋体" w:hAnsi="宋体" w:eastAsia="宋体" w:cs="宋体"/>
          <w:color w:val="auto"/>
          <w:kern w:val="28"/>
          <w:sz w:val="21"/>
          <w:szCs w:val="21"/>
          <w:highlight w:val="none"/>
        </w:rPr>
        <w:t>东莞实业投资控股集团有限公司-招标采购栏目（http://www.dgsy.com.cn/）</w:t>
      </w:r>
      <w:r>
        <w:rPr>
          <w:rFonts w:hint="eastAsia" w:ascii="宋体" w:hAnsi="宋体" w:eastAsia="宋体" w:cs="宋体"/>
          <w:color w:val="auto"/>
          <w:sz w:val="21"/>
          <w:szCs w:val="21"/>
          <w:highlight w:val="none"/>
        </w:rPr>
        <w:t>上公告，同时向成交供应商发出成交通知书。</w:t>
      </w:r>
    </w:p>
    <w:p w14:paraId="3FA831F4">
      <w:pPr>
        <w:pStyle w:val="3"/>
        <w:shd w:val="clear"/>
        <w:ind w:firstLine="400"/>
        <w:rPr>
          <w:rFonts w:hint="eastAsia" w:ascii="宋体" w:hAnsi="宋体" w:eastAsia="宋体" w:cs="宋体"/>
          <w:color w:val="auto"/>
          <w:highlight w:val="none"/>
        </w:rPr>
      </w:pPr>
    </w:p>
    <w:p w14:paraId="56533BB7">
      <w:pPr>
        <w:pStyle w:val="5"/>
        <w:shd w:val="clear"/>
        <w:adjustRightInd/>
        <w:spacing w:line="360" w:lineRule="auto"/>
        <w:ind w:firstLine="562" w:firstLineChars="200"/>
        <w:jc w:val="center"/>
        <w:rPr>
          <w:rFonts w:hint="eastAsia" w:ascii="宋体" w:hAnsi="宋体" w:eastAsia="宋体" w:cs="宋体"/>
          <w:color w:val="auto"/>
          <w:sz w:val="28"/>
          <w:szCs w:val="28"/>
          <w:highlight w:val="none"/>
        </w:rPr>
      </w:pPr>
      <w:bookmarkStart w:id="144" w:name="_Toc110953852"/>
      <w:bookmarkStart w:id="145" w:name="_Toc7897883"/>
      <w:bookmarkStart w:id="146" w:name="_Toc20980"/>
      <w:bookmarkStart w:id="147" w:name="_Toc37756778"/>
      <w:bookmarkStart w:id="148" w:name="_Toc28276"/>
      <w:bookmarkStart w:id="149" w:name="_Toc475249143"/>
      <w:r>
        <w:rPr>
          <w:rFonts w:hint="eastAsia" w:ascii="宋体" w:hAnsi="宋体" w:eastAsia="宋体" w:cs="宋体"/>
          <w:color w:val="auto"/>
          <w:sz w:val="28"/>
          <w:szCs w:val="28"/>
          <w:highlight w:val="none"/>
        </w:rPr>
        <w:t>七、签订采购合同</w:t>
      </w:r>
      <w:bookmarkEnd w:id="144"/>
      <w:bookmarkEnd w:id="145"/>
      <w:bookmarkEnd w:id="146"/>
      <w:bookmarkEnd w:id="147"/>
      <w:bookmarkEnd w:id="148"/>
    </w:p>
    <w:p w14:paraId="2365FD92">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27.采购人与成交供应商应当在成交通知书发出之日起30日内，按照磋商文件确定的事项签订采购合同。</w:t>
      </w:r>
    </w:p>
    <w:p w14:paraId="0AD00176">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28.合同内容不得与磋商文件和响应文件内容有实质性偏离。</w:t>
      </w:r>
    </w:p>
    <w:p w14:paraId="3412D289">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29.采购合同自签订之日起7个工作日内，</w:t>
      </w:r>
      <w:r>
        <w:rPr>
          <w:rFonts w:hint="eastAsia"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人应将合同副本报采购代理机构归档。</w:t>
      </w:r>
    </w:p>
    <w:p w14:paraId="56AC78BD">
      <w:pPr>
        <w:shd w:val="clea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履约</w:t>
      </w:r>
      <w:r>
        <w:rPr>
          <w:rFonts w:hint="eastAsia" w:ascii="宋体" w:hAnsi="宋体" w:eastAsia="宋体" w:cs="宋体"/>
          <w:color w:val="auto"/>
          <w:sz w:val="21"/>
          <w:szCs w:val="21"/>
          <w:highlight w:val="none"/>
        </w:rPr>
        <w:t>担保</w:t>
      </w:r>
    </w:p>
    <w:p w14:paraId="2528DA2D">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1.履约担保金额为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暂定合同金额的10%。</w:t>
      </w:r>
    </w:p>
    <w:p w14:paraId="63C9F514">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2.履约保证金账户信息：</w:t>
      </w:r>
    </w:p>
    <w:p w14:paraId="79AD4314">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账户名称： </w:t>
      </w:r>
      <w:r>
        <w:rPr>
          <w:rFonts w:hint="eastAsia" w:ascii="宋体" w:hAnsi="宋体" w:eastAsia="宋体" w:cs="宋体"/>
          <w:color w:val="auto"/>
          <w:sz w:val="21"/>
          <w:szCs w:val="21"/>
          <w:highlight w:val="none"/>
          <w:lang w:eastAsia="zh-CN"/>
        </w:rPr>
        <w:t>东莞市旗创产业投资有限公司</w:t>
      </w:r>
      <w:r>
        <w:rPr>
          <w:rFonts w:hint="eastAsia" w:ascii="宋体" w:hAnsi="宋体" w:eastAsia="宋体" w:cs="宋体"/>
          <w:color w:val="auto"/>
          <w:sz w:val="21"/>
          <w:szCs w:val="21"/>
          <w:highlight w:val="none"/>
        </w:rPr>
        <w:t>；</w:t>
      </w:r>
    </w:p>
    <w:p w14:paraId="20E7C4AE">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r>
        <w:rPr>
          <w:rFonts w:hint="eastAsia" w:ascii="宋体" w:hAnsi="宋体" w:eastAsia="宋体" w:cs="宋体"/>
          <w:color w:val="auto"/>
          <w:sz w:val="21"/>
          <w:szCs w:val="21"/>
          <w:highlight w:val="none"/>
          <w:lang w:val="en-US" w:eastAsia="zh-CN"/>
        </w:rPr>
        <w:t>招商银行股份有限公司东莞大岭山支行</w:t>
      </w:r>
      <w:r>
        <w:rPr>
          <w:rFonts w:hint="eastAsia" w:ascii="宋体" w:hAnsi="宋体" w:eastAsia="宋体" w:cs="宋体"/>
          <w:color w:val="auto"/>
          <w:sz w:val="21"/>
          <w:szCs w:val="21"/>
          <w:highlight w:val="none"/>
        </w:rPr>
        <w:t>；</w:t>
      </w:r>
    </w:p>
    <w:p w14:paraId="2E529481">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银行账号： 7699 1195 </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 xml:space="preserve">10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88；</w:t>
      </w:r>
    </w:p>
    <w:p w14:paraId="5EF06108">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在采购（合同签署）时提交履约担保，履约担保金额不超过成交合同金额的10%，如果</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提交的履约保函的有效期先于合同要求的履约保函有效期到达，</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应在原提交的履约保函有效期满前15天，无条件办理保函延期手续。否则，视为</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违约，采购人可在保函到期前将保函金额转为现金存入履约保证金帐户。</w:t>
      </w:r>
    </w:p>
    <w:p w14:paraId="7CC6597A">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4.履约担保期限从合同签订之日起至项目完工验收合格并结算完毕后，经双方签字30天内保持有效。</w:t>
      </w:r>
    </w:p>
    <w:p w14:paraId="64F0782E">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履约担保要求：</w:t>
      </w:r>
    </w:p>
    <w:p w14:paraId="42794CF6">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（1）履约保函。如果</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的履约担保是以银行保函形式提供的，则该银行保函应：</w:t>
      </w:r>
    </w:p>
    <w:p w14:paraId="6D33E7F7">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①保函应由银行支行或以上银行机构开具。</w:t>
      </w:r>
    </w:p>
    <w:p w14:paraId="1007EC17">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②保函的格式参考投标文件附件中提供的无条件不可撤销履约保函格式，保函担保期内若项目未能按期竣工，保函必须延期，办理延期手续时在银行方面所产生费用由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负责。</w:t>
      </w:r>
    </w:p>
    <w:p w14:paraId="0051D4FD">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③履约保函必须打印，手写、涂改无效。</w:t>
      </w:r>
    </w:p>
    <w:p w14:paraId="286F3E64">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（2）履约保证金。可采用电汇、银行汇票等银行转帐方式提交，但不可以采用现金方式提交。</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必须保证履约保证金以</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名称在签订合同前提交至采购人指定账户。</w:t>
      </w:r>
    </w:p>
    <w:p w14:paraId="12317980">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不能按本采购文件的规定提交履约保证金的，采购人将有权取消</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的中标资格（采购人可以按照</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提出的中标候选人名单排序依次确定其他中标候选人为</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，也可以重新采购），投标保证金不予退还，给采购人造成的损失如果超过投标保证金数额的，还应当对超过部分予以赔偿。</w:t>
      </w:r>
    </w:p>
    <w:p w14:paraId="47962EFA">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（4）为取得履约担保所需的费用，由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承担；若工期延误，履约担保时间延长，延长费用由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承担。</w:t>
      </w:r>
    </w:p>
    <w:p w14:paraId="1412F51B">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在合同履行过程中出现项目质量事故、工期拖延、欠付工人工资、欠付材料款等情况，采购人在经核查属实后，有权将履约保函金额转为现金存入履约保证金账户；</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造成采购人损失的，采购人有权立即没收其履约担保，若造成损失超过履约担保的，还应当对超过部分予以赔偿。</w:t>
      </w:r>
    </w:p>
    <w:p w14:paraId="50E02EE9">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（6）下列任何情况发生时，采购人有权行使享有的担保权利：</w:t>
      </w:r>
    </w:p>
    <w:p w14:paraId="178ED054">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将本项目转让给他人，或者在投标文件中未说明，且未经采购人同意，将中标项目分包给他人的；</w:t>
      </w:r>
    </w:p>
    <w:p w14:paraId="4F59CB4F">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在履行采购合同期间，违反有关法律法规的规定及合同约定的条款，损害了采购人的利益。</w:t>
      </w:r>
    </w:p>
    <w:p w14:paraId="595FCBE4">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（7）在整个项目验收合格后，</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向采购人提交退回履约担保的申请，采购人办理履约担保退还手续。</w:t>
      </w:r>
    </w:p>
    <w:p w14:paraId="21DBF3D3">
      <w:pPr>
        <w:shd w:val="clea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31.发票</w:t>
      </w:r>
    </w:p>
    <w:p w14:paraId="490D3CF8">
      <w:pPr>
        <w:shd w:val="clea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.1该项目获得成交的成交供应商在执行合同过程中，向采购人出具的发票必须是由成交供应商开具，不得以其他单位或个人名义出具。</w:t>
      </w:r>
    </w:p>
    <w:p w14:paraId="116D4AAC">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31.2成交供应商需提交增值税专用发票，并于备注栏写明项目名称及合同名称。</w:t>
      </w:r>
    </w:p>
    <w:p w14:paraId="601C5331">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31.3在合同履行期间，如遇国家的税率调整，则以开具发票的时间为准，以原合同约定价格不含税金额不变作为基准，按照新税率重新计算含税价格。</w:t>
      </w:r>
    </w:p>
    <w:p w14:paraId="496F0ECA">
      <w:pPr>
        <w:shd w:val="clear"/>
        <w:rPr>
          <w:rFonts w:hint="eastAsia" w:ascii="宋体" w:hAnsi="宋体" w:eastAsia="宋体" w:cs="宋体"/>
          <w:color w:val="auto"/>
          <w:highlight w:val="none"/>
        </w:rPr>
      </w:pPr>
    </w:p>
    <w:bookmarkEnd w:id="149"/>
    <w:p w14:paraId="1672CA78">
      <w:pPr>
        <w:pStyle w:val="5"/>
        <w:shd w:val="clear"/>
        <w:adjustRightInd/>
        <w:spacing w:line="360" w:lineRule="auto"/>
        <w:ind w:firstLine="562" w:firstLineChars="200"/>
        <w:jc w:val="center"/>
        <w:rPr>
          <w:rFonts w:hint="eastAsia" w:ascii="宋体" w:hAnsi="宋体" w:eastAsia="宋体" w:cs="宋体"/>
          <w:color w:val="auto"/>
          <w:sz w:val="21"/>
          <w:szCs w:val="21"/>
          <w:highlight w:val="none"/>
          <w:lang w:eastAsia="zh-CN"/>
        </w:rPr>
      </w:pPr>
      <w:bookmarkStart w:id="150" w:name="_Toc8766"/>
      <w:bookmarkStart w:id="151" w:name="_Toc152"/>
      <w:bookmarkStart w:id="152" w:name="_Toc7897884"/>
      <w:bookmarkStart w:id="153" w:name="_Toc396137239"/>
      <w:bookmarkStart w:id="154" w:name="_Toc5141"/>
      <w:bookmarkStart w:id="155" w:name="_Toc3498"/>
      <w:bookmarkStart w:id="156" w:name="_Toc22751"/>
      <w:bookmarkStart w:id="157" w:name="_Toc396137240"/>
      <w:r>
        <w:rPr>
          <w:rFonts w:hint="eastAsia" w:ascii="宋体" w:hAnsi="宋体" w:eastAsia="宋体" w:cs="宋体"/>
          <w:color w:val="auto"/>
          <w:sz w:val="28"/>
          <w:szCs w:val="28"/>
          <w:highlight w:val="none"/>
        </w:rPr>
        <w:t>八、</w:t>
      </w:r>
      <w:bookmarkEnd w:id="150"/>
      <w:bookmarkEnd w:id="151"/>
      <w:bookmarkEnd w:id="152"/>
      <w:r>
        <w:rPr>
          <w:rFonts w:hint="eastAsia" w:ascii="宋体" w:hAnsi="宋体" w:eastAsia="宋体" w:cs="宋体"/>
          <w:color w:val="auto"/>
          <w:sz w:val="28"/>
          <w:szCs w:val="28"/>
          <w:highlight w:val="none"/>
          <w:lang w:eastAsia="zh-CN"/>
        </w:rPr>
        <w:t>采购代理服务费</w:t>
      </w:r>
    </w:p>
    <w:p w14:paraId="47E041EA">
      <w:pPr>
        <w:shd w:val="clear"/>
        <w:spacing w:line="360" w:lineRule="auto"/>
        <w:ind w:firstLine="428" w:firstLineChars="20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eastAsia="zh-CN"/>
        </w:rPr>
        <w:t>采购代理服务费</w:t>
      </w:r>
    </w:p>
    <w:p w14:paraId="7F2EC71F">
      <w:pPr>
        <w:shd w:val="clear"/>
        <w:spacing w:line="360" w:lineRule="auto"/>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32.1采购代理服务费由采购人向</w:t>
      </w:r>
      <w:r>
        <w:rPr>
          <w:rFonts w:hint="eastAsia" w:ascii="宋体" w:hAnsi="宋体" w:eastAsia="宋体" w:cs="宋体"/>
          <w:color w:val="auto"/>
          <w:sz w:val="21"/>
          <w:szCs w:val="21"/>
          <w:highlight w:val="none"/>
          <w:lang w:eastAsia="zh-CN"/>
        </w:rPr>
        <w:t>采购代理机构支付。</w:t>
      </w:r>
    </w:p>
    <w:p w14:paraId="4CD2F419">
      <w:pPr>
        <w:pStyle w:val="3"/>
        <w:shd w:val="clear"/>
        <w:ind w:firstLine="400"/>
        <w:rPr>
          <w:rFonts w:hint="eastAsia" w:ascii="宋体" w:hAnsi="宋体" w:eastAsia="宋体" w:cs="宋体"/>
          <w:color w:val="auto"/>
          <w:highlight w:val="none"/>
        </w:rPr>
      </w:pPr>
    </w:p>
    <w:p w14:paraId="1182FB8E">
      <w:pPr>
        <w:pStyle w:val="5"/>
        <w:shd w:val="clear"/>
        <w:adjustRightInd/>
        <w:spacing w:line="360" w:lineRule="auto"/>
        <w:ind w:firstLine="562" w:firstLineChars="200"/>
        <w:jc w:val="center"/>
        <w:rPr>
          <w:rFonts w:hint="eastAsia" w:ascii="宋体" w:hAnsi="宋体" w:eastAsia="宋体" w:cs="宋体"/>
          <w:color w:val="auto"/>
          <w:sz w:val="28"/>
          <w:szCs w:val="28"/>
          <w:highlight w:val="none"/>
          <w:lang w:val="zh-CN"/>
        </w:rPr>
      </w:pPr>
      <w:bookmarkStart w:id="158" w:name="_Toc17153"/>
      <w:r>
        <w:rPr>
          <w:rFonts w:hint="eastAsia" w:ascii="宋体" w:hAnsi="宋体" w:eastAsia="宋体" w:cs="宋体"/>
          <w:color w:val="auto"/>
          <w:sz w:val="28"/>
          <w:szCs w:val="28"/>
          <w:highlight w:val="none"/>
          <w:lang w:val="zh-CN"/>
        </w:rPr>
        <w:t>九、质疑与回复</w:t>
      </w:r>
      <w:bookmarkEnd w:id="153"/>
      <w:bookmarkEnd w:id="154"/>
      <w:bookmarkEnd w:id="155"/>
      <w:bookmarkEnd w:id="158"/>
    </w:p>
    <w:p w14:paraId="23FB1186">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质疑与回复</w:t>
      </w:r>
    </w:p>
    <w:p w14:paraId="75E64E43">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质疑书应当包括下列主要内容：</w:t>
      </w:r>
    </w:p>
    <w:p w14:paraId="0ABB3C6D">
      <w:pPr>
        <w:shd w:val="clear"/>
        <w:spacing w:line="360" w:lineRule="auto"/>
        <w:ind w:left="539" w:right="17" w:hanging="53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（1）供应商的姓名或者名称、地址、邮编、联系人及联系电话；</w:t>
      </w:r>
    </w:p>
    <w:p w14:paraId="59E212F2">
      <w:pPr>
        <w:shd w:val="clear"/>
        <w:spacing w:line="360" w:lineRule="auto"/>
        <w:ind w:left="539" w:right="17" w:hanging="53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（2）质疑项目的名称、编号；</w:t>
      </w:r>
    </w:p>
    <w:p w14:paraId="22026D96">
      <w:pPr>
        <w:shd w:val="clear"/>
        <w:spacing w:line="360" w:lineRule="auto"/>
        <w:ind w:left="539" w:right="17" w:hanging="53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（3）具体、明确的质疑事项和与质疑事项相关的请求；</w:t>
      </w:r>
    </w:p>
    <w:p w14:paraId="0C0FCFDC">
      <w:pPr>
        <w:shd w:val="clear"/>
        <w:spacing w:line="360" w:lineRule="auto"/>
        <w:ind w:left="539" w:right="17" w:hanging="53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（4）事实依据；</w:t>
      </w:r>
    </w:p>
    <w:p w14:paraId="6F467D1A">
      <w:pPr>
        <w:shd w:val="clear"/>
        <w:spacing w:line="360" w:lineRule="auto"/>
        <w:ind w:left="539" w:right="17" w:hanging="53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（5）必要的法律依据；</w:t>
      </w:r>
    </w:p>
    <w:p w14:paraId="2DD9AB4E">
      <w:pPr>
        <w:shd w:val="clear"/>
        <w:spacing w:line="360" w:lineRule="auto"/>
        <w:ind w:left="539" w:right="17" w:hanging="53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（6）提出质疑的日期。</w:t>
      </w:r>
    </w:p>
    <w:p w14:paraId="633E7D57">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33</w:t>
      </w:r>
      <w:r>
        <w:rPr>
          <w:rFonts w:hint="eastAsia" w:ascii="宋体" w:hAnsi="宋体" w:eastAsia="宋体" w:cs="宋体"/>
          <w:color w:val="auto"/>
          <w:sz w:val="21"/>
          <w:szCs w:val="21"/>
          <w:highlight w:val="none"/>
        </w:rPr>
        <w:t>.2. 质疑书应当署名。质疑人为自然人的，应当由本人签名；质疑人为法人或者</w:t>
      </w:r>
      <w:r>
        <w:rPr>
          <w:rFonts w:hint="eastAsia" w:ascii="宋体" w:hAnsi="宋体" w:eastAsia="宋体" w:cs="宋体"/>
          <w:color w:val="auto"/>
          <w:kern w:val="2"/>
          <w:sz w:val="21"/>
          <w:szCs w:val="21"/>
          <w:highlight w:val="none"/>
          <w:lang w:val="zh-CN"/>
        </w:rPr>
        <w:t>其他</w:t>
      </w:r>
      <w:r>
        <w:rPr>
          <w:rFonts w:hint="eastAsia" w:ascii="宋体" w:hAnsi="宋体" w:eastAsia="宋体" w:cs="宋体"/>
          <w:color w:val="auto"/>
          <w:sz w:val="21"/>
          <w:szCs w:val="21"/>
          <w:highlight w:val="none"/>
        </w:rPr>
        <w:t>组织的，应当由法定代表人或者主要负责人签名并加盖公章。</w:t>
      </w:r>
    </w:p>
    <w:p w14:paraId="46988166">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供应商认为磋商文件的内容损害其权益的，应当以书面形式（加盖公章）在磋商文件公示期间或者自期满之日起7个工作日内向采购代理机构提交质疑书原件，逾期质疑无效。供应商以电话、传真或电邮形式提交的质疑属于无效质疑。</w:t>
      </w:r>
    </w:p>
    <w:p w14:paraId="14E69762">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 供应商认为采购过程和成交结果使自己的权益受到损害的，应当以书面形式（加盖公章）在知道或者应知其权益受到损害之日起7个工作日内向采购代理机构提交质疑书原件，逾期质疑无效。供应商以电话、传真或电邮形式提交的质疑属于无效质疑。联系人：</w:t>
      </w:r>
      <w:r>
        <w:rPr>
          <w:rFonts w:hint="eastAsia" w:ascii="宋体" w:hAnsi="宋体" w:eastAsia="宋体" w:cs="宋体"/>
          <w:color w:val="auto"/>
          <w:sz w:val="21"/>
          <w:szCs w:val="21"/>
          <w:highlight w:val="none"/>
          <w:lang w:eastAsia="zh-CN"/>
        </w:rPr>
        <w:t>周先生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0769-22333556</w:t>
      </w: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lang w:eastAsia="zh-CN"/>
        </w:rPr>
        <w:t>广东省东莞市南城街道西平三路3号2栋11单元301室</w:t>
      </w:r>
      <w:r>
        <w:rPr>
          <w:rFonts w:hint="eastAsia" w:ascii="宋体" w:hAnsi="宋体" w:eastAsia="宋体" w:cs="宋体"/>
          <w:color w:val="auto"/>
          <w:sz w:val="21"/>
          <w:szCs w:val="21"/>
          <w:highlight w:val="none"/>
        </w:rPr>
        <w:t>。</w:t>
      </w:r>
    </w:p>
    <w:p w14:paraId="21AA159D">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33.5.供应商在法定质疑期内一次性提出针对同一采购程序环节的质疑。</w:t>
      </w:r>
    </w:p>
    <w:p w14:paraId="4A66E460">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质疑内容不得含有虚假、恶意成分。依据谁主张谁举证的原则，质疑者提供的质疑书应当包括下列主要内容：具体的质疑事项、事实依据及相关确凿的证明材料和注明事实的确切来源、供应商名称、联系人与联系电话、质疑时间，质疑书应当署名并由法定代表人或授权代表签名并加盖公章。采购代理机构受理书面质疑书原件之日起，在规定的期限内作出答复。供应商捏造事实、提供虚假材料或者以非法手段取得证明材料进行投诉的，列入不良行为记录名单，禁止其1至3年内参加采购活动。</w:t>
      </w:r>
    </w:p>
    <w:p w14:paraId="23714F7F">
      <w:pPr>
        <w:shd w:val="clear"/>
        <w:spacing w:line="360" w:lineRule="auto"/>
        <w:ind w:firstLine="420" w:firstLineChars="200"/>
        <w:rPr>
          <w:rFonts w:hint="eastAsia" w:ascii="宋体" w:hAnsi="宋体" w:eastAsia="宋体" w:cs="宋体"/>
          <w:bCs/>
          <w:color w:val="auto"/>
          <w:sz w:val="21"/>
          <w:szCs w:val="21"/>
          <w:highlight w:val="none"/>
        </w:rPr>
      </w:pPr>
      <w:bookmarkStart w:id="159" w:name="_Toc29421"/>
      <w:r>
        <w:rPr>
          <w:rFonts w:hint="eastAsia" w:ascii="宋体" w:hAnsi="宋体" w:eastAsia="宋体" w:cs="宋体"/>
          <w:color w:val="auto"/>
          <w:sz w:val="21"/>
          <w:szCs w:val="21"/>
          <w:highlight w:val="none"/>
        </w:rPr>
        <w:t>33.7.采购代理机构在收到供应商的有效书面质疑后7个工作日内作出答复，但答复的内容不涉及商业秘密。</w:t>
      </w:r>
      <w:bookmarkEnd w:id="159"/>
    </w:p>
    <w:p w14:paraId="4CA403C0">
      <w:pPr>
        <w:pStyle w:val="4"/>
        <w:keepNext/>
        <w:keepLines/>
        <w:pageBreakBefore/>
        <w:numPr>
          <w:ilvl w:val="0"/>
          <w:numId w:val="10"/>
        </w:numPr>
        <w:shd w:val="clear"/>
        <w:tabs>
          <w:tab w:val="left" w:pos="1080"/>
        </w:tabs>
        <w:spacing w:line="360" w:lineRule="auto"/>
        <w:ind w:left="1262" w:hanging="1262" w:hangingChars="449"/>
        <w:jc w:val="center"/>
        <w:rPr>
          <w:rFonts w:hint="eastAsia" w:ascii="宋体" w:hAnsi="宋体" w:eastAsia="宋体" w:cs="宋体"/>
          <w:b/>
          <w:bCs/>
          <w:color w:val="auto"/>
          <w:kern w:val="44"/>
          <w:sz w:val="28"/>
          <w:szCs w:val="28"/>
          <w:highlight w:val="none"/>
          <w:lang w:val="zh-CN"/>
        </w:rPr>
      </w:pPr>
      <w:bookmarkStart w:id="160" w:name="_Toc22134"/>
      <w:r>
        <w:rPr>
          <w:rFonts w:hint="eastAsia" w:ascii="宋体" w:hAnsi="宋体" w:eastAsia="宋体" w:cs="宋体"/>
          <w:b/>
          <w:bCs/>
          <w:color w:val="auto"/>
          <w:kern w:val="44"/>
          <w:sz w:val="28"/>
          <w:szCs w:val="28"/>
          <w:highlight w:val="none"/>
          <w:lang w:val="zh-CN"/>
        </w:rPr>
        <w:t>用户需求书</w:t>
      </w:r>
      <w:bookmarkEnd w:id="156"/>
      <w:bookmarkEnd w:id="157"/>
      <w:bookmarkEnd w:id="160"/>
    </w:p>
    <w:p w14:paraId="755143C3">
      <w:pPr>
        <w:pStyle w:val="6"/>
        <w:spacing w:before="0" w:after="0" w:line="360" w:lineRule="auto"/>
        <w:jc w:val="center"/>
        <w:rPr>
          <w:rFonts w:hint="eastAsia" w:ascii="宋体" w:hAnsi="宋体" w:eastAsia="宋体" w:cs="宋体"/>
          <w:color w:val="auto"/>
          <w:highlight w:val="none"/>
        </w:rPr>
      </w:pPr>
      <w:bookmarkStart w:id="161" w:name="_Toc1593"/>
      <w:bookmarkStart w:id="162" w:name="_Toc20858"/>
      <w:bookmarkStart w:id="163" w:name="_Toc13957"/>
      <w:bookmarkStart w:id="164" w:name="_Toc308786492"/>
      <w:bookmarkStart w:id="165" w:name="_Toc15266"/>
      <w:r>
        <w:rPr>
          <w:rFonts w:hint="eastAsia" w:ascii="宋体" w:hAnsi="宋体" w:eastAsia="宋体" w:cs="宋体"/>
          <w:color w:val="auto"/>
          <w:highlight w:val="none"/>
        </w:rPr>
        <w:t>第一章 商务需求书</w:t>
      </w:r>
    </w:p>
    <w:tbl>
      <w:tblPr>
        <w:tblStyle w:val="54"/>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14:paraId="2A4DB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14:paraId="36BA6EF6">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01" w:type="dxa"/>
            <w:vAlign w:val="center"/>
          </w:tcPr>
          <w:p w14:paraId="4C9466C3">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466" w:type="dxa"/>
            <w:vAlign w:val="center"/>
          </w:tcPr>
          <w:p w14:paraId="7944BF99">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14:paraId="23AA1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14:paraId="13B8590C">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1" w:type="dxa"/>
            <w:vAlign w:val="center"/>
          </w:tcPr>
          <w:p w14:paraId="29BC0F15">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合格</w:t>
            </w:r>
            <w:r>
              <w:rPr>
                <w:rFonts w:hint="eastAsia" w:ascii="宋体" w:hAnsi="宋体" w:eastAsia="宋体" w:cs="宋体"/>
                <w:color w:val="auto"/>
                <w:sz w:val="21"/>
                <w:szCs w:val="21"/>
                <w:highlight w:val="none"/>
                <w:lang w:eastAsia="zh-CN"/>
              </w:rPr>
              <w:t>供应商</w:t>
            </w:r>
          </w:p>
        </w:tc>
        <w:tc>
          <w:tcPr>
            <w:tcW w:w="6466" w:type="dxa"/>
            <w:vAlign w:val="center"/>
          </w:tcPr>
          <w:p w14:paraId="4B260FDA">
            <w:pPr>
              <w:pStyle w:val="147"/>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kern w:val="44"/>
                <w:sz w:val="21"/>
                <w:szCs w:val="21"/>
                <w:highlight w:val="none"/>
              </w:rPr>
            </w:pPr>
            <w:r>
              <w:rPr>
                <w:rFonts w:hint="eastAsia" w:ascii="宋体" w:hAnsi="宋体" w:eastAsia="宋体" w:cs="宋体"/>
                <w:color w:val="auto"/>
                <w:sz w:val="21"/>
                <w:szCs w:val="21"/>
                <w:highlight w:val="none"/>
              </w:rPr>
              <w:t>详见“第一部分 投标邀请”中“二、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资格要求”</w:t>
            </w:r>
          </w:p>
        </w:tc>
      </w:tr>
      <w:tr w14:paraId="4DC4F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1" w:hRule="atLeast"/>
        </w:trPr>
        <w:tc>
          <w:tcPr>
            <w:tcW w:w="718" w:type="dxa"/>
            <w:vAlign w:val="center"/>
          </w:tcPr>
          <w:p w14:paraId="5DF8E54D">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01" w:type="dxa"/>
            <w:vAlign w:val="center"/>
          </w:tcPr>
          <w:p w14:paraId="472BDA72">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w:t>
            </w:r>
          </w:p>
        </w:tc>
        <w:tc>
          <w:tcPr>
            <w:tcW w:w="6466" w:type="dxa"/>
            <w:vAlign w:val="center"/>
          </w:tcPr>
          <w:p w14:paraId="07368100">
            <w:pPr>
              <w:pStyle w:val="65"/>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检测服务期涵盖整个基础施工阶段。具体开始工作的时间以采购人书面通知为准，若工程工期滞后则本项目检测服务期顺延到所有工作完成为止。</w:t>
            </w:r>
          </w:p>
        </w:tc>
      </w:tr>
      <w:tr w14:paraId="3753F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718" w:type="dxa"/>
            <w:vAlign w:val="center"/>
          </w:tcPr>
          <w:p w14:paraId="551A0ADC">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01" w:type="dxa"/>
            <w:vAlign w:val="center"/>
          </w:tcPr>
          <w:p w14:paraId="58E1E086">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466" w:type="dxa"/>
            <w:vAlign w:val="center"/>
          </w:tcPr>
          <w:p w14:paraId="0AF62423">
            <w:pPr>
              <w:keepNext w:val="0"/>
              <w:keepLines w:val="0"/>
              <w:pageBreakBefore w:val="0"/>
              <w:tabs>
                <w:tab w:val="left" w:pos="360"/>
              </w:tabs>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提交请款材料及《工程质量检测报告》，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在收到之日起10个工作日内，向</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当期实际完成工程量</w:t>
            </w:r>
            <w:r>
              <w:rPr>
                <w:rFonts w:hint="eastAsia" w:ascii="宋体" w:hAnsi="宋体" w:eastAsia="宋体" w:cs="宋体"/>
                <w:color w:val="auto"/>
                <w:sz w:val="21"/>
                <w:szCs w:val="21"/>
                <w:highlight w:val="none"/>
              </w:rPr>
              <w:t>的80%。</w:t>
            </w:r>
          </w:p>
          <w:p w14:paraId="716863A8">
            <w:pPr>
              <w:keepNext w:val="0"/>
              <w:keepLines w:val="0"/>
              <w:pageBreakBefore w:val="0"/>
              <w:tabs>
                <w:tab w:val="left" w:pos="360"/>
              </w:tabs>
              <w:kinsoku/>
              <w:wordWrap/>
              <w:overflowPunct/>
              <w:topLinePunct w:val="0"/>
              <w:bidi w:val="0"/>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本合同项下项目基础验收合格、结算完毕，</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程序完成请款后10个工作日内，</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支付至结算价的</w:t>
            </w:r>
            <w:r>
              <w:rPr>
                <w:rFonts w:hint="eastAsia" w:ascii="宋体" w:hAnsi="宋体" w:eastAsia="宋体" w:cs="宋体"/>
                <w:color w:val="auto"/>
                <w:sz w:val="21"/>
                <w:szCs w:val="21"/>
                <w:highlight w:val="none"/>
                <w:lang w:val="en-US" w:eastAsia="zh-CN"/>
              </w:rPr>
              <w:t>97</w:t>
            </w:r>
            <w:r>
              <w:rPr>
                <w:rFonts w:hint="eastAsia" w:ascii="宋体" w:hAnsi="宋体" w:eastAsia="宋体" w:cs="宋体"/>
                <w:color w:val="auto"/>
                <w:sz w:val="21"/>
                <w:szCs w:val="21"/>
                <w:highlight w:val="none"/>
              </w:rPr>
              <w:t>%。</w:t>
            </w:r>
          </w:p>
          <w:p w14:paraId="11867B34">
            <w:pPr>
              <w:keepNext w:val="0"/>
              <w:keepLines w:val="0"/>
              <w:pageBreakBefore w:val="0"/>
              <w:numPr>
                <w:ilvl w:val="0"/>
                <w:numId w:val="0"/>
              </w:numPr>
              <w:tabs>
                <w:tab w:val="left" w:pos="360"/>
              </w:tabs>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3）本项目完成竣工验收备案证后，</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程序完成请款后一个月内</w:t>
            </w:r>
            <w:r>
              <w:rPr>
                <w:rFonts w:hint="eastAsia" w:ascii="宋体" w:hAnsi="宋体" w:eastAsia="宋体" w:cs="宋体"/>
                <w:color w:val="auto"/>
                <w:sz w:val="21"/>
                <w:szCs w:val="21"/>
                <w:highlight w:val="none"/>
                <w:lang w:val="en-US" w:eastAsia="zh-CN"/>
              </w:rPr>
              <w:t>支付剩余尾款（不计息）。</w:t>
            </w:r>
          </w:p>
          <w:p w14:paraId="7EBC551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4、每次请款时，</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应向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提供同等金额的增值税专用发票，否则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有权推延至收到发票之日起十个工作日内支付。</w:t>
            </w:r>
          </w:p>
        </w:tc>
      </w:tr>
      <w:tr w14:paraId="3B330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14:paraId="78A11E47">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01" w:type="dxa"/>
            <w:vAlign w:val="center"/>
          </w:tcPr>
          <w:p w14:paraId="3AEEADF8">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项目地点</w:t>
            </w:r>
          </w:p>
        </w:tc>
        <w:tc>
          <w:tcPr>
            <w:tcW w:w="6466" w:type="dxa"/>
            <w:vAlign w:val="center"/>
          </w:tcPr>
          <w:p w14:paraId="37374A54">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p>
        </w:tc>
      </w:tr>
      <w:tr w14:paraId="27A32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trPr>
        <w:tc>
          <w:tcPr>
            <w:tcW w:w="718" w:type="dxa"/>
            <w:vAlign w:val="center"/>
          </w:tcPr>
          <w:p w14:paraId="478B8E12">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01" w:type="dxa"/>
            <w:vAlign w:val="center"/>
          </w:tcPr>
          <w:p w14:paraId="24124303">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6466" w:type="dxa"/>
            <w:vAlign w:val="center"/>
          </w:tcPr>
          <w:p w14:paraId="2BB5590B">
            <w:pPr>
              <w:pStyle w:val="19"/>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投标报价应包括本次采购所有服务内容的费用，包括但不限于专家论证费、人工费、仪器仪具使用费、办公费、住宿费、交通费、税金、保险、利润等所有一切费用。</w:t>
            </w:r>
          </w:p>
        </w:tc>
      </w:tr>
      <w:tr w14:paraId="0BBCB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718" w:type="dxa"/>
            <w:vAlign w:val="center"/>
          </w:tcPr>
          <w:p w14:paraId="06E2209D">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01" w:type="dxa"/>
            <w:vAlign w:val="center"/>
          </w:tcPr>
          <w:p w14:paraId="313F2CBE">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466" w:type="dxa"/>
            <w:vAlign w:val="center"/>
          </w:tcPr>
          <w:p w14:paraId="252BA7C1">
            <w:pPr>
              <w:keepNext w:val="0"/>
              <w:keepLines w:val="0"/>
              <w:pageBreakBefore w:val="0"/>
              <w:tabs>
                <w:tab w:val="center" w:pos="3125"/>
              </w:tabs>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自开标之日起90天。</w:t>
            </w:r>
          </w:p>
        </w:tc>
      </w:tr>
      <w:tr w14:paraId="5C9C0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718" w:type="dxa"/>
            <w:vAlign w:val="center"/>
          </w:tcPr>
          <w:p w14:paraId="0C2D594C">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01" w:type="dxa"/>
            <w:vAlign w:val="center"/>
          </w:tcPr>
          <w:p w14:paraId="15F376DE">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w:t>
            </w:r>
          </w:p>
        </w:tc>
        <w:tc>
          <w:tcPr>
            <w:tcW w:w="6466" w:type="dxa"/>
            <w:vAlign w:val="center"/>
          </w:tcPr>
          <w:p w14:paraId="4BCFA91B">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实质响应合同各条款。</w:t>
            </w:r>
          </w:p>
        </w:tc>
      </w:tr>
    </w:tbl>
    <w:p w14:paraId="1145EC12">
      <w:pPr>
        <w:rPr>
          <w:rFonts w:hint="eastAsia" w:ascii="宋体" w:hAnsi="宋体" w:eastAsia="宋体" w:cs="宋体"/>
          <w:color w:val="auto"/>
          <w:highlight w:val="none"/>
        </w:rPr>
      </w:pPr>
    </w:p>
    <w:p w14:paraId="237FF836">
      <w:pPr>
        <w:rPr>
          <w:rFonts w:hint="eastAsia" w:ascii="宋体" w:hAnsi="宋体" w:eastAsia="宋体" w:cs="宋体"/>
          <w:color w:val="auto"/>
          <w:highlight w:val="none"/>
        </w:rPr>
      </w:pPr>
      <w:bookmarkStart w:id="166" w:name="_Toc30066"/>
      <w:bookmarkStart w:id="167" w:name="_Toc19316"/>
      <w:r>
        <w:rPr>
          <w:rFonts w:hint="eastAsia" w:ascii="宋体" w:hAnsi="宋体" w:eastAsia="宋体" w:cs="宋体"/>
          <w:color w:val="auto"/>
          <w:highlight w:val="none"/>
        </w:rPr>
        <w:br w:type="page"/>
      </w:r>
    </w:p>
    <w:p w14:paraId="2A0DC955">
      <w:pPr>
        <w:pStyle w:val="6"/>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第二章 技术需求书</w:t>
      </w:r>
      <w:bookmarkEnd w:id="166"/>
      <w:bookmarkEnd w:id="167"/>
    </w:p>
    <w:p w14:paraId="04FE948D">
      <w:pPr>
        <w:tabs>
          <w:tab w:val="left" w:pos="984"/>
        </w:tabs>
        <w:snapToGrid w:val="0"/>
        <w:spacing w:line="360" w:lineRule="auto"/>
        <w:ind w:firstLine="422" w:firstLineChars="200"/>
        <w:rPr>
          <w:rFonts w:hint="eastAsia" w:ascii="宋体" w:hAnsi="宋体" w:eastAsia="宋体" w:cs="宋体"/>
          <w:b/>
          <w:color w:val="auto"/>
          <w:sz w:val="21"/>
          <w:szCs w:val="21"/>
          <w:highlight w:val="none"/>
        </w:rPr>
      </w:pPr>
      <w:bookmarkStart w:id="168" w:name="_Toc11633"/>
      <w:r>
        <w:rPr>
          <w:rFonts w:hint="eastAsia" w:ascii="宋体" w:hAnsi="宋体" w:eastAsia="宋体" w:cs="宋体"/>
          <w:b/>
          <w:color w:val="auto"/>
          <w:sz w:val="21"/>
          <w:szCs w:val="21"/>
          <w:highlight w:val="none"/>
        </w:rPr>
        <w:t>一、项目概况</w:t>
      </w:r>
    </w:p>
    <w:p w14:paraId="08DA24E2">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大岭山大塘村优质产业空间项目（南地块）一期</w:t>
      </w:r>
      <w:r>
        <w:rPr>
          <w:rFonts w:hint="eastAsia" w:ascii="宋体" w:hAnsi="宋体" w:eastAsia="宋体" w:cs="宋体"/>
          <w:color w:val="auto"/>
          <w:sz w:val="21"/>
          <w:szCs w:val="21"/>
          <w:highlight w:val="none"/>
        </w:rPr>
        <w:t>项目地块位于</w:t>
      </w:r>
      <w:r>
        <w:rPr>
          <w:rFonts w:hint="eastAsia" w:ascii="宋体" w:hAnsi="宋体" w:eastAsia="宋体" w:cs="宋体"/>
          <w:color w:val="auto"/>
          <w:sz w:val="21"/>
          <w:szCs w:val="21"/>
          <w:highlight w:val="none"/>
          <w:lang w:val="en-US" w:eastAsia="zh-CN"/>
        </w:rPr>
        <w:t>大岭山镇大塘村沿河街以东</w:t>
      </w:r>
      <w:r>
        <w:rPr>
          <w:rFonts w:hint="eastAsia" w:ascii="宋体" w:hAnsi="宋体" w:eastAsia="宋体" w:cs="宋体"/>
          <w:color w:val="auto"/>
          <w:sz w:val="21"/>
          <w:szCs w:val="21"/>
          <w:highlight w:val="none"/>
        </w:rPr>
        <w:t>。项目开发建设用地面积36048.40平方米，总</w:t>
      </w:r>
      <w:r>
        <w:rPr>
          <w:rFonts w:hint="eastAsia" w:ascii="宋体" w:hAnsi="宋体" w:eastAsia="宋体" w:cs="宋体"/>
          <w:color w:val="auto"/>
          <w:sz w:val="21"/>
          <w:szCs w:val="21"/>
          <w:highlight w:val="none"/>
          <w:lang w:val="en-US" w:eastAsia="zh-CN"/>
        </w:rPr>
        <w:t>计容</w:t>
      </w:r>
      <w:r>
        <w:rPr>
          <w:rFonts w:hint="eastAsia" w:ascii="宋体" w:hAnsi="宋体" w:eastAsia="宋体" w:cs="宋体"/>
          <w:color w:val="auto"/>
          <w:sz w:val="21"/>
          <w:szCs w:val="21"/>
          <w:highlight w:val="none"/>
        </w:rPr>
        <w:t>建筑面积约</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62</w:t>
      </w:r>
      <w:r>
        <w:rPr>
          <w:rFonts w:hint="eastAsia" w:ascii="宋体" w:hAnsi="宋体" w:eastAsia="宋体" w:cs="宋体"/>
          <w:color w:val="auto"/>
          <w:sz w:val="21"/>
          <w:szCs w:val="21"/>
          <w:highlight w:val="none"/>
        </w:rPr>
        <w:t>万平方米，拟建10栋厂房、1栋停车楼以及相关配套用房等。</w:t>
      </w:r>
    </w:p>
    <w:p w14:paraId="270A2799">
      <w:pPr>
        <w:tabs>
          <w:tab w:val="left" w:pos="984"/>
        </w:tabs>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二、桩基情况概述</w:t>
      </w:r>
    </w:p>
    <w:p w14:paraId="3265D7F7">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1、基础等级：1-10号厂房基础等级为乙级，11号停车楼基础等级为甲级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最终以审核文件为准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175AF9E">
      <w:pPr>
        <w:tabs>
          <w:tab w:val="left" w:pos="984"/>
        </w:tabs>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2、基础类型及数量：</w:t>
      </w:r>
    </w:p>
    <w:tbl>
      <w:tblPr>
        <w:tblStyle w:val="54"/>
        <w:tblW w:w="8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18"/>
        <w:gridCol w:w="1117"/>
        <w:gridCol w:w="1089"/>
        <w:gridCol w:w="1075"/>
        <w:gridCol w:w="1075"/>
        <w:gridCol w:w="1157"/>
        <w:gridCol w:w="1102"/>
        <w:gridCol w:w="1102"/>
      </w:tblGrid>
      <w:tr w14:paraId="5F9B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1" w:hRule="atLeast"/>
        </w:trPr>
        <w:tc>
          <w:tcPr>
            <w:tcW w:w="87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04340B5B">
            <w:pPr>
              <w:pStyle w:val="48"/>
              <w:keepNext w:val="0"/>
              <w:keepLines w:val="0"/>
              <w:widowControl/>
              <w:suppressLineNumbers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楼栋号</w:t>
            </w:r>
          </w:p>
        </w:tc>
        <w:tc>
          <w:tcPr>
            <w:tcW w:w="112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38AC159F">
            <w:pPr>
              <w:pStyle w:val="48"/>
              <w:keepNext w:val="0"/>
              <w:keepLines w:val="0"/>
              <w:widowControl/>
              <w:suppressLineNumbers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09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4622989B">
            <w:pPr>
              <w:pStyle w:val="48"/>
              <w:keepNext w:val="0"/>
              <w:keepLines w:val="0"/>
              <w:widowControl/>
              <w:suppressLineNumbers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03747A29">
            <w:pPr>
              <w:pStyle w:val="48"/>
              <w:keepNext w:val="0"/>
              <w:keepLines w:val="0"/>
              <w:widowControl/>
              <w:suppressLineNumbers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7FA020E5">
            <w:pPr>
              <w:pStyle w:val="48"/>
              <w:keepNext w:val="0"/>
              <w:keepLines w:val="0"/>
              <w:widowControl/>
              <w:suppressLineNumbers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6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181DE225">
            <w:pPr>
              <w:pStyle w:val="48"/>
              <w:keepNext w:val="0"/>
              <w:keepLines w:val="0"/>
              <w:widowControl/>
              <w:suppressLineNumbers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08"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370BFF6B">
            <w:pPr>
              <w:pStyle w:val="48"/>
              <w:keepNext w:val="0"/>
              <w:keepLines w:val="0"/>
              <w:widowControl/>
              <w:suppressLineNumbers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08"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0869EF6D">
            <w:pPr>
              <w:pStyle w:val="48"/>
              <w:keepNext w:val="0"/>
              <w:keepLines w:val="0"/>
              <w:widowControl/>
              <w:suppressLineNumbers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r>
      <w:tr w14:paraId="2087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7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24D07D41">
            <w:pPr>
              <w:pStyle w:val="48"/>
              <w:keepNext w:val="0"/>
              <w:keepLines w:val="0"/>
              <w:widowControl/>
              <w:suppressLineNumbers w:val="0"/>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桩基类型</w:t>
            </w:r>
          </w:p>
        </w:tc>
        <w:tc>
          <w:tcPr>
            <w:tcW w:w="112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39907071">
            <w:pPr>
              <w:pStyle w:val="48"/>
              <w:keepNext w:val="0"/>
              <w:keepLines w:val="0"/>
              <w:widowControl/>
              <w:suppressLineNumbers w:val="0"/>
              <w:wordWrap w:val="0"/>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预应力预制管桩</w:t>
            </w:r>
          </w:p>
        </w:tc>
        <w:tc>
          <w:tcPr>
            <w:tcW w:w="109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4F7E6636">
            <w:pPr>
              <w:pStyle w:val="48"/>
              <w:keepNext w:val="0"/>
              <w:keepLines w:val="0"/>
              <w:widowControl/>
              <w:suppressLineNumbers w:val="0"/>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预应力预制管桩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3CF950E6">
            <w:pPr>
              <w:pStyle w:val="48"/>
              <w:keepNext w:val="0"/>
              <w:keepLines w:val="0"/>
              <w:widowControl/>
              <w:suppressLineNumbers w:val="0"/>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预应力预制管桩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47D718E5">
            <w:pPr>
              <w:pStyle w:val="48"/>
              <w:keepNext w:val="0"/>
              <w:keepLines w:val="0"/>
              <w:widowControl/>
              <w:suppressLineNumbers w:val="0"/>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预应力预制管桩</w:t>
            </w:r>
          </w:p>
        </w:tc>
        <w:tc>
          <w:tcPr>
            <w:tcW w:w="116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4E64D844">
            <w:pPr>
              <w:pStyle w:val="48"/>
              <w:keepNext w:val="0"/>
              <w:keepLines w:val="0"/>
              <w:widowControl/>
              <w:suppressLineNumbers w:val="0"/>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预应力预制管桩</w:t>
            </w:r>
          </w:p>
        </w:tc>
        <w:tc>
          <w:tcPr>
            <w:tcW w:w="1108"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04E504FB">
            <w:pPr>
              <w:pStyle w:val="48"/>
              <w:keepNext w:val="0"/>
              <w:keepLines w:val="0"/>
              <w:widowControl/>
              <w:suppressLineNumbers w:val="0"/>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预应力预制管桩</w:t>
            </w:r>
          </w:p>
        </w:tc>
        <w:tc>
          <w:tcPr>
            <w:tcW w:w="1108"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7E9B98AC">
            <w:pPr>
              <w:pStyle w:val="48"/>
              <w:keepNext w:val="0"/>
              <w:keepLines w:val="0"/>
              <w:widowControl/>
              <w:suppressLineNumbers w:val="0"/>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预应力预制管桩</w:t>
            </w:r>
          </w:p>
        </w:tc>
      </w:tr>
      <w:tr w14:paraId="000DA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87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599E8AAB">
            <w:pPr>
              <w:pStyle w:val="48"/>
              <w:keepNext w:val="0"/>
              <w:keepLines w:val="0"/>
              <w:widowControl/>
              <w:suppressLineNumbers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数量（根）</w:t>
            </w:r>
          </w:p>
        </w:tc>
        <w:tc>
          <w:tcPr>
            <w:tcW w:w="112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5A3A384F">
            <w:pPr>
              <w:pStyle w:val="48"/>
              <w:keepNext w:val="0"/>
              <w:keepLines w:val="0"/>
              <w:widowControl/>
              <w:suppressLineNumbers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109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015993B3">
            <w:pPr>
              <w:pStyle w:val="48"/>
              <w:keepNext w:val="0"/>
              <w:keepLines w:val="0"/>
              <w:widowControl/>
              <w:suppressLineNumbers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44699BA6">
            <w:pPr>
              <w:pStyle w:val="48"/>
              <w:keepNext w:val="0"/>
              <w:keepLines w:val="0"/>
              <w:widowControl/>
              <w:suppressLineNumbers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6E0CE033">
            <w:pPr>
              <w:pStyle w:val="48"/>
              <w:keepNext w:val="0"/>
              <w:keepLines w:val="0"/>
              <w:widowControl/>
              <w:suppressLineNumbers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116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0E82940E">
            <w:pPr>
              <w:pStyle w:val="48"/>
              <w:keepNext w:val="0"/>
              <w:keepLines w:val="0"/>
              <w:widowControl/>
              <w:suppressLineNumbers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1108"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3F2A5D16">
            <w:pPr>
              <w:pStyle w:val="48"/>
              <w:keepNext w:val="0"/>
              <w:keepLines w:val="0"/>
              <w:widowControl/>
              <w:suppressLineNumbers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108"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14:paraId="5F3D3522">
            <w:pPr>
              <w:pStyle w:val="48"/>
              <w:keepNext w:val="0"/>
              <w:keepLines w:val="0"/>
              <w:widowControl/>
              <w:suppressLineNumbers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r>
    </w:tbl>
    <w:p w14:paraId="0DB88D3C">
      <w:pPr>
        <w:pStyle w:val="2"/>
        <w:rPr>
          <w:rFonts w:hint="eastAsia" w:ascii="宋体" w:hAnsi="宋体" w:eastAsia="宋体" w:cs="宋体"/>
          <w:color w:val="auto"/>
          <w:highlight w:val="none"/>
        </w:rPr>
      </w:pPr>
    </w:p>
    <w:p w14:paraId="6086C620">
      <w:pPr>
        <w:tabs>
          <w:tab w:val="left" w:pos="984"/>
        </w:tabs>
        <w:snapToGrid w:val="0"/>
        <w:spacing w:line="360" w:lineRule="auto"/>
        <w:ind w:firstLine="422" w:firstLineChars="200"/>
        <w:rPr>
          <w:rFonts w:hint="eastAsia" w:ascii="宋体" w:hAnsi="宋体" w:eastAsia="宋体" w:cs="宋体"/>
          <w:b/>
          <w:color w:val="auto"/>
          <w:sz w:val="21"/>
          <w:szCs w:val="21"/>
          <w:highlight w:val="none"/>
        </w:rPr>
      </w:pPr>
    </w:p>
    <w:p w14:paraId="755ECAFE">
      <w:pPr>
        <w:tabs>
          <w:tab w:val="left" w:pos="984"/>
        </w:tabs>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三、检测执行规范、目的及方法</w:t>
      </w:r>
    </w:p>
    <w:p w14:paraId="007AF089">
      <w:pPr>
        <w:tabs>
          <w:tab w:val="left" w:pos="984"/>
        </w:tabs>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检测执行的规范、依据</w:t>
      </w:r>
    </w:p>
    <w:p w14:paraId="0AC528FE">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广东省标准《建筑地基基础检测规范》DBJ/T 15-60-2019；</w:t>
      </w:r>
    </w:p>
    <w:p w14:paraId="36DD4953">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国家标准《岩土工程勘察规范》（GB50021-2001）2009年版；</w:t>
      </w:r>
    </w:p>
    <w:p w14:paraId="2D6AAE97">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广东省标准《建筑地基基础设计规范》（DBJ 15-31-2016）；</w:t>
      </w:r>
    </w:p>
    <w:p w14:paraId="0099C11E">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4、大岭山大塘村优质产业空间项目（南地块）一期项目</w:t>
      </w:r>
      <w:r>
        <w:rPr>
          <w:rFonts w:hint="eastAsia" w:ascii="宋体" w:hAnsi="宋体" w:eastAsia="宋体" w:cs="宋体"/>
          <w:color w:val="auto"/>
          <w:sz w:val="21"/>
          <w:szCs w:val="21"/>
          <w:highlight w:val="none"/>
        </w:rPr>
        <w:t>基础施工图；</w:t>
      </w:r>
    </w:p>
    <w:p w14:paraId="298E20DD">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、工程地形图及岩石工程勘察报告；</w:t>
      </w:r>
    </w:p>
    <w:p w14:paraId="4B8D44BB">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、其它规范及相关规定；</w:t>
      </w:r>
    </w:p>
    <w:p w14:paraId="16E7961B">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、勘察成果资料；</w:t>
      </w:r>
    </w:p>
    <w:p w14:paraId="71C54110">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、本项目设计文件相关法律、法规以及工程建设行业标准技术规范要求。</w:t>
      </w:r>
    </w:p>
    <w:p w14:paraId="254713C3">
      <w:pPr>
        <w:tabs>
          <w:tab w:val="left" w:pos="984"/>
        </w:tabs>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检测的方法及目的</w:t>
      </w:r>
    </w:p>
    <w:p w14:paraId="2E71BED4">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根据设计和规范要求，本次检测采用低应变法、抗压静载试验、</w:t>
      </w:r>
      <w:r>
        <w:rPr>
          <w:rFonts w:hint="eastAsia" w:ascii="宋体" w:hAnsi="宋体" w:eastAsia="宋体" w:cs="宋体"/>
          <w:color w:val="auto"/>
          <w:sz w:val="21"/>
          <w:szCs w:val="21"/>
          <w:highlight w:val="none"/>
          <w:lang w:val="en-US" w:eastAsia="zh-CN"/>
        </w:rPr>
        <w:t>高应变法</w:t>
      </w:r>
      <w:r>
        <w:rPr>
          <w:rFonts w:hint="eastAsia" w:ascii="宋体" w:hAnsi="宋体" w:eastAsia="宋体" w:cs="宋体"/>
          <w:color w:val="auto"/>
          <w:sz w:val="21"/>
          <w:szCs w:val="21"/>
          <w:highlight w:val="none"/>
        </w:rPr>
        <w:t>等检测方法进行。</w:t>
      </w:r>
    </w:p>
    <w:p w14:paraId="606A3529">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低应变法检测目的是普查桩身结构完整性。</w:t>
      </w:r>
    </w:p>
    <w:p w14:paraId="44D68243">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单桩竖向抗压静载试验目的是检验单桩竖向极限承载力和承载力特征值，并对试桩质量状况进行总体评价。</w:t>
      </w:r>
    </w:p>
    <w:p w14:paraId="1BD9627C">
      <w:pPr>
        <w:tabs>
          <w:tab w:val="left" w:pos="984"/>
        </w:tabs>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高应变法检测</w:t>
      </w:r>
      <w:r>
        <w:rPr>
          <w:rFonts w:hint="eastAsia" w:ascii="宋体" w:hAnsi="宋体" w:eastAsia="宋体" w:cs="宋体"/>
          <w:color w:val="auto"/>
          <w:sz w:val="21"/>
          <w:szCs w:val="21"/>
          <w:highlight w:val="none"/>
        </w:rPr>
        <w:t>目的是确定单桩竖向极限承载力是否符合设计要求。</w:t>
      </w:r>
    </w:p>
    <w:p w14:paraId="013A68B7">
      <w:pPr>
        <w:tabs>
          <w:tab w:val="left" w:pos="984"/>
        </w:tabs>
        <w:snapToGrid w:val="0"/>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（三）</w:t>
      </w:r>
      <w:r>
        <w:rPr>
          <w:rFonts w:hint="eastAsia" w:ascii="宋体" w:hAnsi="宋体" w:eastAsia="宋体" w:cs="宋体"/>
          <w:b/>
          <w:color w:val="auto"/>
          <w:sz w:val="21"/>
          <w:szCs w:val="21"/>
          <w:highlight w:val="none"/>
        </w:rPr>
        <w:t>项目基础检测取数的依据</w:t>
      </w:r>
      <w:r>
        <w:rPr>
          <w:rFonts w:hint="eastAsia" w:ascii="宋体" w:hAnsi="宋体" w:eastAsia="宋体" w:cs="宋体"/>
          <w:b/>
          <w:color w:val="auto"/>
          <w:sz w:val="21"/>
          <w:szCs w:val="21"/>
          <w:highlight w:val="none"/>
          <w:lang w:val="en-US" w:eastAsia="zh-CN"/>
        </w:rPr>
        <w:t xml:space="preserve">    </w:t>
      </w:r>
    </w:p>
    <w:tbl>
      <w:tblPr>
        <w:tblStyle w:val="54"/>
        <w:tblW w:w="8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5"/>
        <w:gridCol w:w="1188"/>
        <w:gridCol w:w="3290"/>
        <w:gridCol w:w="3225"/>
      </w:tblGrid>
      <w:tr w14:paraId="07E5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3" w:hRule="atLeast"/>
        </w:trPr>
        <w:tc>
          <w:tcPr>
            <w:tcW w:w="795"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1A220B5B">
            <w:pPr>
              <w:pStyle w:val="48"/>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基桩类型</w:t>
            </w:r>
          </w:p>
        </w:tc>
        <w:tc>
          <w:tcPr>
            <w:tcW w:w="1188"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7A78D247">
            <w:pPr>
              <w:pStyle w:val="48"/>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检测方法</w:t>
            </w:r>
          </w:p>
        </w:tc>
        <w:tc>
          <w:tcPr>
            <w:tcW w:w="329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4FBF8350">
            <w:pPr>
              <w:pStyle w:val="48"/>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同类型桩抽检数量</w:t>
            </w:r>
          </w:p>
        </w:tc>
        <w:tc>
          <w:tcPr>
            <w:tcW w:w="3225"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418CF43E">
            <w:pPr>
              <w:pStyle w:val="48"/>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47C5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0" w:hRule="atLeast"/>
        </w:trPr>
        <w:tc>
          <w:tcPr>
            <w:tcW w:w="795"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2B9FFAAD">
            <w:pPr>
              <w:pStyle w:val="48"/>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混凝土预制桩</w:t>
            </w:r>
          </w:p>
        </w:tc>
        <w:tc>
          <w:tcPr>
            <w:tcW w:w="1188"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487512D5">
            <w:pPr>
              <w:pStyle w:val="48"/>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低应变法或低应变+高应变检测桩身完整性</w:t>
            </w:r>
          </w:p>
        </w:tc>
        <w:tc>
          <w:tcPr>
            <w:tcW w:w="329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28A0C524">
            <w:pPr>
              <w:pStyle w:val="48"/>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地基基础设计等级为甲级的桩基工程抽检数量不应少于总桩数的</w:t>
            </w:r>
            <w:r>
              <w:rPr>
                <w:rFonts w:hint="eastAsia" w:ascii="宋体" w:hAnsi="宋体" w:eastAsia="宋体" w:cs="宋体"/>
                <w:b/>
                <w:bCs/>
                <w:color w:val="auto"/>
                <w:sz w:val="21"/>
                <w:szCs w:val="21"/>
                <w:highlight w:val="none"/>
              </w:rPr>
              <w:t>30%</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其余桩基工程检测数量不少于总桩数的20％</w:t>
            </w:r>
            <w:r>
              <w:rPr>
                <w:rFonts w:hint="eastAsia" w:ascii="宋体" w:hAnsi="宋体" w:eastAsia="宋体" w:cs="宋体"/>
                <w:color w:val="auto"/>
                <w:sz w:val="21"/>
                <w:szCs w:val="21"/>
                <w:highlight w:val="none"/>
              </w:rPr>
              <w:t>，且</w:t>
            </w:r>
            <w:r>
              <w:rPr>
                <w:rFonts w:hint="eastAsia" w:ascii="宋体" w:hAnsi="宋体" w:eastAsia="宋体" w:cs="宋体"/>
                <w:b/>
                <w:bCs/>
                <w:color w:val="auto"/>
                <w:sz w:val="21"/>
                <w:szCs w:val="21"/>
                <w:highlight w:val="none"/>
              </w:rPr>
              <w:t>不少于10根</w:t>
            </w:r>
            <w:r>
              <w:rPr>
                <w:rFonts w:hint="eastAsia" w:ascii="宋体" w:hAnsi="宋体" w:eastAsia="宋体" w:cs="宋体"/>
                <w:color w:val="auto"/>
                <w:sz w:val="21"/>
                <w:szCs w:val="21"/>
                <w:highlight w:val="none"/>
              </w:rPr>
              <w:t>。当低应变法有效检测深度不满足要求时，尚应采用高应变法进行抽检，抽检数量不应少于总桩数的</w:t>
            </w:r>
            <w:r>
              <w:rPr>
                <w:rFonts w:hint="eastAsia" w:ascii="宋体" w:hAnsi="宋体" w:eastAsia="宋体" w:cs="宋体"/>
                <w:b/>
                <w:bCs/>
                <w:color w:val="auto"/>
                <w:sz w:val="21"/>
                <w:szCs w:val="21"/>
                <w:highlight w:val="none"/>
              </w:rPr>
              <w:t>5%</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且不得少于5根</w:t>
            </w:r>
            <w:r>
              <w:rPr>
                <w:rFonts w:hint="eastAsia" w:ascii="宋体" w:hAnsi="宋体" w:eastAsia="宋体" w:cs="宋体"/>
                <w:color w:val="auto"/>
                <w:sz w:val="21"/>
                <w:szCs w:val="21"/>
                <w:highlight w:val="none"/>
              </w:rPr>
              <w:t>。</w:t>
            </w:r>
          </w:p>
        </w:tc>
        <w:tc>
          <w:tcPr>
            <w:tcW w:w="3225"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459A1837">
            <w:pPr>
              <w:pStyle w:val="48"/>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件允许时，宜采用孔内摄像法或将低压灯泡放入管桩内腔对桩身完整性进行检查；对已采用孔内摄像法检查桩数超过工程桩总数的20%，或低压灯泡检查桩数超过工程桩总数的80%，且未发现明显质量缺陷的预应力管桩工程，可适当减少抽检比例，但不应少于相应规定的抽检比例的80%。</w:t>
            </w:r>
          </w:p>
        </w:tc>
      </w:tr>
      <w:tr w14:paraId="58AD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7" w:hRule="atLeast"/>
        </w:trPr>
        <w:tc>
          <w:tcPr>
            <w:tcW w:w="795"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7675522B">
            <w:pPr>
              <w:pStyle w:val="48"/>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混凝土预制桩</w:t>
            </w:r>
          </w:p>
        </w:tc>
        <w:tc>
          <w:tcPr>
            <w:tcW w:w="1188"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24344609">
            <w:pPr>
              <w:pStyle w:val="48"/>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静载法或高应变法检测单桩承载力</w:t>
            </w:r>
          </w:p>
        </w:tc>
        <w:tc>
          <w:tcPr>
            <w:tcW w:w="329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28F66C65">
            <w:pPr>
              <w:pStyle w:val="48"/>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地基基础设计等级为甲级（或说明中所列条件）的桩基工程</w:t>
            </w:r>
            <w:r>
              <w:rPr>
                <w:rFonts w:hint="eastAsia" w:ascii="宋体" w:hAnsi="宋体" w:eastAsia="宋体" w:cs="宋体"/>
                <w:b/>
                <w:bCs/>
                <w:color w:val="auto"/>
                <w:sz w:val="21"/>
                <w:szCs w:val="21"/>
                <w:highlight w:val="none"/>
              </w:rPr>
              <w:t>静载试验</w:t>
            </w:r>
            <w:r>
              <w:rPr>
                <w:rFonts w:hint="eastAsia" w:ascii="宋体" w:hAnsi="宋体" w:eastAsia="宋体" w:cs="宋体"/>
                <w:color w:val="auto"/>
                <w:sz w:val="21"/>
                <w:szCs w:val="21"/>
                <w:highlight w:val="none"/>
              </w:rPr>
              <w:t>抽检数量不少于总桩数的</w:t>
            </w:r>
            <w:r>
              <w:rPr>
                <w:rFonts w:hint="eastAsia" w:ascii="宋体" w:hAnsi="宋体" w:eastAsia="宋体" w:cs="宋体"/>
                <w:b/>
                <w:bCs/>
                <w:color w:val="auto"/>
                <w:sz w:val="21"/>
                <w:szCs w:val="21"/>
                <w:highlight w:val="none"/>
              </w:rPr>
              <w:t>1％，且不少于3根</w:t>
            </w:r>
            <w:r>
              <w:rPr>
                <w:rFonts w:hint="eastAsia" w:ascii="宋体" w:hAnsi="宋体" w:eastAsia="宋体" w:cs="宋体"/>
                <w:color w:val="auto"/>
                <w:sz w:val="21"/>
                <w:szCs w:val="21"/>
                <w:highlight w:val="none"/>
              </w:rPr>
              <w:t>，当总桩数在50根以内时，不得少于2根；说明中所列条件外，可采用</w:t>
            </w:r>
            <w:r>
              <w:rPr>
                <w:rFonts w:hint="eastAsia" w:ascii="宋体" w:hAnsi="宋体" w:eastAsia="宋体" w:cs="宋体"/>
                <w:b/>
                <w:bCs/>
                <w:color w:val="auto"/>
                <w:sz w:val="21"/>
                <w:szCs w:val="21"/>
                <w:highlight w:val="none"/>
              </w:rPr>
              <w:t>高应变法</w:t>
            </w:r>
            <w:r>
              <w:rPr>
                <w:rFonts w:hint="eastAsia" w:ascii="宋体" w:hAnsi="宋体" w:eastAsia="宋体" w:cs="宋体"/>
                <w:color w:val="auto"/>
                <w:sz w:val="21"/>
                <w:szCs w:val="21"/>
                <w:highlight w:val="none"/>
              </w:rPr>
              <w:t>检测单桩承载力，抽检数量不应少于总桩数的</w:t>
            </w:r>
            <w:r>
              <w:rPr>
                <w:rFonts w:hint="eastAsia" w:ascii="宋体" w:hAnsi="宋体" w:eastAsia="宋体" w:cs="宋体"/>
                <w:b/>
                <w:bCs/>
                <w:color w:val="auto"/>
                <w:sz w:val="21"/>
                <w:szCs w:val="21"/>
                <w:highlight w:val="none"/>
              </w:rPr>
              <w:t>5%，</w:t>
            </w:r>
            <w:r>
              <w:rPr>
                <w:rFonts w:hint="eastAsia" w:ascii="宋体" w:hAnsi="宋体" w:eastAsia="宋体" w:cs="宋体"/>
                <w:color w:val="auto"/>
                <w:sz w:val="21"/>
                <w:szCs w:val="21"/>
                <w:highlight w:val="none"/>
              </w:rPr>
              <w:t>且不得少于5根。 </w:t>
            </w:r>
          </w:p>
        </w:tc>
        <w:tc>
          <w:tcPr>
            <w:tcW w:w="3225"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0D60E85B">
            <w:pPr>
              <w:pStyle w:val="48"/>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单位工程内且在同一条件下的工程桩，当符合下列条件之一时，应采用单桩竖向抗压承载力静载试验进行验收检测：1、地基基础设计等级为甲级和地质条件较为复杂的乙级管桩基础）；2、场地地质条件为岩溶的桩基工程（岩溶地区的摩擦型桩除外）；3、非岩溶地区上覆土层为淤泥等软弱土层，其下直接为中风化岩或微风化岩，或中风化岩面上只有较薄的强风化岩；4、施工过程中产生挤土上浮或偏位的桩基工程；5、采用“引孔法”施工的桩基工程。</w:t>
            </w:r>
          </w:p>
        </w:tc>
      </w:tr>
    </w:tbl>
    <w:p w14:paraId="559D94E6">
      <w:pPr>
        <w:rPr>
          <w:rFonts w:hint="eastAsia" w:ascii="宋体" w:hAnsi="宋体" w:eastAsia="宋体" w:cs="宋体"/>
          <w:color w:val="auto"/>
          <w:szCs w:val="20"/>
          <w:highlight w:val="none"/>
        </w:rPr>
      </w:pPr>
    </w:p>
    <w:p w14:paraId="5E7E279D">
      <w:pPr>
        <w:tabs>
          <w:tab w:val="left" w:pos="984"/>
        </w:tabs>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四、验收</w:t>
      </w:r>
      <w:bookmarkEnd w:id="168"/>
    </w:p>
    <w:p w14:paraId="6CFCEF7E">
      <w:pPr>
        <w:tabs>
          <w:tab w:val="left" w:pos="984"/>
        </w:tabs>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应在检测工作全部完成后20日内向采购人提供检测总结报告等材料。若采购人发现服务质量与合同文件要求不符，采购人有权要求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限期整改。若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拒绝整改或未在规定时间内整改，采购人有权单方解除合同并无需支付剩余检测费用，同时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需向采购人支付与履约担保等额的违约金（采用履约保证金方式的，履约保证金不予退回）。</w:t>
      </w:r>
    </w:p>
    <w:p w14:paraId="750948B7">
      <w:pPr>
        <w:tabs>
          <w:tab w:val="left" w:pos="984"/>
        </w:tabs>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highlight w:val="none"/>
        </w:rPr>
        <w:t>、报价要求</w:t>
      </w:r>
    </w:p>
    <w:p w14:paraId="049F9FB2">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1、采用填报基础检测服务费系数的方式。</w:t>
      </w:r>
    </w:p>
    <w:p w14:paraId="0D4C3A6B">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2、基础检测服务费系数的有效区间：0.00≤基础检测服务费系数≤0.60，</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在报价一览表上填报的基础检测服务收费系数必须在上述有效区间内，否则其投标文件作无效投标文件处理。</w:t>
      </w:r>
    </w:p>
    <w:p w14:paraId="3B0AB5CC">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3、本项目基础检测费基价（暂定）为¥</w:t>
      </w:r>
      <w:r>
        <w:rPr>
          <w:rFonts w:hint="eastAsia" w:ascii="宋体" w:hAnsi="宋体" w:eastAsia="宋体" w:cs="宋体"/>
          <w:color w:val="auto"/>
          <w:sz w:val="21"/>
          <w:szCs w:val="21"/>
          <w:highlight w:val="none"/>
          <w:lang w:val="en-US" w:eastAsia="zh-CN"/>
        </w:rPr>
        <w:t>56.935万</w:t>
      </w:r>
      <w:r>
        <w:rPr>
          <w:rFonts w:hint="eastAsia" w:ascii="宋体" w:hAnsi="宋体" w:eastAsia="宋体" w:cs="宋体"/>
          <w:color w:val="auto"/>
          <w:sz w:val="21"/>
          <w:szCs w:val="21"/>
          <w:highlight w:val="none"/>
        </w:rPr>
        <w:t>元，基础检测服务费系数不高于0.6，基础检测服务费最高限价为¥</w:t>
      </w:r>
      <w:r>
        <w:rPr>
          <w:rFonts w:hint="eastAsia" w:ascii="宋体" w:hAnsi="宋体" w:eastAsia="宋体" w:cs="宋体"/>
          <w:color w:val="auto"/>
          <w:sz w:val="21"/>
          <w:szCs w:val="21"/>
          <w:highlight w:val="none"/>
          <w:lang w:val="en-US" w:eastAsia="zh-CN"/>
        </w:rPr>
        <w:t>34.1610万</w:t>
      </w:r>
      <w:r>
        <w:rPr>
          <w:rFonts w:hint="eastAsia" w:ascii="宋体" w:hAnsi="宋体" w:eastAsia="宋体" w:cs="宋体"/>
          <w:color w:val="auto"/>
          <w:sz w:val="21"/>
          <w:szCs w:val="21"/>
          <w:highlight w:val="none"/>
        </w:rPr>
        <w:t>元（含税）。</w:t>
      </w:r>
    </w:p>
    <w:p w14:paraId="25B43BF8">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4、最终工程量及需要检测的内容以政府相关部门实际要求的检测数量与内容为准，最终结算价格以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审定的结算为准。</w:t>
      </w:r>
    </w:p>
    <w:p w14:paraId="6CC393F5">
      <w:pPr>
        <w:tabs>
          <w:tab w:val="left" w:pos="984"/>
        </w:tabs>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5、本工程按计费标准折后计算费用，投标报价中已包括专家论证费、人工费、仪器仪具使用费、办公费、住宿费、交通费、税金、保险、利润等所有一切费用。</w:t>
      </w:r>
    </w:p>
    <w:p w14:paraId="1AB9B344">
      <w:pPr>
        <w:tabs>
          <w:tab w:val="left" w:pos="984"/>
        </w:tabs>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、其它要求</w:t>
      </w:r>
    </w:p>
    <w:p w14:paraId="4EEC6FF0">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需在东莞市住房和城乡建设局完成企业信息登记，并且处于可用“可用状态”。如果</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在开标时未能完成企业信息登记，需单独提供承诺书，承诺成交后15日内在东莞市住房和城乡建设局完成企业信息登记备案工作，否则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有权取消其成交资格。</w:t>
      </w:r>
      <w:r>
        <w:rPr>
          <w:rFonts w:hint="eastAsia" w:ascii="宋体" w:hAnsi="宋体" w:eastAsia="宋体" w:cs="宋体"/>
          <w:color w:val="auto"/>
          <w:sz w:val="21"/>
          <w:szCs w:val="21"/>
          <w:highlight w:val="none"/>
          <w:lang w:eastAsia="zh-CN"/>
        </w:rPr>
        <w:t>（供应商须单独提供承诺函并加盖公章。）</w:t>
      </w:r>
    </w:p>
    <w:p w14:paraId="5D41EB96">
      <w:pPr>
        <w:tabs>
          <w:tab w:val="left" w:pos="984"/>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不得与被检测项目的施工单位、监理单位有任何隶属关系和经济利害关系。</w:t>
      </w:r>
      <w:r>
        <w:rPr>
          <w:rFonts w:hint="eastAsia" w:ascii="宋体" w:hAnsi="宋体" w:eastAsia="宋体" w:cs="宋体"/>
          <w:color w:val="auto"/>
          <w:sz w:val="21"/>
          <w:szCs w:val="21"/>
          <w:highlight w:val="none"/>
          <w:lang w:eastAsia="zh-CN"/>
        </w:rPr>
        <w:t>（供应商须单独提供承诺函并加盖公章。）</w:t>
      </w:r>
    </w:p>
    <w:p w14:paraId="06049FED">
      <w:pPr>
        <w:tabs>
          <w:tab w:val="left" w:pos="984"/>
        </w:tabs>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、标书密封要求</w:t>
      </w:r>
    </w:p>
    <w:p w14:paraId="283B697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sectPr>
          <w:headerReference r:id="rId7" w:type="default"/>
          <w:footerReference r:id="rId8" w:type="default"/>
          <w:pgSz w:w="11906" w:h="16838"/>
          <w:pgMar w:top="1440" w:right="1587" w:bottom="1440"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应如实详细提供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款所要求的全部资料，资格证明文件、价格文件、商务文件、技术文件、唱标信封应单独装订成册，资格证明文件、商务文件、技术文件等投标文件不能出现投标价格</w:t>
      </w:r>
      <w:r>
        <w:rPr>
          <w:rFonts w:hint="eastAsia" w:ascii="宋体" w:hAnsi="宋体" w:eastAsia="宋体" w:cs="宋体"/>
          <w:color w:val="auto"/>
          <w:szCs w:val="21"/>
          <w:highlight w:val="none"/>
        </w:rPr>
        <w:t>。</w:t>
      </w:r>
    </w:p>
    <w:p w14:paraId="58EF87E3">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八、附件：工程量清单</w:t>
      </w:r>
    </w:p>
    <w:tbl>
      <w:tblPr>
        <w:tblStyle w:val="54"/>
        <w:tblW w:w="139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4"/>
        <w:gridCol w:w="1005"/>
        <w:gridCol w:w="846"/>
        <w:gridCol w:w="1115"/>
        <w:gridCol w:w="3452"/>
        <w:gridCol w:w="944"/>
        <w:gridCol w:w="893"/>
        <w:gridCol w:w="735"/>
        <w:gridCol w:w="1068"/>
        <w:gridCol w:w="1305"/>
        <w:gridCol w:w="2122"/>
      </w:tblGrid>
      <w:tr w14:paraId="2EEE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EBD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575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FE0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基桩类型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7C2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检测项目</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159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检测频率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762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总工程量</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20D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E46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B27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180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小计（元）</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852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06127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5A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2A1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1号厂房</w:t>
            </w:r>
          </w:p>
        </w:tc>
        <w:tc>
          <w:tcPr>
            <w:tcW w:w="846" w:type="dxa"/>
            <w:vMerge w:val="restart"/>
            <w:tcBorders>
              <w:top w:val="single" w:color="000000" w:sz="4" w:space="0"/>
              <w:left w:val="single" w:color="000000" w:sz="4" w:space="0"/>
              <w:bottom w:val="nil"/>
              <w:right w:val="single" w:color="000000" w:sz="4" w:space="0"/>
            </w:tcBorders>
            <w:shd w:val="clear" w:color="auto" w:fill="auto"/>
            <w:vAlign w:val="center"/>
          </w:tcPr>
          <w:p w14:paraId="46D00C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7C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（完整性）</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1A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1、每个柱下承台抽检桩数不得少于 1 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2、地基基础设计等级为乙级时，桩基工程检测数量不少于总桩数的20％，且不少于10根。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B2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61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36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F4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19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7750.00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C6C4">
            <w:pPr>
              <w:jc w:val="center"/>
              <w:rPr>
                <w:rFonts w:hint="eastAsia" w:ascii="宋体" w:hAnsi="宋体" w:eastAsia="宋体" w:cs="宋体"/>
                <w:i w:val="0"/>
                <w:iCs w:val="0"/>
                <w:color w:val="auto"/>
                <w:sz w:val="20"/>
                <w:szCs w:val="20"/>
                <w:highlight w:val="none"/>
                <w:u w:val="none"/>
              </w:rPr>
            </w:pPr>
          </w:p>
        </w:tc>
      </w:tr>
      <w:tr w14:paraId="2506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AD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71A0D">
            <w:pPr>
              <w:jc w:val="center"/>
              <w:rPr>
                <w:rFonts w:hint="eastAsia" w:ascii="宋体" w:hAnsi="宋体" w:eastAsia="宋体" w:cs="宋体"/>
                <w:i w:val="0"/>
                <w:iCs w:val="0"/>
                <w:color w:val="auto"/>
                <w:sz w:val="20"/>
                <w:szCs w:val="20"/>
                <w:highlight w:val="none"/>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459EE4FC">
            <w:pPr>
              <w:jc w:val="center"/>
              <w:rPr>
                <w:rFonts w:hint="eastAsia" w:ascii="宋体" w:hAnsi="宋体" w:eastAsia="宋体" w:cs="宋体"/>
                <w:i w:val="0"/>
                <w:iCs w:val="0"/>
                <w:color w:val="auto"/>
                <w:sz w:val="20"/>
                <w:szCs w:val="20"/>
                <w:highlight w:val="none"/>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81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（承载力）</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9C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采用高应变法检测单桩承载力，抽检数量不应少于总桩数的5%，且不得少于5根。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5C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5C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54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FA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71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61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极限承载力Q=5400kN</w:t>
            </w:r>
          </w:p>
        </w:tc>
      </w:tr>
      <w:tr w14:paraId="54412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57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FBC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2号厂房</w:t>
            </w:r>
          </w:p>
        </w:tc>
        <w:tc>
          <w:tcPr>
            <w:tcW w:w="846" w:type="dxa"/>
            <w:vMerge w:val="restart"/>
            <w:tcBorders>
              <w:top w:val="single" w:color="000000" w:sz="4" w:space="0"/>
              <w:left w:val="single" w:color="000000" w:sz="4" w:space="0"/>
              <w:bottom w:val="nil"/>
              <w:right w:val="single" w:color="000000" w:sz="4" w:space="0"/>
            </w:tcBorders>
            <w:shd w:val="clear" w:color="auto" w:fill="auto"/>
            <w:vAlign w:val="center"/>
          </w:tcPr>
          <w:p w14:paraId="06C4F4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B4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（完整性）</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B8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1、每个柱下承台抽检桩数不得少于 1 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2、地基基础设计等级为乙级时，桩基工程检测数量不少于总桩数的20％，且不少于10根。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AC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9B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87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6B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C8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C4DB">
            <w:pPr>
              <w:jc w:val="center"/>
              <w:rPr>
                <w:rFonts w:hint="eastAsia" w:ascii="宋体" w:hAnsi="宋体" w:eastAsia="宋体" w:cs="宋体"/>
                <w:i w:val="0"/>
                <w:iCs w:val="0"/>
                <w:color w:val="auto"/>
                <w:sz w:val="20"/>
                <w:szCs w:val="20"/>
                <w:highlight w:val="none"/>
                <w:u w:val="none"/>
              </w:rPr>
            </w:pPr>
          </w:p>
        </w:tc>
      </w:tr>
      <w:tr w14:paraId="51E3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94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90FDD">
            <w:pPr>
              <w:jc w:val="center"/>
              <w:rPr>
                <w:rFonts w:hint="eastAsia" w:ascii="宋体" w:hAnsi="宋体" w:eastAsia="宋体" w:cs="宋体"/>
                <w:i w:val="0"/>
                <w:iCs w:val="0"/>
                <w:color w:val="auto"/>
                <w:sz w:val="20"/>
                <w:szCs w:val="20"/>
                <w:highlight w:val="none"/>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18B0C62B">
            <w:pPr>
              <w:jc w:val="center"/>
              <w:rPr>
                <w:rFonts w:hint="eastAsia" w:ascii="宋体" w:hAnsi="宋体" w:eastAsia="宋体" w:cs="宋体"/>
                <w:i w:val="0"/>
                <w:iCs w:val="0"/>
                <w:color w:val="auto"/>
                <w:sz w:val="20"/>
                <w:szCs w:val="20"/>
                <w:highlight w:val="none"/>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07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（承载力）</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71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采用高应变法检测单桩承载力，抽检数量不应少于总桩数的5%，且不得少于5根。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B0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03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71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9F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72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36000.00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C3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极限承载力Q=5400kN</w:t>
            </w:r>
          </w:p>
        </w:tc>
      </w:tr>
      <w:tr w14:paraId="315F1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E4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2C8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3号厂房</w:t>
            </w:r>
          </w:p>
        </w:tc>
        <w:tc>
          <w:tcPr>
            <w:tcW w:w="846" w:type="dxa"/>
            <w:vMerge w:val="restart"/>
            <w:tcBorders>
              <w:top w:val="single" w:color="000000" w:sz="4" w:space="0"/>
              <w:left w:val="single" w:color="000000" w:sz="4" w:space="0"/>
              <w:bottom w:val="nil"/>
              <w:right w:val="single" w:color="000000" w:sz="4" w:space="0"/>
            </w:tcBorders>
            <w:shd w:val="clear" w:color="auto" w:fill="auto"/>
            <w:vAlign w:val="center"/>
          </w:tcPr>
          <w:p w14:paraId="580147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B5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（完整性）</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F3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1、每个柱下承台抽检桩数不得少于 1 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2、地基基础设计等级为乙级时，桩基工程检测数量不少于总桩数的20％，且不少于10根。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D3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76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1E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71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82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11FD">
            <w:pPr>
              <w:jc w:val="center"/>
              <w:rPr>
                <w:rFonts w:hint="eastAsia" w:ascii="宋体" w:hAnsi="宋体" w:eastAsia="宋体" w:cs="宋体"/>
                <w:i w:val="0"/>
                <w:iCs w:val="0"/>
                <w:color w:val="auto"/>
                <w:sz w:val="20"/>
                <w:szCs w:val="20"/>
                <w:highlight w:val="none"/>
                <w:u w:val="none"/>
              </w:rPr>
            </w:pPr>
          </w:p>
        </w:tc>
      </w:tr>
      <w:tr w14:paraId="68B0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8E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05518">
            <w:pPr>
              <w:jc w:val="center"/>
              <w:rPr>
                <w:rFonts w:hint="eastAsia" w:ascii="宋体" w:hAnsi="宋体" w:eastAsia="宋体" w:cs="宋体"/>
                <w:i w:val="0"/>
                <w:iCs w:val="0"/>
                <w:color w:val="auto"/>
                <w:sz w:val="20"/>
                <w:szCs w:val="20"/>
                <w:highlight w:val="none"/>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15B5B0D1">
            <w:pPr>
              <w:jc w:val="center"/>
              <w:rPr>
                <w:rFonts w:hint="eastAsia" w:ascii="宋体" w:hAnsi="宋体" w:eastAsia="宋体" w:cs="宋体"/>
                <w:i w:val="0"/>
                <w:iCs w:val="0"/>
                <w:color w:val="auto"/>
                <w:sz w:val="20"/>
                <w:szCs w:val="20"/>
                <w:highlight w:val="none"/>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5D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（承载力）</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8D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采用高应变法检测单桩承载力，抽检数量不应少于总桩数的5%，且不得少于5根。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6A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F5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80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08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20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36000.00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77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极限承载力Q=5400kN</w:t>
            </w:r>
          </w:p>
        </w:tc>
      </w:tr>
      <w:tr w14:paraId="618C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90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A8A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4号厂房</w:t>
            </w:r>
          </w:p>
        </w:tc>
        <w:tc>
          <w:tcPr>
            <w:tcW w:w="846" w:type="dxa"/>
            <w:vMerge w:val="restart"/>
            <w:tcBorders>
              <w:top w:val="single" w:color="000000" w:sz="4" w:space="0"/>
              <w:left w:val="single" w:color="000000" w:sz="4" w:space="0"/>
              <w:bottom w:val="nil"/>
              <w:right w:val="single" w:color="000000" w:sz="4" w:space="0"/>
            </w:tcBorders>
            <w:shd w:val="clear" w:color="auto" w:fill="auto"/>
            <w:vAlign w:val="center"/>
          </w:tcPr>
          <w:p w14:paraId="478603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D8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（完整性）</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DF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1、每个柱下承台抽检桩数不得少于 1 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2、地基基础设计等级为乙级时，桩基工程检测数量不少于总桩数的20％，且不少于10根。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E1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48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4E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FF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56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4250.00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5E21">
            <w:pPr>
              <w:jc w:val="center"/>
              <w:rPr>
                <w:rFonts w:hint="eastAsia" w:ascii="宋体" w:hAnsi="宋体" w:eastAsia="宋体" w:cs="宋体"/>
                <w:i w:val="0"/>
                <w:iCs w:val="0"/>
                <w:color w:val="auto"/>
                <w:sz w:val="20"/>
                <w:szCs w:val="20"/>
                <w:highlight w:val="none"/>
                <w:u w:val="none"/>
              </w:rPr>
            </w:pPr>
          </w:p>
        </w:tc>
      </w:tr>
      <w:tr w14:paraId="61C5C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66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A83AB">
            <w:pPr>
              <w:jc w:val="center"/>
              <w:rPr>
                <w:rFonts w:hint="eastAsia" w:ascii="宋体" w:hAnsi="宋体" w:eastAsia="宋体" w:cs="宋体"/>
                <w:i w:val="0"/>
                <w:iCs w:val="0"/>
                <w:color w:val="auto"/>
                <w:sz w:val="20"/>
                <w:szCs w:val="20"/>
                <w:highlight w:val="none"/>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11EADD57">
            <w:pPr>
              <w:jc w:val="center"/>
              <w:rPr>
                <w:rFonts w:hint="eastAsia" w:ascii="宋体" w:hAnsi="宋体" w:eastAsia="宋体" w:cs="宋体"/>
                <w:i w:val="0"/>
                <w:iCs w:val="0"/>
                <w:color w:val="auto"/>
                <w:sz w:val="20"/>
                <w:szCs w:val="20"/>
                <w:highlight w:val="none"/>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EE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（承载力）</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D4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采用高应变法检测单桩承载力，抽检数量不应少于总桩数的5%，且不得少于5根。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A4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3B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78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F6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A1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60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极限承载力Q=5400kN</w:t>
            </w:r>
          </w:p>
        </w:tc>
      </w:tr>
      <w:tr w14:paraId="41C1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5C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F94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5号厂房</w:t>
            </w:r>
          </w:p>
        </w:tc>
        <w:tc>
          <w:tcPr>
            <w:tcW w:w="846" w:type="dxa"/>
            <w:vMerge w:val="restart"/>
            <w:tcBorders>
              <w:top w:val="single" w:color="000000" w:sz="4" w:space="0"/>
              <w:left w:val="single" w:color="000000" w:sz="4" w:space="0"/>
              <w:bottom w:val="nil"/>
              <w:right w:val="single" w:color="000000" w:sz="4" w:space="0"/>
            </w:tcBorders>
            <w:shd w:val="clear" w:color="auto" w:fill="auto"/>
            <w:vAlign w:val="center"/>
          </w:tcPr>
          <w:p w14:paraId="40498B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34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（完整性）</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9C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1、每个柱下承台抽检桩数不得少于 1 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2、地基基础设计等级为乙级时，桩基工程检测数量不少于总桩数的20％，且不少于10根。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CA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58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5E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92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A0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A176">
            <w:pPr>
              <w:jc w:val="center"/>
              <w:rPr>
                <w:rFonts w:hint="eastAsia" w:ascii="宋体" w:hAnsi="宋体" w:eastAsia="宋体" w:cs="宋体"/>
                <w:i w:val="0"/>
                <w:iCs w:val="0"/>
                <w:color w:val="auto"/>
                <w:sz w:val="20"/>
                <w:szCs w:val="20"/>
                <w:highlight w:val="none"/>
                <w:u w:val="none"/>
              </w:rPr>
            </w:pPr>
          </w:p>
        </w:tc>
      </w:tr>
      <w:tr w14:paraId="5CEBB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87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98024">
            <w:pPr>
              <w:jc w:val="center"/>
              <w:rPr>
                <w:rFonts w:hint="eastAsia" w:ascii="宋体" w:hAnsi="宋体" w:eastAsia="宋体" w:cs="宋体"/>
                <w:i w:val="0"/>
                <w:iCs w:val="0"/>
                <w:color w:val="auto"/>
                <w:sz w:val="20"/>
                <w:szCs w:val="20"/>
                <w:highlight w:val="none"/>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6D145C52">
            <w:pPr>
              <w:jc w:val="center"/>
              <w:rPr>
                <w:rFonts w:hint="eastAsia" w:ascii="宋体" w:hAnsi="宋体" w:eastAsia="宋体" w:cs="宋体"/>
                <w:i w:val="0"/>
                <w:iCs w:val="0"/>
                <w:color w:val="auto"/>
                <w:sz w:val="20"/>
                <w:szCs w:val="20"/>
                <w:highlight w:val="none"/>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FF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（承载力）</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A2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采用高应变法检测单桩承载力，抽检数量不应少于总桩数的5%，且不得少于5根。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03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03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5D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35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BE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36000.00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CE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极限承载力Q=5400kN</w:t>
            </w:r>
          </w:p>
        </w:tc>
      </w:tr>
      <w:tr w14:paraId="7F66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30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221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6号厂房</w:t>
            </w:r>
          </w:p>
        </w:tc>
        <w:tc>
          <w:tcPr>
            <w:tcW w:w="846" w:type="dxa"/>
            <w:vMerge w:val="restart"/>
            <w:tcBorders>
              <w:top w:val="single" w:color="000000" w:sz="4" w:space="0"/>
              <w:left w:val="single" w:color="000000" w:sz="4" w:space="0"/>
              <w:bottom w:val="nil"/>
              <w:right w:val="single" w:color="000000" w:sz="4" w:space="0"/>
            </w:tcBorders>
            <w:shd w:val="clear" w:color="auto" w:fill="auto"/>
            <w:vAlign w:val="center"/>
          </w:tcPr>
          <w:p w14:paraId="0467E3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27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（完整性）</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8C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1、每个柱下承台抽检桩数不得少于 1 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2、地基基础设计等级为乙级时，桩基工程检测数量不少于总桩数的20％，且不少于10根。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E8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7C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C4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7F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CC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4250.00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612F">
            <w:pPr>
              <w:jc w:val="center"/>
              <w:rPr>
                <w:rFonts w:hint="eastAsia" w:ascii="宋体" w:hAnsi="宋体" w:eastAsia="宋体" w:cs="宋体"/>
                <w:i w:val="0"/>
                <w:iCs w:val="0"/>
                <w:color w:val="auto"/>
                <w:sz w:val="20"/>
                <w:szCs w:val="20"/>
                <w:highlight w:val="none"/>
                <w:u w:val="none"/>
              </w:rPr>
            </w:pPr>
          </w:p>
        </w:tc>
      </w:tr>
      <w:tr w14:paraId="1C08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9C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3591A">
            <w:pPr>
              <w:jc w:val="center"/>
              <w:rPr>
                <w:rFonts w:hint="eastAsia" w:ascii="宋体" w:hAnsi="宋体" w:eastAsia="宋体" w:cs="宋体"/>
                <w:i w:val="0"/>
                <w:iCs w:val="0"/>
                <w:color w:val="auto"/>
                <w:sz w:val="20"/>
                <w:szCs w:val="20"/>
                <w:highlight w:val="none"/>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7C4256E0">
            <w:pPr>
              <w:jc w:val="center"/>
              <w:rPr>
                <w:rFonts w:hint="eastAsia" w:ascii="宋体" w:hAnsi="宋体" w:eastAsia="宋体" w:cs="宋体"/>
                <w:i w:val="0"/>
                <w:iCs w:val="0"/>
                <w:color w:val="auto"/>
                <w:sz w:val="20"/>
                <w:szCs w:val="20"/>
                <w:highlight w:val="none"/>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D3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（承载力）</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F1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采用高应变法检测单桩承载力，抽检数量不应少于总桩数的5%，且不得少于5根。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60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AF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8D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51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9D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8D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极限承载力Q=5400kN</w:t>
            </w:r>
          </w:p>
        </w:tc>
      </w:tr>
      <w:tr w14:paraId="41CD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AB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7F3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7号厂房</w:t>
            </w:r>
          </w:p>
        </w:tc>
        <w:tc>
          <w:tcPr>
            <w:tcW w:w="846" w:type="dxa"/>
            <w:vMerge w:val="restart"/>
            <w:tcBorders>
              <w:top w:val="single" w:color="000000" w:sz="4" w:space="0"/>
              <w:left w:val="single" w:color="000000" w:sz="4" w:space="0"/>
              <w:bottom w:val="nil"/>
              <w:right w:val="single" w:color="000000" w:sz="4" w:space="0"/>
            </w:tcBorders>
            <w:shd w:val="clear" w:color="auto" w:fill="auto"/>
            <w:vAlign w:val="center"/>
          </w:tcPr>
          <w:p w14:paraId="265E42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31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（完整性）</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B3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1、每个柱下承台抽检桩数不得少于 1 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2、地基基础设计等级为乙级时，桩基工程检测数量不少于总桩数的20％，且不少于10根。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7D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6E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B0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C1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B5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7750.00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7C47">
            <w:pPr>
              <w:jc w:val="center"/>
              <w:rPr>
                <w:rFonts w:hint="eastAsia" w:ascii="宋体" w:hAnsi="宋体" w:eastAsia="宋体" w:cs="宋体"/>
                <w:i w:val="0"/>
                <w:iCs w:val="0"/>
                <w:color w:val="auto"/>
                <w:sz w:val="20"/>
                <w:szCs w:val="20"/>
                <w:highlight w:val="none"/>
                <w:u w:val="none"/>
              </w:rPr>
            </w:pPr>
          </w:p>
        </w:tc>
      </w:tr>
      <w:tr w14:paraId="0594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1C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CC233">
            <w:pPr>
              <w:jc w:val="center"/>
              <w:rPr>
                <w:rFonts w:hint="eastAsia" w:ascii="宋体" w:hAnsi="宋体" w:eastAsia="宋体" w:cs="宋体"/>
                <w:i w:val="0"/>
                <w:iCs w:val="0"/>
                <w:color w:val="auto"/>
                <w:sz w:val="20"/>
                <w:szCs w:val="20"/>
                <w:highlight w:val="none"/>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1DCC9880">
            <w:pPr>
              <w:jc w:val="center"/>
              <w:rPr>
                <w:rFonts w:hint="eastAsia" w:ascii="宋体" w:hAnsi="宋体" w:eastAsia="宋体" w:cs="宋体"/>
                <w:i w:val="0"/>
                <w:iCs w:val="0"/>
                <w:color w:val="auto"/>
                <w:sz w:val="20"/>
                <w:szCs w:val="20"/>
                <w:highlight w:val="none"/>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CB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（承载力）</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9C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采用高应变法检测单桩承载力，抽检数量不应少于总桩数的5%，且不得少于5根。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39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E8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A9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73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2F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6C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极限承载力Q=5400kN</w:t>
            </w:r>
          </w:p>
        </w:tc>
      </w:tr>
      <w:tr w14:paraId="7821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2C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F55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8号厂房</w:t>
            </w:r>
          </w:p>
        </w:tc>
        <w:tc>
          <w:tcPr>
            <w:tcW w:w="846" w:type="dxa"/>
            <w:vMerge w:val="restart"/>
            <w:tcBorders>
              <w:top w:val="single" w:color="000000" w:sz="4" w:space="0"/>
              <w:left w:val="single" w:color="000000" w:sz="4" w:space="0"/>
              <w:bottom w:val="nil"/>
              <w:right w:val="single" w:color="000000" w:sz="4" w:space="0"/>
            </w:tcBorders>
            <w:shd w:val="clear" w:color="auto" w:fill="auto"/>
            <w:vAlign w:val="center"/>
          </w:tcPr>
          <w:p w14:paraId="1AAFE5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28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（完整性）</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B8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1、每个柱下承台抽检桩数不得少于 1 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2、地基基础设计等级为乙级时，桩基工程检测数量不少于总桩数的20％，且不少于10根。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F6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59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12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46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D1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6750.00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EA70">
            <w:pPr>
              <w:jc w:val="center"/>
              <w:rPr>
                <w:rFonts w:hint="eastAsia" w:ascii="宋体" w:hAnsi="宋体" w:eastAsia="宋体" w:cs="宋体"/>
                <w:i w:val="0"/>
                <w:iCs w:val="0"/>
                <w:color w:val="auto"/>
                <w:sz w:val="20"/>
                <w:szCs w:val="20"/>
                <w:highlight w:val="none"/>
                <w:u w:val="none"/>
              </w:rPr>
            </w:pPr>
          </w:p>
        </w:tc>
      </w:tr>
      <w:tr w14:paraId="3B5B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AF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7A205">
            <w:pPr>
              <w:jc w:val="center"/>
              <w:rPr>
                <w:rFonts w:hint="eastAsia" w:ascii="宋体" w:hAnsi="宋体" w:eastAsia="宋体" w:cs="宋体"/>
                <w:i w:val="0"/>
                <w:iCs w:val="0"/>
                <w:color w:val="auto"/>
                <w:sz w:val="20"/>
                <w:szCs w:val="20"/>
                <w:highlight w:val="none"/>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4AD7FE88">
            <w:pPr>
              <w:jc w:val="center"/>
              <w:rPr>
                <w:rFonts w:hint="eastAsia" w:ascii="宋体" w:hAnsi="宋体" w:eastAsia="宋体" w:cs="宋体"/>
                <w:i w:val="0"/>
                <w:iCs w:val="0"/>
                <w:color w:val="auto"/>
                <w:sz w:val="20"/>
                <w:szCs w:val="20"/>
                <w:highlight w:val="none"/>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6B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（承载力）</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68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采用高应变法检测单桩承载力，抽检数量不应少于总桩数的5%，且不得少于5根。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EA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91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58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DE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50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36000.00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E5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极限承载力Q=5400kN</w:t>
            </w:r>
          </w:p>
        </w:tc>
      </w:tr>
      <w:tr w14:paraId="7EAC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7E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692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9号厂房</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48A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A2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（完整性）</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ED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1、每个柱下承台抽检桩数不得少于 1 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2、地基基础设计等级为乙级时，桩基工程检测数量不少于总桩数的20％，且不少于10根。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DA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5A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F4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55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BD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99D8">
            <w:pPr>
              <w:jc w:val="center"/>
              <w:rPr>
                <w:rFonts w:hint="eastAsia" w:ascii="宋体" w:hAnsi="宋体" w:eastAsia="宋体" w:cs="宋体"/>
                <w:i w:val="0"/>
                <w:iCs w:val="0"/>
                <w:color w:val="auto"/>
                <w:sz w:val="20"/>
                <w:szCs w:val="20"/>
                <w:highlight w:val="none"/>
                <w:u w:val="none"/>
              </w:rPr>
            </w:pPr>
          </w:p>
        </w:tc>
      </w:tr>
      <w:tr w14:paraId="3123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98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FF1C3">
            <w:pPr>
              <w:jc w:val="center"/>
              <w:rPr>
                <w:rFonts w:hint="eastAsia" w:ascii="宋体" w:hAnsi="宋体" w:eastAsia="宋体" w:cs="宋体"/>
                <w:i w:val="0"/>
                <w:iCs w:val="0"/>
                <w:color w:val="auto"/>
                <w:sz w:val="20"/>
                <w:szCs w:val="20"/>
                <w:highlight w:val="none"/>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425E2">
            <w:pPr>
              <w:jc w:val="center"/>
              <w:rPr>
                <w:rFonts w:hint="eastAsia" w:ascii="宋体" w:hAnsi="宋体" w:eastAsia="宋体" w:cs="宋体"/>
                <w:i w:val="0"/>
                <w:iCs w:val="0"/>
                <w:color w:val="auto"/>
                <w:sz w:val="20"/>
                <w:szCs w:val="20"/>
                <w:highlight w:val="none"/>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C6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（承载力）</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BF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采用高应变法检测单桩承载力，抽检数量不应少于总桩数的5%，且不得少于5根。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FF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CB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18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46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9F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07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极限承载力Q=5400kN</w:t>
            </w:r>
          </w:p>
        </w:tc>
      </w:tr>
      <w:tr w14:paraId="349C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64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005" w:type="dxa"/>
            <w:vMerge w:val="restart"/>
            <w:tcBorders>
              <w:top w:val="nil"/>
              <w:left w:val="single" w:color="000000" w:sz="4" w:space="0"/>
              <w:bottom w:val="nil"/>
              <w:right w:val="single" w:color="000000" w:sz="4" w:space="0"/>
            </w:tcBorders>
            <w:shd w:val="clear" w:color="auto" w:fill="auto"/>
            <w:vAlign w:val="center"/>
          </w:tcPr>
          <w:p w14:paraId="3C6823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10号厂房</w:t>
            </w:r>
          </w:p>
        </w:tc>
        <w:tc>
          <w:tcPr>
            <w:tcW w:w="846" w:type="dxa"/>
            <w:vMerge w:val="restart"/>
            <w:tcBorders>
              <w:top w:val="nil"/>
              <w:left w:val="single" w:color="000000" w:sz="4" w:space="0"/>
              <w:bottom w:val="nil"/>
              <w:right w:val="single" w:color="000000" w:sz="4" w:space="0"/>
            </w:tcBorders>
            <w:shd w:val="clear" w:color="auto" w:fill="auto"/>
            <w:vAlign w:val="center"/>
          </w:tcPr>
          <w:p w14:paraId="6F3700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C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（完整性）</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38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1、每个柱下承台抽检桩数不得少于 1 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2、地基基础设计等级为乙级时，桩基工程检测数量不少于总桩数的20％，且不少于10根。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19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4A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13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14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AC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C998">
            <w:pPr>
              <w:jc w:val="center"/>
              <w:rPr>
                <w:rFonts w:hint="eastAsia" w:ascii="宋体" w:hAnsi="宋体" w:eastAsia="宋体" w:cs="宋体"/>
                <w:i w:val="0"/>
                <w:iCs w:val="0"/>
                <w:color w:val="auto"/>
                <w:sz w:val="20"/>
                <w:szCs w:val="20"/>
                <w:highlight w:val="none"/>
                <w:u w:val="none"/>
              </w:rPr>
            </w:pPr>
          </w:p>
        </w:tc>
      </w:tr>
      <w:tr w14:paraId="7B21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93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05" w:type="dxa"/>
            <w:vMerge w:val="continue"/>
            <w:tcBorders>
              <w:top w:val="nil"/>
              <w:left w:val="single" w:color="000000" w:sz="4" w:space="0"/>
              <w:bottom w:val="nil"/>
              <w:right w:val="single" w:color="000000" w:sz="4" w:space="0"/>
            </w:tcBorders>
            <w:shd w:val="clear" w:color="auto" w:fill="auto"/>
            <w:vAlign w:val="center"/>
          </w:tcPr>
          <w:p w14:paraId="31AAC430">
            <w:pPr>
              <w:jc w:val="center"/>
              <w:rPr>
                <w:rFonts w:hint="eastAsia" w:ascii="宋体" w:hAnsi="宋体" w:eastAsia="宋体" w:cs="宋体"/>
                <w:i w:val="0"/>
                <w:iCs w:val="0"/>
                <w:color w:val="auto"/>
                <w:sz w:val="20"/>
                <w:szCs w:val="20"/>
                <w:highlight w:val="none"/>
                <w:u w:val="none"/>
              </w:rPr>
            </w:pPr>
          </w:p>
        </w:tc>
        <w:tc>
          <w:tcPr>
            <w:tcW w:w="846" w:type="dxa"/>
            <w:vMerge w:val="continue"/>
            <w:tcBorders>
              <w:top w:val="nil"/>
              <w:left w:val="single" w:color="000000" w:sz="4" w:space="0"/>
              <w:bottom w:val="nil"/>
              <w:right w:val="single" w:color="000000" w:sz="4" w:space="0"/>
            </w:tcBorders>
            <w:shd w:val="clear" w:color="auto" w:fill="auto"/>
            <w:vAlign w:val="center"/>
          </w:tcPr>
          <w:p w14:paraId="413FCA1B">
            <w:pPr>
              <w:jc w:val="center"/>
              <w:rPr>
                <w:rFonts w:hint="eastAsia" w:ascii="宋体" w:hAnsi="宋体" w:eastAsia="宋体" w:cs="宋体"/>
                <w:i w:val="0"/>
                <w:iCs w:val="0"/>
                <w:color w:val="auto"/>
                <w:sz w:val="20"/>
                <w:szCs w:val="20"/>
                <w:highlight w:val="none"/>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D6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（承载力）</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F6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采用高应变法检测单桩承载力，抽检数量不应少于总桩数的5%，且不得少于5根。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63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CA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51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4A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F3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36000.00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95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极限承载力Q=5400kN</w:t>
            </w:r>
          </w:p>
        </w:tc>
      </w:tr>
      <w:tr w14:paraId="08EC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67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E55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11号厂房</w:t>
            </w:r>
          </w:p>
        </w:tc>
        <w:tc>
          <w:tcPr>
            <w:tcW w:w="846" w:type="dxa"/>
            <w:vMerge w:val="restart"/>
            <w:tcBorders>
              <w:top w:val="single" w:color="000000" w:sz="4" w:space="0"/>
              <w:left w:val="single" w:color="000000" w:sz="4" w:space="0"/>
              <w:bottom w:val="nil"/>
              <w:right w:val="single" w:color="000000" w:sz="4" w:space="0"/>
            </w:tcBorders>
            <w:shd w:val="clear" w:color="auto" w:fill="auto"/>
            <w:vAlign w:val="center"/>
          </w:tcPr>
          <w:p w14:paraId="4E7EC2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B6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低应变法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（完整性）</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C9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1、每个柱下承台抽检桩数不得少于 1 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2、地基基础设计等级为甲级的桩基工程抽检数量不应少于总桩数的30%。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D5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2A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63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B4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19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17500.00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4F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70个承台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图纸未明确，暂定甲级</w:t>
            </w:r>
          </w:p>
        </w:tc>
      </w:tr>
      <w:tr w14:paraId="1FE2E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93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AD364">
            <w:pPr>
              <w:jc w:val="center"/>
              <w:rPr>
                <w:rFonts w:hint="eastAsia" w:ascii="宋体" w:hAnsi="宋体" w:eastAsia="宋体" w:cs="宋体"/>
                <w:i w:val="0"/>
                <w:iCs w:val="0"/>
                <w:color w:val="auto"/>
                <w:sz w:val="20"/>
                <w:szCs w:val="20"/>
                <w:highlight w:val="none"/>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64E7B880">
            <w:pPr>
              <w:jc w:val="center"/>
              <w:rPr>
                <w:rFonts w:hint="eastAsia" w:ascii="宋体" w:hAnsi="宋体" w:eastAsia="宋体" w:cs="宋体"/>
                <w:i w:val="0"/>
                <w:iCs w:val="0"/>
                <w:color w:val="auto"/>
                <w:sz w:val="20"/>
                <w:szCs w:val="20"/>
                <w:highlight w:val="none"/>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F6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桩竖向抗压静载试验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（承载力）</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7D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抽检数量不应少于总桩数的1％，且不得少于3 根；当总桩数在50 根以内时，不得少于2根；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AC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33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09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96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69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129600.00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40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极限承载力Q=5400kN</w:t>
            </w:r>
          </w:p>
        </w:tc>
      </w:tr>
      <w:tr w14:paraId="2ECC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05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A32F1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EBA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569350.00 </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4751">
            <w:pPr>
              <w:jc w:val="center"/>
              <w:rPr>
                <w:rFonts w:hint="eastAsia" w:ascii="宋体" w:hAnsi="宋体" w:eastAsia="宋体" w:cs="宋体"/>
                <w:b/>
                <w:bCs/>
                <w:i w:val="0"/>
                <w:iCs w:val="0"/>
                <w:color w:val="auto"/>
                <w:sz w:val="20"/>
                <w:szCs w:val="20"/>
                <w:highlight w:val="none"/>
                <w:u w:val="none"/>
              </w:rPr>
            </w:pPr>
          </w:p>
        </w:tc>
      </w:tr>
      <w:tr w14:paraId="5A3DE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05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5753B7">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桩基检测费（暂定）=桩基检测收费基准价*收费系数（  0.6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AA6E">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341610.00</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ADC6">
            <w:pPr>
              <w:jc w:val="center"/>
              <w:rPr>
                <w:rFonts w:hint="eastAsia" w:ascii="宋体" w:hAnsi="宋体" w:eastAsia="宋体" w:cs="宋体"/>
                <w:b/>
                <w:bCs/>
                <w:i w:val="0"/>
                <w:iCs w:val="0"/>
                <w:color w:val="auto"/>
                <w:sz w:val="20"/>
                <w:szCs w:val="20"/>
                <w:highlight w:val="none"/>
                <w:u w:val="none"/>
              </w:rPr>
            </w:pPr>
          </w:p>
        </w:tc>
      </w:tr>
      <w:tr w14:paraId="6ADB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9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686E1C">
            <w:pPr>
              <w:jc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说明：1.以上检测数量根据现阶段设计图纸预估的暂定数量，最终以现场实际检测数量为准；                                                                                  </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2.收费标准参照《东莞市建设工程检测中心收费标准（2023版）》</w:t>
            </w:r>
          </w:p>
        </w:tc>
      </w:tr>
    </w:tbl>
    <w:p w14:paraId="75AA61B6">
      <w:pPr>
        <w:pStyle w:val="2"/>
        <w:rPr>
          <w:rFonts w:hint="eastAsia" w:ascii="宋体" w:hAnsi="宋体" w:eastAsia="宋体" w:cs="宋体"/>
          <w:color w:val="auto"/>
          <w:highlight w:val="none"/>
          <w:lang w:val="en-US" w:eastAsia="zh-CN"/>
        </w:rPr>
      </w:pPr>
    </w:p>
    <w:p w14:paraId="13F2C617">
      <w:pPr>
        <w:spacing w:line="360" w:lineRule="auto"/>
        <w:ind w:firstLine="422" w:firstLineChars="200"/>
        <w:rPr>
          <w:rFonts w:hint="eastAsia" w:ascii="宋体" w:hAnsi="宋体" w:eastAsia="宋体" w:cs="宋体"/>
          <w:b/>
          <w:bCs/>
          <w:color w:val="auto"/>
          <w:sz w:val="21"/>
          <w:szCs w:val="21"/>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61"/>
    <w:bookmarkEnd w:id="162"/>
    <w:bookmarkEnd w:id="163"/>
    <w:bookmarkEnd w:id="164"/>
    <w:bookmarkEnd w:id="165"/>
    <w:p w14:paraId="1A13EDBC">
      <w:pPr>
        <w:pStyle w:val="4"/>
        <w:keepNext/>
        <w:keepLines/>
        <w:pageBreakBefore/>
        <w:numPr>
          <w:ilvl w:val="0"/>
          <w:numId w:val="11"/>
        </w:numPr>
        <w:shd w:val="clear"/>
        <w:spacing w:line="360" w:lineRule="auto"/>
        <w:jc w:val="center"/>
        <w:rPr>
          <w:rFonts w:hint="eastAsia" w:ascii="宋体" w:hAnsi="宋体" w:eastAsia="宋体" w:cs="宋体"/>
          <w:b/>
          <w:bCs/>
          <w:color w:val="auto"/>
          <w:kern w:val="44"/>
          <w:sz w:val="28"/>
          <w:szCs w:val="28"/>
          <w:highlight w:val="none"/>
          <w:lang w:val="zh-CN"/>
        </w:rPr>
      </w:pPr>
      <w:bookmarkStart w:id="169" w:name="_Toc28792"/>
      <w:bookmarkStart w:id="170" w:name="_Toc4437"/>
      <w:r>
        <w:rPr>
          <w:rFonts w:hint="eastAsia" w:ascii="宋体" w:hAnsi="宋体" w:eastAsia="宋体" w:cs="宋体"/>
          <w:b/>
          <w:bCs/>
          <w:color w:val="auto"/>
          <w:kern w:val="44"/>
          <w:sz w:val="28"/>
          <w:szCs w:val="28"/>
          <w:highlight w:val="none"/>
          <w:lang w:val="zh-CN"/>
        </w:rPr>
        <w:t>评审工作大纲</w:t>
      </w:r>
      <w:bookmarkEnd w:id="169"/>
    </w:p>
    <w:p w14:paraId="10B3E61E">
      <w:pPr>
        <w:pStyle w:val="21"/>
        <w:shd w:val="clear"/>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一、磋商小组对响应文件进行初审，初审包括资格性审查和符合性审查。</w:t>
      </w:r>
    </w:p>
    <w:p w14:paraId="7CD1598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《资格性、符合性审查表》</w:t>
      </w:r>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823"/>
      </w:tblGrid>
      <w:tr w14:paraId="420F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1A733CF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0EE7D98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 审 内 容</w:t>
            </w:r>
          </w:p>
        </w:tc>
      </w:tr>
      <w:tr w14:paraId="50DE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top w:val="single" w:color="auto" w:sz="4" w:space="0"/>
              <w:left w:val="single" w:color="auto" w:sz="4" w:space="0"/>
              <w:right w:val="single" w:color="auto" w:sz="4" w:space="0"/>
              <w:tl2br w:val="nil"/>
              <w:tr2bl w:val="nil"/>
            </w:tcBorders>
            <w:vAlign w:val="center"/>
          </w:tcPr>
          <w:p w14:paraId="40EF1BE1">
            <w:pPr>
              <w:numPr>
                <w:ilvl w:val="0"/>
                <w:numId w:val="12"/>
              </w:numPr>
              <w:tabs>
                <w:tab w:val="left" w:pos="176"/>
                <w:tab w:val="left" w:pos="612"/>
              </w:tabs>
              <w:jc w:val="center"/>
              <w:rPr>
                <w:rFonts w:hint="eastAsia" w:ascii="宋体" w:hAnsi="宋体" w:eastAsia="宋体" w:cs="宋体"/>
                <w:color w:val="auto"/>
                <w:sz w:val="21"/>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7849CC08">
            <w:pPr>
              <w:tabs>
                <w:tab w:val="left" w:pos="612"/>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须为在中华人民共和国境内登记注册的具有独立承担民事责任能力的法人或其他组织【提供《营业执照》复印件（加盖公章）或《事业单位法人证书》复印件（加盖公章）或其他主体证书复印件（加盖公章）】；</w:t>
            </w:r>
          </w:p>
        </w:tc>
      </w:tr>
      <w:tr w14:paraId="64B0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416F3608">
            <w:pPr>
              <w:tabs>
                <w:tab w:val="left" w:pos="176"/>
                <w:tab w:val="left" w:pos="420"/>
                <w:tab w:val="left" w:pos="612"/>
              </w:tabs>
              <w:jc w:val="center"/>
              <w:rPr>
                <w:rFonts w:hint="eastAsia" w:ascii="宋体" w:hAnsi="宋体" w:eastAsia="宋体" w:cs="宋体"/>
                <w:color w:val="auto"/>
                <w:sz w:val="21"/>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306B6FF8">
            <w:pPr>
              <w:tabs>
                <w:tab w:val="left" w:pos="612"/>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（2）参加采购活动前三年内，在经营活动中没有重大违法记录（须提供书面声明）；</w:t>
            </w:r>
          </w:p>
        </w:tc>
      </w:tr>
      <w:tr w14:paraId="471C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2AF939D2">
            <w:pPr>
              <w:tabs>
                <w:tab w:val="left" w:pos="176"/>
                <w:tab w:val="left" w:pos="420"/>
                <w:tab w:val="left" w:pos="612"/>
              </w:tabs>
              <w:jc w:val="center"/>
              <w:rPr>
                <w:rFonts w:hint="eastAsia" w:ascii="宋体" w:hAnsi="宋体" w:eastAsia="宋体" w:cs="宋体"/>
                <w:color w:val="auto"/>
                <w:sz w:val="21"/>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2D1591B8">
            <w:pPr>
              <w:tabs>
                <w:tab w:val="left" w:pos="612"/>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的单位负责人为同一人或者存在直接控股、管理关系的不同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，不得参加同一合同项下的采购活动；</w:t>
            </w:r>
          </w:p>
        </w:tc>
      </w:tr>
      <w:tr w14:paraId="65DD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793B82CF">
            <w:pPr>
              <w:tabs>
                <w:tab w:val="left" w:pos="176"/>
                <w:tab w:val="left" w:pos="420"/>
                <w:tab w:val="left" w:pos="612"/>
              </w:tabs>
              <w:jc w:val="center"/>
              <w:rPr>
                <w:rFonts w:hint="eastAsia" w:ascii="宋体" w:hAnsi="宋体" w:eastAsia="宋体" w:cs="宋体"/>
                <w:color w:val="auto"/>
                <w:sz w:val="21"/>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2707063B">
            <w:pPr>
              <w:tabs>
                <w:tab w:val="left" w:pos="612"/>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需提供相关证明资料；</w:t>
            </w:r>
          </w:p>
        </w:tc>
      </w:tr>
      <w:tr w14:paraId="09F4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4F18884A">
            <w:pPr>
              <w:tabs>
                <w:tab w:val="left" w:pos="176"/>
                <w:tab w:val="left" w:pos="420"/>
                <w:tab w:val="left" w:pos="612"/>
              </w:tabs>
              <w:jc w:val="center"/>
              <w:rPr>
                <w:rFonts w:hint="eastAsia" w:ascii="宋体" w:hAnsi="宋体" w:eastAsia="宋体" w:cs="宋体"/>
                <w:color w:val="auto"/>
                <w:sz w:val="21"/>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3D484D21">
            <w:pPr>
              <w:tabs>
                <w:tab w:val="left" w:pos="612"/>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（5）未被列入东实集团及下属企业相关领域黑名单。【以</w:t>
            </w:r>
            <w:r>
              <w:rPr>
                <w:rFonts w:hint="eastAsia" w:ascii="宋体" w:hAnsi="宋体" w:eastAsia="宋体" w:cs="宋体"/>
                <w:color w:val="auto"/>
                <w:sz w:val="21"/>
                <w:szCs w:val="21"/>
                <w:highlight w:val="none"/>
                <w:lang w:val="zh-CN"/>
              </w:rPr>
              <w:t>东莞实业投资控股集团有限公司</w:t>
            </w:r>
            <w:r>
              <w:rPr>
                <w:rFonts w:hint="eastAsia" w:ascii="宋体" w:hAnsi="宋体" w:eastAsia="宋体" w:cs="宋体"/>
                <w:color w:val="auto"/>
                <w:sz w:val="21"/>
                <w:szCs w:val="21"/>
                <w:highlight w:val="none"/>
              </w:rPr>
              <w:t>发文（东实通〔2021〕44号）、（东实通〔2021〕98号）、（东实通〔2022〕75号）、（东实通〔2023〕37号）为准，如有最新发文通知，按最新文件执行。</w:t>
            </w:r>
          </w:p>
        </w:tc>
      </w:tr>
      <w:tr w14:paraId="194E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bottom w:val="single" w:color="auto" w:sz="4" w:space="0"/>
              <w:right w:val="single" w:color="auto" w:sz="4" w:space="0"/>
              <w:tl2br w:val="nil"/>
              <w:tr2bl w:val="nil"/>
            </w:tcBorders>
            <w:vAlign w:val="center"/>
          </w:tcPr>
          <w:p w14:paraId="33ACDCA5">
            <w:pPr>
              <w:tabs>
                <w:tab w:val="left" w:pos="176"/>
                <w:tab w:val="left" w:pos="420"/>
                <w:tab w:val="left" w:pos="612"/>
              </w:tabs>
              <w:jc w:val="center"/>
              <w:rPr>
                <w:rFonts w:hint="eastAsia" w:ascii="宋体" w:hAnsi="宋体" w:eastAsia="宋体" w:cs="宋体"/>
                <w:color w:val="auto"/>
                <w:sz w:val="21"/>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689C268F">
            <w:pPr>
              <w:tabs>
                <w:tab w:val="left" w:pos="612"/>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须具备建设行政主管部门颁发的建设工程质量检测机构资质证书（检测范围须涵盖本次</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对应标段的主要内容：地基基础工程检测），且证书在有效期内。</w:t>
            </w:r>
          </w:p>
        </w:tc>
      </w:tr>
      <w:tr w14:paraId="31B2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3980C4FC">
            <w:pPr>
              <w:numPr>
                <w:ilvl w:val="0"/>
                <w:numId w:val="12"/>
              </w:numPr>
              <w:tabs>
                <w:tab w:val="left" w:pos="176"/>
                <w:tab w:val="left" w:pos="612"/>
              </w:tabs>
              <w:jc w:val="center"/>
              <w:rPr>
                <w:rFonts w:hint="eastAsia" w:ascii="宋体" w:hAnsi="宋体" w:eastAsia="宋体" w:cs="宋体"/>
                <w:color w:val="auto"/>
                <w:sz w:val="21"/>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25A18A72">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供应商</w:t>
            </w:r>
            <w:r>
              <w:rPr>
                <w:rFonts w:hint="eastAsia" w:ascii="宋体" w:hAnsi="宋体" w:eastAsia="宋体" w:cs="宋体"/>
                <w:color w:val="auto"/>
                <w:sz w:val="21"/>
                <w:szCs w:val="21"/>
                <w:highlight w:val="none"/>
                <w:lang w:bidi="ar"/>
              </w:rPr>
              <w:t>按照采购文件要求提交投标保证金；</w:t>
            </w:r>
          </w:p>
        </w:tc>
      </w:tr>
      <w:tr w14:paraId="2854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1D8745E2">
            <w:pPr>
              <w:numPr>
                <w:ilvl w:val="0"/>
                <w:numId w:val="12"/>
              </w:numPr>
              <w:tabs>
                <w:tab w:val="left" w:pos="176"/>
                <w:tab w:val="left" w:pos="612"/>
              </w:tabs>
              <w:jc w:val="center"/>
              <w:rPr>
                <w:rFonts w:hint="eastAsia" w:ascii="宋体" w:hAnsi="宋体" w:eastAsia="宋体" w:cs="宋体"/>
                <w:color w:val="auto"/>
                <w:sz w:val="21"/>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0DCAC45A">
            <w:pP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投标文件按照采购文件要求签署盖章；</w:t>
            </w:r>
          </w:p>
        </w:tc>
      </w:tr>
      <w:tr w14:paraId="36B7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5802BC3B">
            <w:pPr>
              <w:numPr>
                <w:ilvl w:val="0"/>
                <w:numId w:val="12"/>
              </w:numPr>
              <w:tabs>
                <w:tab w:val="left" w:pos="176"/>
                <w:tab w:val="left" w:pos="612"/>
              </w:tabs>
              <w:jc w:val="center"/>
              <w:rPr>
                <w:rFonts w:hint="eastAsia" w:ascii="宋体" w:hAnsi="宋体" w:eastAsia="宋体" w:cs="宋体"/>
                <w:color w:val="auto"/>
                <w:sz w:val="21"/>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00EB6EF8">
            <w:pP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投标总价未超出采购预算或最高限价；</w:t>
            </w:r>
          </w:p>
        </w:tc>
      </w:tr>
      <w:tr w14:paraId="7656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0B78EE05">
            <w:pPr>
              <w:tabs>
                <w:tab w:val="left" w:pos="176"/>
                <w:tab w:val="left" w:pos="612"/>
              </w:tabs>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2242A991">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投标文件未含有采购人不能接受的附加条件；</w:t>
            </w:r>
          </w:p>
        </w:tc>
      </w:tr>
      <w:tr w14:paraId="43EF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57C8B319">
            <w:pPr>
              <w:tabs>
                <w:tab w:val="left" w:pos="176"/>
                <w:tab w:val="left" w:pos="612"/>
              </w:tabs>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30CFA311">
            <w:pP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无负偏离标注“★”符号的条款。</w:t>
            </w:r>
          </w:p>
        </w:tc>
      </w:tr>
      <w:tr w14:paraId="4D54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0B3928DE">
            <w:pPr>
              <w:tabs>
                <w:tab w:val="left" w:pos="176"/>
                <w:tab w:val="left" w:pos="612"/>
              </w:tabs>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1298F03C">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未出现</w:t>
            </w:r>
            <w:r>
              <w:rPr>
                <w:rFonts w:hint="eastAsia" w:ascii="宋体" w:hAnsi="宋体" w:eastAsia="宋体" w:cs="宋体"/>
                <w:color w:val="auto"/>
                <w:sz w:val="21"/>
                <w:szCs w:val="21"/>
                <w:highlight w:val="none"/>
                <w:lang w:bidi="ar"/>
              </w:rPr>
              <w:t>法律、法规和招标文件规定的其他无效情形。</w:t>
            </w:r>
          </w:p>
        </w:tc>
      </w:tr>
    </w:tbl>
    <w:p w14:paraId="0882E10D">
      <w:pPr>
        <w:pStyle w:val="21"/>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360" w:lineRule="auto"/>
        <w:ind w:right="-28" w:righ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以上资格性、符合性审查中带有不合格分项的投标文件，将作</w:t>
      </w:r>
      <w:r>
        <w:rPr>
          <w:rFonts w:hint="eastAsia" w:ascii="宋体" w:hAnsi="宋体" w:eastAsia="宋体" w:cs="宋体"/>
          <w:color w:val="auto"/>
          <w:sz w:val="21"/>
          <w:szCs w:val="21"/>
          <w:highlight w:val="none"/>
          <w:lang w:eastAsia="zh-CN"/>
        </w:rPr>
        <w:t>无效响应</w:t>
      </w:r>
      <w:r>
        <w:rPr>
          <w:rFonts w:hint="eastAsia" w:ascii="宋体" w:hAnsi="宋体" w:eastAsia="宋体" w:cs="宋体"/>
          <w:color w:val="auto"/>
          <w:sz w:val="21"/>
          <w:szCs w:val="21"/>
          <w:highlight w:val="none"/>
        </w:rPr>
        <w:t>处理。经</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确认的无效</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文件，采购人和采购代理机构将予以拒绝，并且不允许通过修正或撤消其不符合要求的差异，使之成为具有符合性的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文件。经</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资格性、符合性审查确认具有有效</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不足三家时将重新组织采购。</w:t>
      </w:r>
    </w:p>
    <w:p w14:paraId="35500C22">
      <w:pPr>
        <w:pStyle w:val="21"/>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360" w:lineRule="auto"/>
        <w:ind w:right="-28" w:righ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经过磋商阶段后，磋商小组按照磋商文件确定的评审标准和方法对提交最后报价的供应商的响应文件进行评审和比较，推荐候选成交供应商，编制评审报告。</w:t>
      </w:r>
    </w:p>
    <w:p w14:paraId="7AA22FC5">
      <w:pPr>
        <w:pStyle w:val="29"/>
        <w:shd w:val="clear"/>
        <w:spacing w:line="360" w:lineRule="auto"/>
        <w:ind w:firstLine="422" w:firstLineChars="200"/>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三、评审因素及评分权重</w:t>
      </w:r>
      <w:bookmarkEnd w:id="170"/>
    </w:p>
    <w:p w14:paraId="5176D01E">
      <w:pPr>
        <w:shd w:val="clear"/>
        <w:tabs>
          <w:tab w:val="left" w:pos="660"/>
        </w:tabs>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1、评委考核打分的评分因素及分值:总分100分</w:t>
      </w:r>
    </w:p>
    <w:tbl>
      <w:tblPr>
        <w:tblStyle w:val="54"/>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6186"/>
      </w:tblGrid>
      <w:tr w14:paraId="2ED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C0F0556">
            <w:pPr>
              <w:pStyle w:val="78"/>
              <w:spacing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60F85B4A">
            <w:pPr>
              <w:pStyle w:val="78"/>
              <w:spacing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6D873ACA">
            <w:pPr>
              <w:pStyle w:val="78"/>
              <w:spacing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186" w:type="dxa"/>
            <w:tcBorders>
              <w:top w:val="single" w:color="auto" w:sz="4" w:space="0"/>
              <w:left w:val="single" w:color="auto" w:sz="4" w:space="0"/>
              <w:bottom w:val="single" w:color="auto" w:sz="4" w:space="0"/>
              <w:right w:val="single" w:color="auto" w:sz="4" w:space="0"/>
            </w:tcBorders>
            <w:vAlign w:val="center"/>
          </w:tcPr>
          <w:p w14:paraId="0C359D28">
            <w:pPr>
              <w:pStyle w:val="78"/>
              <w:spacing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14:paraId="2642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47" w:type="dxa"/>
            <w:gridSpan w:val="5"/>
            <w:tcBorders>
              <w:top w:val="single" w:color="auto" w:sz="4" w:space="0"/>
              <w:left w:val="single" w:color="auto" w:sz="4" w:space="0"/>
              <w:bottom w:val="single" w:color="auto" w:sz="4" w:space="0"/>
              <w:right w:val="single" w:color="auto" w:sz="4" w:space="0"/>
            </w:tcBorders>
            <w:vAlign w:val="center"/>
          </w:tcPr>
          <w:p w14:paraId="415467DC">
            <w:pPr>
              <w:pStyle w:val="78"/>
              <w:spacing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商务评审（</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tc>
      </w:tr>
      <w:tr w14:paraId="340A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3A31A9C">
            <w:pPr>
              <w:pStyle w:val="78"/>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09" w:type="dxa"/>
            <w:tcBorders>
              <w:top w:val="single" w:color="auto" w:sz="4" w:space="0"/>
              <w:left w:val="single" w:color="auto" w:sz="4" w:space="0"/>
              <w:bottom w:val="single" w:color="auto" w:sz="4" w:space="0"/>
              <w:right w:val="single" w:color="auto" w:sz="4" w:space="0"/>
            </w:tcBorders>
            <w:vAlign w:val="center"/>
          </w:tcPr>
          <w:p w14:paraId="53121549">
            <w:pPr>
              <w:pStyle w:val="78"/>
              <w:spacing w:line="36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企业业绩</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759C0234">
            <w:pPr>
              <w:pStyle w:val="78"/>
              <w:spacing w:line="36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6186" w:type="dxa"/>
            <w:tcBorders>
              <w:top w:val="single" w:color="auto" w:sz="4" w:space="0"/>
              <w:left w:val="single" w:color="auto" w:sz="4" w:space="0"/>
              <w:bottom w:val="single" w:color="auto" w:sz="4" w:space="0"/>
              <w:right w:val="single" w:color="auto" w:sz="4" w:space="0"/>
            </w:tcBorders>
            <w:vAlign w:val="center"/>
          </w:tcPr>
          <w:p w14:paraId="24BB2DF2">
            <w:pPr>
              <w:pStyle w:val="78"/>
              <w:spacing w:line="360" w:lineRule="auto"/>
              <w:ind w:left="0" w:leftChars="0" w:firstLine="0" w:firstLineChars="0"/>
              <w:rPr>
                <w:rFonts w:hint="eastAsia" w:ascii="宋体" w:hAnsi="宋体" w:eastAsia="宋体" w:cs="宋体"/>
                <w:bCs/>
                <w:color w:val="auto"/>
                <w:sz w:val="21"/>
                <w:szCs w:val="21"/>
                <w:highlight w:val="none"/>
                <w:u w:val="none"/>
                <w:lang w:val="zh-CN"/>
              </w:rPr>
            </w:pPr>
            <w:r>
              <w:rPr>
                <w:rFonts w:hint="eastAsia" w:ascii="宋体" w:hAnsi="宋体" w:eastAsia="宋体" w:cs="宋体"/>
                <w:bCs/>
                <w:color w:val="auto"/>
                <w:sz w:val="21"/>
                <w:szCs w:val="21"/>
                <w:highlight w:val="none"/>
                <w:u w:val="none"/>
                <w:lang w:val="zh-CN"/>
              </w:rPr>
              <w:t>供应商自</w:t>
            </w:r>
            <w:r>
              <w:rPr>
                <w:rFonts w:hint="eastAsia" w:ascii="宋体" w:hAnsi="宋体" w:eastAsia="宋体" w:cs="宋体"/>
                <w:bCs/>
                <w:color w:val="auto"/>
                <w:sz w:val="21"/>
                <w:szCs w:val="21"/>
                <w:highlight w:val="none"/>
                <w:u w:val="none"/>
                <w:lang w:val="en-US" w:eastAsia="zh-CN"/>
              </w:rPr>
              <w:t>2021</w:t>
            </w:r>
            <w:r>
              <w:rPr>
                <w:rFonts w:hint="eastAsia" w:ascii="宋体" w:hAnsi="宋体" w:eastAsia="宋体" w:cs="宋体"/>
                <w:bCs/>
                <w:color w:val="auto"/>
                <w:sz w:val="21"/>
                <w:szCs w:val="21"/>
                <w:highlight w:val="none"/>
                <w:u w:val="none"/>
                <w:lang w:val="zh-CN"/>
              </w:rPr>
              <w:t>年</w:t>
            </w:r>
            <w:r>
              <w:rPr>
                <w:rFonts w:hint="eastAsia" w:ascii="宋体" w:hAnsi="宋体" w:eastAsia="宋体" w:cs="宋体"/>
                <w:bCs/>
                <w:color w:val="auto"/>
                <w:sz w:val="21"/>
                <w:szCs w:val="21"/>
                <w:highlight w:val="none"/>
                <w:u w:val="none"/>
                <w:lang w:val="en-US" w:eastAsia="zh-CN"/>
              </w:rPr>
              <w:t>11</w:t>
            </w:r>
            <w:r>
              <w:rPr>
                <w:rFonts w:hint="eastAsia" w:ascii="宋体" w:hAnsi="宋体" w:eastAsia="宋体" w:cs="宋体"/>
                <w:bCs/>
                <w:color w:val="auto"/>
                <w:sz w:val="21"/>
                <w:szCs w:val="21"/>
                <w:highlight w:val="none"/>
                <w:u w:val="none"/>
                <w:lang w:val="zh-CN"/>
              </w:rPr>
              <w:t>月</w:t>
            </w:r>
            <w:r>
              <w:rPr>
                <w:rFonts w:hint="eastAsia" w:ascii="宋体" w:hAnsi="宋体" w:eastAsia="宋体" w:cs="宋体"/>
                <w:bCs/>
                <w:color w:val="auto"/>
                <w:sz w:val="21"/>
                <w:szCs w:val="21"/>
                <w:highlight w:val="none"/>
                <w:u w:val="none"/>
                <w:lang w:val="en-US" w:eastAsia="zh-CN"/>
              </w:rPr>
              <w:t>0</w:t>
            </w:r>
            <w:r>
              <w:rPr>
                <w:rFonts w:hint="eastAsia" w:ascii="宋体" w:hAnsi="宋体" w:eastAsia="宋体" w:cs="宋体"/>
                <w:bCs/>
                <w:color w:val="auto"/>
                <w:sz w:val="21"/>
                <w:szCs w:val="21"/>
                <w:highlight w:val="none"/>
                <w:u w:val="none"/>
                <w:lang w:val="zh-CN"/>
              </w:rPr>
              <w:t>1日至投标截止日前承接过房屋建筑工程地基基础检测服务项目的，每个得</w:t>
            </w:r>
            <w:r>
              <w:rPr>
                <w:rFonts w:hint="eastAsia" w:ascii="宋体" w:eastAsia="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val="zh-CN"/>
              </w:rPr>
              <w:t>分，本项满分</w:t>
            </w:r>
            <w:r>
              <w:rPr>
                <w:rFonts w:hint="eastAsia" w:ascii="宋体" w:eastAsia="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val="zh-CN"/>
              </w:rPr>
              <w:t>分。</w:t>
            </w:r>
          </w:p>
          <w:p w14:paraId="62CB76B9">
            <w:pPr>
              <w:pStyle w:val="78"/>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val="0"/>
                <w:color w:val="auto"/>
                <w:sz w:val="21"/>
                <w:szCs w:val="21"/>
                <w:highlight w:val="none"/>
                <w:u w:val="single"/>
                <w:lang w:val="zh-CN"/>
              </w:rPr>
              <w:t>注：①业绩证明资料须提供合同（或协议书）关键页复印件，及与项目相关的发票（张数不限）复印件并加盖供应商公章。②时间以合同（或协议书）签订时间为准。③同一项目的业绩不能重复计分，如重复时按高分值计取。</w:t>
            </w:r>
          </w:p>
        </w:tc>
      </w:tr>
      <w:tr w14:paraId="2E29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vMerge w:val="restart"/>
            <w:tcBorders>
              <w:top w:val="single" w:color="auto" w:sz="4" w:space="0"/>
              <w:left w:val="single" w:color="auto" w:sz="4" w:space="0"/>
              <w:right w:val="single" w:color="auto" w:sz="4" w:space="0"/>
            </w:tcBorders>
            <w:vAlign w:val="center"/>
          </w:tcPr>
          <w:p w14:paraId="4EA06CE2">
            <w:pPr>
              <w:pStyle w:val="78"/>
              <w:spacing w:line="36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609" w:type="dxa"/>
            <w:vMerge w:val="restart"/>
            <w:tcBorders>
              <w:top w:val="single" w:color="auto" w:sz="4" w:space="0"/>
              <w:left w:val="single" w:color="auto" w:sz="4" w:space="0"/>
              <w:right w:val="single" w:color="auto" w:sz="4" w:space="0"/>
            </w:tcBorders>
            <w:vAlign w:val="center"/>
          </w:tcPr>
          <w:p w14:paraId="666E0A9E">
            <w:pPr>
              <w:pStyle w:val="78"/>
              <w:spacing w:line="360" w:lineRule="auto"/>
              <w:ind w:firstLine="0" w:firstLineChars="0"/>
              <w:jc w:val="center"/>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none"/>
              </w:rPr>
              <w:t>拟投入</w:t>
            </w:r>
            <w:r>
              <w:rPr>
                <w:rFonts w:hint="eastAsia" w:ascii="宋体" w:hAnsi="宋体" w:eastAsia="宋体" w:cs="宋体"/>
                <w:color w:val="auto"/>
                <w:sz w:val="21"/>
                <w:szCs w:val="21"/>
                <w:highlight w:val="none"/>
                <w:u w:val="none"/>
                <w:lang w:eastAsia="zh-CN"/>
              </w:rPr>
              <w:t>人员情况</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68196534">
            <w:pPr>
              <w:spacing w:line="360" w:lineRule="auto"/>
              <w:jc w:val="center"/>
              <w:rPr>
                <w:rFonts w:hint="eastAsia" w:ascii="宋体" w:hAnsi="宋体" w:eastAsia="宋体" w:cs="宋体"/>
                <w:color w:val="auto"/>
                <w:sz w:val="21"/>
                <w:szCs w:val="21"/>
                <w:highlight w:val="none"/>
                <w:u w:val="single"/>
                <w:lang w:val="en-US" w:eastAsia="zh-CN"/>
              </w:rPr>
            </w:pPr>
            <w:r>
              <w:rPr>
                <w:rFonts w:hint="eastAsia" w:hAnsi="宋体" w:cs="宋体"/>
                <w:color w:val="auto"/>
                <w:kern w:val="2"/>
                <w:sz w:val="21"/>
                <w:szCs w:val="21"/>
                <w:highlight w:val="none"/>
                <w:u w:val="none"/>
                <w:lang w:val="en-US" w:eastAsia="zh-CN" w:bidi="ar-SA"/>
              </w:rPr>
              <w:t>3</w:t>
            </w:r>
            <w:r>
              <w:rPr>
                <w:rFonts w:hint="eastAsia" w:ascii="宋体" w:hAnsi="宋体" w:eastAsia="宋体" w:cs="宋体"/>
                <w:color w:val="auto"/>
                <w:kern w:val="2"/>
                <w:sz w:val="21"/>
                <w:szCs w:val="21"/>
                <w:highlight w:val="none"/>
                <w:u w:val="none"/>
                <w:lang w:val="en-US" w:eastAsia="zh-CN" w:bidi="ar-SA"/>
              </w:rPr>
              <w:t>分</w:t>
            </w:r>
          </w:p>
        </w:tc>
        <w:tc>
          <w:tcPr>
            <w:tcW w:w="6186" w:type="dxa"/>
            <w:tcBorders>
              <w:top w:val="single" w:color="auto" w:sz="4" w:space="0"/>
              <w:left w:val="single" w:color="auto" w:sz="4" w:space="0"/>
              <w:bottom w:val="single" w:color="auto" w:sz="4" w:space="0"/>
              <w:right w:val="single" w:color="auto" w:sz="4" w:space="0"/>
            </w:tcBorders>
            <w:vAlign w:val="center"/>
          </w:tcPr>
          <w:p w14:paraId="044718A1">
            <w:pPr>
              <w:pStyle w:val="78"/>
              <w:spacing w:line="360" w:lineRule="auto"/>
              <w:ind w:left="0" w:leftChars="0" w:firstLine="0" w:firstLineChars="0"/>
              <w:rPr>
                <w:rFonts w:hint="eastAsia" w:ascii="宋体" w:hAnsi="宋体" w:eastAsia="宋体" w:cs="宋体"/>
                <w:bCs/>
                <w:color w:val="auto"/>
                <w:sz w:val="21"/>
                <w:szCs w:val="21"/>
                <w:highlight w:val="none"/>
                <w:u w:val="none"/>
                <w:lang w:val="zh-CN"/>
              </w:rPr>
            </w:pPr>
            <w:r>
              <w:rPr>
                <w:rFonts w:hint="eastAsia" w:ascii="宋体" w:hAnsi="宋体" w:eastAsia="宋体" w:cs="宋体"/>
                <w:bCs/>
                <w:color w:val="auto"/>
                <w:sz w:val="21"/>
                <w:szCs w:val="21"/>
                <w:highlight w:val="none"/>
                <w:u w:val="none"/>
                <w:lang w:val="zh-CN"/>
              </w:rPr>
              <w:t>项目负责人：</w:t>
            </w:r>
          </w:p>
          <w:p w14:paraId="66D6FD54">
            <w:pPr>
              <w:pStyle w:val="78"/>
              <w:numPr>
                <w:ilvl w:val="0"/>
                <w:numId w:val="13"/>
              </w:numPr>
              <w:spacing w:line="360" w:lineRule="auto"/>
              <w:ind w:left="0" w:leftChars="0" w:firstLine="0" w:firstLineChars="0"/>
              <w:rPr>
                <w:rFonts w:hint="eastAsia" w:ascii="宋体" w:hAnsi="宋体" w:eastAsia="宋体" w:cs="宋体"/>
                <w:bCs/>
                <w:color w:val="auto"/>
                <w:sz w:val="21"/>
                <w:szCs w:val="21"/>
                <w:highlight w:val="none"/>
                <w:u w:val="none"/>
                <w:lang w:val="zh-CN"/>
              </w:rPr>
            </w:pPr>
            <w:r>
              <w:rPr>
                <w:rFonts w:hint="eastAsia" w:ascii="宋体" w:hAnsi="宋体" w:eastAsia="宋体" w:cs="宋体"/>
                <w:bCs/>
                <w:color w:val="auto"/>
                <w:sz w:val="21"/>
                <w:szCs w:val="21"/>
                <w:highlight w:val="none"/>
                <w:u w:val="none"/>
                <w:lang w:val="en-US" w:eastAsia="zh-CN"/>
              </w:rPr>
              <w:t>具备中级（</w:t>
            </w:r>
            <w:r>
              <w:rPr>
                <w:rFonts w:hint="eastAsia" w:ascii="宋体" w:hAnsi="宋体" w:eastAsia="宋体" w:cs="宋体"/>
                <w:bCs/>
                <w:color w:val="auto"/>
                <w:sz w:val="21"/>
                <w:szCs w:val="21"/>
                <w:highlight w:val="none"/>
                <w:u w:val="none"/>
                <w:lang w:val="zh-CN"/>
              </w:rPr>
              <w:t>或以上）职称</w:t>
            </w:r>
            <w:r>
              <w:rPr>
                <w:rFonts w:hint="eastAsia" w:ascii="宋体" w:hAnsi="宋体" w:eastAsia="宋体" w:cs="宋体"/>
                <w:bCs/>
                <w:color w:val="auto"/>
                <w:sz w:val="21"/>
                <w:szCs w:val="21"/>
                <w:highlight w:val="none"/>
                <w:u w:val="none"/>
                <w:lang w:val="en-US" w:eastAsia="zh-CN"/>
              </w:rPr>
              <w:t>且同时</w:t>
            </w:r>
            <w:r>
              <w:rPr>
                <w:rFonts w:hint="eastAsia" w:ascii="宋体" w:hAnsi="宋体" w:eastAsia="宋体" w:cs="宋体"/>
                <w:bCs/>
                <w:color w:val="auto"/>
                <w:sz w:val="21"/>
                <w:szCs w:val="21"/>
                <w:highlight w:val="none"/>
                <w:u w:val="none"/>
                <w:lang w:val="zh-CN"/>
              </w:rPr>
              <w:t>具有注册土木工程师（岩土）的，</w:t>
            </w:r>
            <w:r>
              <w:rPr>
                <w:rFonts w:hint="eastAsia" w:ascii="宋体" w:hAnsi="宋体" w:eastAsia="宋体" w:cs="宋体"/>
                <w:bCs/>
                <w:color w:val="auto"/>
                <w:sz w:val="21"/>
                <w:szCs w:val="21"/>
                <w:highlight w:val="none"/>
                <w:u w:val="none"/>
                <w:lang w:val="en-US" w:eastAsia="zh-CN"/>
              </w:rPr>
              <w:t>得1分，</w:t>
            </w:r>
            <w:r>
              <w:rPr>
                <w:rFonts w:hint="eastAsia" w:ascii="宋体" w:hAnsi="宋体" w:eastAsia="宋体" w:cs="宋体"/>
                <w:bCs/>
                <w:color w:val="auto"/>
                <w:sz w:val="21"/>
                <w:szCs w:val="21"/>
                <w:highlight w:val="none"/>
                <w:u w:val="none"/>
                <w:lang w:val="zh-CN"/>
              </w:rPr>
              <w:t>本项满分</w:t>
            </w:r>
            <w:r>
              <w:rPr>
                <w:rFonts w:hint="eastAsia" w:ascii="宋体" w:hAnsi="宋体" w:eastAsia="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val="zh-CN"/>
              </w:rPr>
              <w:t>分。</w:t>
            </w:r>
          </w:p>
          <w:p w14:paraId="4E0B0BD8">
            <w:pPr>
              <w:pStyle w:val="78"/>
              <w:spacing w:line="360" w:lineRule="auto"/>
              <w:ind w:left="0" w:leftChars="0" w:firstLine="0" w:firstLineChars="0"/>
              <w:rPr>
                <w:rFonts w:hint="eastAsia" w:ascii="宋体" w:hAnsi="宋体" w:eastAsia="宋体" w:cs="宋体"/>
                <w:bCs/>
                <w:color w:val="auto"/>
                <w:sz w:val="21"/>
                <w:szCs w:val="21"/>
                <w:highlight w:val="none"/>
                <w:u w:val="none"/>
                <w:lang w:val="zh-CN"/>
              </w:rPr>
            </w:pPr>
            <w:r>
              <w:rPr>
                <w:rFonts w:hint="eastAsia" w:ascii="宋体" w:hAnsi="宋体" w:eastAsia="宋体" w:cs="宋体"/>
                <w:bCs/>
                <w:color w:val="auto"/>
                <w:sz w:val="21"/>
                <w:szCs w:val="21"/>
                <w:highlight w:val="none"/>
                <w:u w:val="none"/>
                <w:lang w:val="zh-CN"/>
              </w:rPr>
              <w:t>（</w:t>
            </w:r>
            <w:r>
              <w:rPr>
                <w:rFonts w:hint="eastAsia" w:ascii="宋体" w:hAnsi="宋体" w:eastAsia="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lang w:val="zh-CN"/>
              </w:rPr>
              <w:t>）自</w:t>
            </w:r>
            <w:r>
              <w:rPr>
                <w:rFonts w:hint="eastAsia" w:ascii="宋体" w:hAnsi="宋体" w:eastAsia="宋体" w:cs="宋体"/>
                <w:bCs/>
                <w:color w:val="auto"/>
                <w:sz w:val="21"/>
                <w:szCs w:val="21"/>
                <w:highlight w:val="none"/>
                <w:u w:val="none"/>
                <w:lang w:val="en-US" w:eastAsia="zh-CN"/>
              </w:rPr>
              <w:t>2021</w:t>
            </w:r>
            <w:r>
              <w:rPr>
                <w:rFonts w:hint="eastAsia" w:ascii="宋体" w:hAnsi="宋体" w:eastAsia="宋体" w:cs="宋体"/>
                <w:bCs/>
                <w:color w:val="auto"/>
                <w:sz w:val="21"/>
                <w:szCs w:val="21"/>
                <w:highlight w:val="none"/>
                <w:u w:val="none"/>
                <w:lang w:val="zh-CN"/>
              </w:rPr>
              <w:t>年</w:t>
            </w:r>
            <w:r>
              <w:rPr>
                <w:rFonts w:hint="eastAsia" w:ascii="宋体" w:hAnsi="宋体" w:eastAsia="宋体" w:cs="宋体"/>
                <w:bCs/>
                <w:color w:val="auto"/>
                <w:sz w:val="21"/>
                <w:szCs w:val="21"/>
                <w:highlight w:val="none"/>
                <w:u w:val="none"/>
                <w:lang w:val="en-US" w:eastAsia="zh-CN"/>
              </w:rPr>
              <w:t>11</w:t>
            </w:r>
            <w:r>
              <w:rPr>
                <w:rFonts w:hint="eastAsia" w:ascii="宋体" w:hAnsi="宋体" w:eastAsia="宋体" w:cs="宋体"/>
                <w:bCs/>
                <w:color w:val="auto"/>
                <w:sz w:val="21"/>
                <w:szCs w:val="21"/>
                <w:highlight w:val="none"/>
                <w:u w:val="none"/>
                <w:lang w:val="zh-CN"/>
              </w:rPr>
              <w:t>月</w:t>
            </w:r>
            <w:r>
              <w:rPr>
                <w:rFonts w:hint="eastAsia" w:ascii="宋体" w:hAnsi="宋体" w:eastAsia="宋体" w:cs="宋体"/>
                <w:bCs/>
                <w:color w:val="auto"/>
                <w:sz w:val="21"/>
                <w:szCs w:val="21"/>
                <w:highlight w:val="none"/>
                <w:u w:val="none"/>
                <w:lang w:val="en-US" w:eastAsia="zh-CN"/>
              </w:rPr>
              <w:t>0</w:t>
            </w:r>
            <w:r>
              <w:rPr>
                <w:rFonts w:hint="eastAsia" w:ascii="宋体" w:hAnsi="宋体" w:eastAsia="宋体" w:cs="宋体"/>
                <w:bCs/>
                <w:color w:val="auto"/>
                <w:sz w:val="21"/>
                <w:szCs w:val="21"/>
                <w:highlight w:val="none"/>
                <w:u w:val="none"/>
                <w:lang w:val="zh-CN"/>
              </w:rPr>
              <w:t>1日至投标截止日前</w:t>
            </w:r>
            <w:r>
              <w:rPr>
                <w:rFonts w:hint="eastAsia" w:ascii="宋体" w:hAnsi="宋体" w:eastAsia="宋体" w:cs="宋体"/>
                <w:bCs/>
                <w:color w:val="auto"/>
                <w:sz w:val="21"/>
                <w:szCs w:val="21"/>
                <w:highlight w:val="none"/>
                <w:u w:val="none"/>
                <w:lang w:val="en-US" w:eastAsia="zh-CN"/>
              </w:rPr>
              <w:t>担任</w:t>
            </w:r>
            <w:r>
              <w:rPr>
                <w:rFonts w:hint="eastAsia" w:ascii="宋体" w:hAnsi="宋体" w:eastAsia="宋体" w:cs="宋体"/>
                <w:bCs/>
                <w:color w:val="auto"/>
                <w:sz w:val="21"/>
                <w:szCs w:val="21"/>
                <w:highlight w:val="none"/>
                <w:u w:val="none"/>
                <w:lang w:val="zh-CN"/>
              </w:rPr>
              <w:t>过房屋建筑工程地基基础检测服务项目</w:t>
            </w:r>
            <w:r>
              <w:rPr>
                <w:rFonts w:hint="eastAsia" w:ascii="宋体" w:hAnsi="宋体" w:eastAsia="宋体" w:cs="宋体"/>
                <w:bCs/>
                <w:color w:val="auto"/>
                <w:sz w:val="21"/>
                <w:szCs w:val="21"/>
                <w:highlight w:val="none"/>
                <w:u w:val="none"/>
                <w:lang w:val="en-US" w:eastAsia="zh-CN"/>
              </w:rPr>
              <w:t>负责人岗位的</w:t>
            </w:r>
            <w:r>
              <w:rPr>
                <w:rFonts w:hint="eastAsia" w:ascii="宋体" w:hAnsi="宋体" w:eastAsia="宋体" w:cs="宋体"/>
                <w:bCs/>
                <w:color w:val="auto"/>
                <w:sz w:val="21"/>
                <w:szCs w:val="21"/>
                <w:highlight w:val="none"/>
                <w:u w:val="none"/>
                <w:lang w:val="zh-CN"/>
              </w:rPr>
              <w:t>，每个得</w:t>
            </w:r>
            <w:r>
              <w:rPr>
                <w:rFonts w:hint="eastAsia" w:ascii="宋体" w:hAnsi="宋体" w:eastAsia="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val="zh-CN"/>
              </w:rPr>
              <w:t>分，本项满分</w:t>
            </w:r>
            <w:r>
              <w:rPr>
                <w:rFonts w:hint="eastAsia" w:ascii="宋体" w:eastAsia="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lang w:val="zh-CN"/>
              </w:rPr>
              <w:t>分。</w:t>
            </w:r>
          </w:p>
          <w:p w14:paraId="72BAA6EE">
            <w:pPr>
              <w:pStyle w:val="78"/>
              <w:spacing w:line="360" w:lineRule="auto"/>
              <w:ind w:left="0" w:leftChars="0" w:firstLine="0" w:firstLineChars="0"/>
              <w:rPr>
                <w:rFonts w:hint="eastAsia" w:ascii="宋体" w:hAnsi="宋体" w:eastAsia="宋体" w:cs="宋体"/>
                <w:bCs/>
                <w:color w:val="auto"/>
                <w:sz w:val="21"/>
                <w:szCs w:val="21"/>
                <w:highlight w:val="none"/>
                <w:u w:val="single"/>
                <w:lang w:val="zh-CN"/>
              </w:rPr>
            </w:pPr>
            <w:r>
              <w:rPr>
                <w:rFonts w:hint="eastAsia" w:ascii="宋体" w:hAnsi="宋体" w:eastAsia="宋体" w:cs="宋体"/>
                <w:b/>
                <w:bCs w:val="0"/>
                <w:color w:val="auto"/>
                <w:sz w:val="21"/>
                <w:szCs w:val="21"/>
                <w:highlight w:val="none"/>
                <w:u w:val="single"/>
                <w:lang w:val="en-US" w:eastAsia="zh-CN"/>
              </w:rPr>
              <w:t>注：①项目负责人业绩证明资料须提供合同（或协议书或中标通知书）关键页复印件，及与项目相关的发票（张数不限）复印件并加盖供应商公章。②时间以合同（或协议书或中标通知书）签订时间为准。③如提供的合同（或协议书或中标通知书）无法体现项目负责人的，可提供供应商另行出具的有效证明材料复印件并加盖供应商公章。④同一项目的业绩不能重复计分，如重复时按高分值计取。⑤本项目负责人应为注册于供应商本单位，不得同时受聘于两个或两个以上单位，须提供相关证书原件扫描件及供应商为其缴纳最近3个月（不含开标当月）社保证明，否则不得分。</w:t>
            </w:r>
          </w:p>
        </w:tc>
      </w:tr>
      <w:tr w14:paraId="6D1F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vMerge w:val="continue"/>
            <w:tcBorders>
              <w:left w:val="single" w:color="auto" w:sz="4" w:space="0"/>
              <w:bottom w:val="single" w:color="auto" w:sz="4" w:space="0"/>
              <w:right w:val="single" w:color="auto" w:sz="4" w:space="0"/>
            </w:tcBorders>
            <w:vAlign w:val="center"/>
          </w:tcPr>
          <w:p w14:paraId="49308016">
            <w:pPr>
              <w:pStyle w:val="78"/>
              <w:spacing w:line="360" w:lineRule="auto"/>
              <w:ind w:firstLine="0" w:firstLineChars="0"/>
              <w:jc w:val="center"/>
              <w:rPr>
                <w:rFonts w:hint="eastAsia" w:ascii="宋体" w:hAnsi="宋体" w:eastAsia="宋体" w:cs="宋体"/>
                <w:color w:val="auto"/>
                <w:sz w:val="21"/>
                <w:szCs w:val="21"/>
                <w:highlight w:val="none"/>
              </w:rPr>
            </w:pPr>
          </w:p>
        </w:tc>
        <w:tc>
          <w:tcPr>
            <w:tcW w:w="1609" w:type="dxa"/>
            <w:vMerge w:val="continue"/>
            <w:tcBorders>
              <w:left w:val="single" w:color="auto" w:sz="4" w:space="0"/>
              <w:bottom w:val="single" w:color="auto" w:sz="4" w:space="0"/>
              <w:right w:val="single" w:color="auto" w:sz="4" w:space="0"/>
            </w:tcBorders>
            <w:vAlign w:val="center"/>
          </w:tcPr>
          <w:p w14:paraId="790D14A0">
            <w:pPr>
              <w:pStyle w:val="78"/>
              <w:spacing w:line="360" w:lineRule="auto"/>
              <w:ind w:firstLine="0" w:firstLineChars="0"/>
              <w:jc w:val="center"/>
              <w:rPr>
                <w:rFonts w:hint="eastAsia" w:ascii="宋体" w:hAnsi="宋体" w:eastAsia="宋体" w:cs="宋体"/>
                <w:color w:val="auto"/>
                <w:sz w:val="21"/>
                <w:szCs w:val="21"/>
                <w:highlight w:val="none"/>
              </w:rPr>
            </w:pP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22D9CC17">
            <w:pPr>
              <w:pStyle w:val="78"/>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6186" w:type="dxa"/>
            <w:tcBorders>
              <w:top w:val="single" w:color="auto" w:sz="4" w:space="0"/>
              <w:left w:val="single" w:color="auto" w:sz="4" w:space="0"/>
              <w:bottom w:val="single" w:color="auto" w:sz="4" w:space="0"/>
              <w:right w:val="single" w:color="auto" w:sz="4" w:space="0"/>
            </w:tcBorders>
            <w:vAlign w:val="center"/>
          </w:tcPr>
          <w:p w14:paraId="2247FD35">
            <w:pPr>
              <w:pStyle w:val="78"/>
              <w:spacing w:line="360" w:lineRule="auto"/>
              <w:ind w:left="0" w:leftChars="0" w:firstLine="0" w:firstLineChars="0"/>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其他投入人员（不含项目负责人）：</w:t>
            </w:r>
          </w:p>
          <w:p w14:paraId="7DC7336D">
            <w:pPr>
              <w:pStyle w:val="78"/>
              <w:spacing w:line="360" w:lineRule="auto"/>
              <w:ind w:left="0" w:leftChars="0" w:firstLine="0" w:firstLineChars="0"/>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本项目拟投入人员具有高级工程师职称每人得0.5分，本项满分2分。</w:t>
            </w:r>
          </w:p>
          <w:p w14:paraId="15D6E9B1">
            <w:pPr>
              <w:pStyle w:val="78"/>
              <w:spacing w:line="360" w:lineRule="auto"/>
              <w:ind w:left="0" w:leftChars="0" w:firstLine="0" w:firstLineChars="0"/>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
                <w:bCs w:val="0"/>
                <w:color w:val="auto"/>
                <w:sz w:val="21"/>
                <w:szCs w:val="21"/>
                <w:highlight w:val="none"/>
                <w:u w:val="single"/>
                <w:lang w:val="en-US" w:eastAsia="zh-CN"/>
              </w:rPr>
              <w:t>注：本项目拟投入人员应为注册于供应商本单位，不得同时受聘于两个或两个以上单位，须提供相关证书原件扫描件及供应商为其缴纳最近3个月（不含开标当月）社保证明，否则不得分。</w:t>
            </w:r>
          </w:p>
        </w:tc>
      </w:tr>
      <w:tr w14:paraId="26A1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7" w:type="dxa"/>
            <w:gridSpan w:val="5"/>
            <w:tcBorders>
              <w:top w:val="single" w:color="auto" w:sz="4" w:space="0"/>
              <w:left w:val="single" w:color="auto" w:sz="4" w:space="0"/>
              <w:bottom w:val="single" w:color="auto" w:sz="4" w:space="0"/>
              <w:right w:val="single" w:color="auto" w:sz="4" w:space="0"/>
            </w:tcBorders>
            <w:vAlign w:val="center"/>
          </w:tcPr>
          <w:p w14:paraId="7E2F0663">
            <w:pPr>
              <w:pStyle w:val="78"/>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技术评审（</w:t>
            </w:r>
            <w:r>
              <w:rPr>
                <w:rFonts w:hint="eastAsia" w:ascii="宋体" w:hAnsi="宋体" w:eastAsia="宋体" w:cs="宋体"/>
                <w:b/>
                <w:bCs/>
                <w:color w:val="auto"/>
                <w:sz w:val="21"/>
                <w:szCs w:val="21"/>
                <w:highlight w:val="none"/>
                <w:lang w:val="en-US" w:eastAsia="zh-CN"/>
              </w:rPr>
              <w:t>50</w:t>
            </w:r>
            <w:r>
              <w:rPr>
                <w:rFonts w:hint="eastAsia" w:ascii="宋体" w:hAnsi="宋体" w:eastAsia="宋体" w:cs="宋体"/>
                <w:b/>
                <w:bCs/>
                <w:color w:val="auto"/>
                <w:sz w:val="21"/>
                <w:szCs w:val="21"/>
                <w:highlight w:val="none"/>
              </w:rPr>
              <w:t>分）</w:t>
            </w:r>
          </w:p>
        </w:tc>
      </w:tr>
      <w:tr w14:paraId="4DCD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7FB8C0A">
            <w:pPr>
              <w:pStyle w:val="78"/>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14:paraId="11B01B49">
            <w:pPr>
              <w:widowControl w:val="0"/>
              <w:adjustRightInd/>
              <w:snapToGrid/>
              <w:spacing w:line="360" w:lineRule="auto"/>
              <w:jc w:val="center"/>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kern w:val="2"/>
                <w:sz w:val="21"/>
                <w:szCs w:val="21"/>
                <w:highlight w:val="none"/>
                <w:u w:val="none"/>
                <w:lang w:val="en-US" w:eastAsia="zh-CN" w:bidi="ar-SA"/>
              </w:rPr>
              <w:t>对本检测项目的理解和分析</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389125D3">
            <w:pPr>
              <w:widowControl w:val="0"/>
              <w:adjustRightInd/>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6186" w:type="dxa"/>
            <w:tcBorders>
              <w:top w:val="single" w:color="auto" w:sz="4" w:space="0"/>
              <w:left w:val="single" w:color="auto" w:sz="4" w:space="0"/>
              <w:bottom w:val="single" w:color="auto" w:sz="4" w:space="0"/>
              <w:right w:val="single" w:color="auto" w:sz="4" w:space="0"/>
            </w:tcBorders>
            <w:vAlign w:val="center"/>
          </w:tcPr>
          <w:p w14:paraId="661294A3">
            <w:pPr>
              <w:adjustRightInd/>
              <w:snapToGrid/>
              <w:spacing w:line="360" w:lineRule="auto"/>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bCs/>
                <w:color w:val="auto"/>
                <w:kern w:val="2"/>
                <w:sz w:val="21"/>
                <w:szCs w:val="21"/>
                <w:highlight w:val="none"/>
                <w:u w:val="none"/>
                <w:lang w:val="en-US" w:eastAsia="zh-CN" w:bidi="ar-SA"/>
              </w:rPr>
              <w:t>根据供应商对本检测项目的理解和分析进行</w:t>
            </w:r>
            <w:r>
              <w:rPr>
                <w:rFonts w:hint="eastAsia" w:ascii="宋体" w:hAnsi="宋体" w:eastAsia="宋体" w:cs="宋体"/>
                <w:color w:val="auto"/>
                <w:sz w:val="21"/>
                <w:szCs w:val="21"/>
                <w:highlight w:val="none"/>
                <w:u w:val="none"/>
                <w:lang w:val="zh-CN"/>
              </w:rPr>
              <w:t>评审</w:t>
            </w:r>
            <w:r>
              <w:rPr>
                <w:rFonts w:hint="eastAsia" w:ascii="宋体" w:hAnsi="宋体" w:eastAsia="宋体" w:cs="宋体"/>
                <w:bCs/>
                <w:color w:val="auto"/>
                <w:kern w:val="2"/>
                <w:sz w:val="21"/>
                <w:szCs w:val="21"/>
                <w:highlight w:val="none"/>
                <w:u w:val="none"/>
                <w:lang w:val="en-US" w:eastAsia="zh-CN" w:bidi="ar-SA"/>
              </w:rPr>
              <w:t>：</w:t>
            </w:r>
          </w:p>
          <w:p w14:paraId="7282487F">
            <w:pPr>
              <w:adjustRightInd/>
              <w:snapToGrid/>
              <w:spacing w:line="360" w:lineRule="auto"/>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bCs/>
                <w:color w:val="auto"/>
                <w:kern w:val="2"/>
                <w:sz w:val="21"/>
                <w:szCs w:val="21"/>
                <w:highlight w:val="none"/>
                <w:u w:val="none"/>
                <w:lang w:val="en-US" w:eastAsia="zh-CN" w:bidi="ar-SA"/>
              </w:rPr>
              <w:t>优:对本检测项目的理解和分析准确、透彻，基础资料调查详尽、清晰及完整的，得10分；</w:t>
            </w:r>
          </w:p>
          <w:p w14:paraId="61F9B044">
            <w:pPr>
              <w:adjustRightInd/>
              <w:snapToGrid/>
              <w:spacing w:line="360" w:lineRule="auto"/>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bCs/>
                <w:color w:val="auto"/>
                <w:kern w:val="2"/>
                <w:sz w:val="21"/>
                <w:szCs w:val="21"/>
                <w:highlight w:val="none"/>
                <w:u w:val="none"/>
                <w:lang w:val="en-US" w:eastAsia="zh-CN" w:bidi="ar-SA"/>
              </w:rPr>
              <w:t>良:对本检测项目的理解和分析正确、完整，基础资料调查齐全、基本清晰及完整的，得7分；</w:t>
            </w:r>
          </w:p>
          <w:p w14:paraId="204EA813">
            <w:pPr>
              <w:adjustRightInd/>
              <w:snapToGrid/>
              <w:spacing w:line="360" w:lineRule="auto"/>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bCs/>
                <w:color w:val="auto"/>
                <w:kern w:val="2"/>
                <w:sz w:val="21"/>
                <w:szCs w:val="21"/>
                <w:highlight w:val="none"/>
                <w:u w:val="none"/>
                <w:lang w:val="en-US" w:eastAsia="zh-CN" w:bidi="ar-SA"/>
              </w:rPr>
              <w:t>中:对本检测项目的理解和分析基本正确，基础资料调查有缺漏、不完整的，得3分；</w:t>
            </w:r>
          </w:p>
          <w:p w14:paraId="22DD297E">
            <w:pPr>
              <w:adjustRightInd/>
              <w:snapToGrid/>
              <w:spacing w:line="360" w:lineRule="auto"/>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bCs/>
                <w:color w:val="auto"/>
                <w:kern w:val="2"/>
                <w:sz w:val="21"/>
                <w:szCs w:val="21"/>
                <w:highlight w:val="none"/>
                <w:u w:val="none"/>
                <w:lang w:val="en-US" w:eastAsia="zh-CN" w:bidi="ar-SA"/>
              </w:rPr>
              <w:t>差:对本检测项目的理解和分析不正确，未提供基础资料调查的，得1分；</w:t>
            </w:r>
          </w:p>
          <w:p w14:paraId="0981368A">
            <w:pPr>
              <w:adjustRightInd/>
              <w:snapToGrid/>
              <w:spacing w:line="360" w:lineRule="auto"/>
              <w:rPr>
                <w:rFonts w:hint="eastAsia" w:ascii="宋体" w:hAnsi="宋体" w:eastAsia="宋体" w:cs="宋体"/>
                <w:color w:val="auto"/>
                <w:sz w:val="21"/>
                <w:szCs w:val="21"/>
                <w:highlight w:val="none"/>
                <w:lang w:val="en-US" w:bidi="ar-SA"/>
              </w:rPr>
            </w:pPr>
            <w:r>
              <w:rPr>
                <w:rFonts w:hint="eastAsia" w:ascii="宋体" w:hAnsi="宋体" w:eastAsia="宋体" w:cs="宋体"/>
                <w:bCs/>
                <w:color w:val="auto"/>
                <w:kern w:val="2"/>
                <w:sz w:val="21"/>
                <w:szCs w:val="21"/>
                <w:highlight w:val="none"/>
                <w:u w:val="none"/>
                <w:lang w:val="en-US" w:eastAsia="zh-CN" w:bidi="ar-SA"/>
              </w:rPr>
              <w:t>未提供不得分。</w:t>
            </w:r>
          </w:p>
        </w:tc>
      </w:tr>
      <w:tr w14:paraId="788D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D643227">
            <w:pPr>
              <w:pStyle w:val="78"/>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09" w:type="dxa"/>
            <w:tcBorders>
              <w:top w:val="single" w:color="auto" w:sz="4" w:space="0"/>
              <w:left w:val="single" w:color="auto" w:sz="4" w:space="0"/>
              <w:bottom w:val="single" w:color="auto" w:sz="4" w:space="0"/>
              <w:right w:val="single" w:color="auto" w:sz="4" w:space="0"/>
            </w:tcBorders>
            <w:vAlign w:val="center"/>
          </w:tcPr>
          <w:p w14:paraId="5DA1EF08">
            <w:pPr>
              <w:widowControl w:val="0"/>
              <w:adjustRightInd/>
              <w:snapToGrid/>
              <w:spacing w:line="360" w:lineRule="auto"/>
              <w:jc w:val="center"/>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检测方法、措施</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332FAF72">
            <w:pPr>
              <w:widowControl w:val="0"/>
              <w:adjustRightInd/>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6186" w:type="dxa"/>
            <w:tcBorders>
              <w:top w:val="single" w:color="auto" w:sz="4" w:space="0"/>
              <w:left w:val="single" w:color="auto" w:sz="4" w:space="0"/>
              <w:bottom w:val="single" w:color="auto" w:sz="4" w:space="0"/>
              <w:right w:val="single" w:color="auto" w:sz="4" w:space="0"/>
            </w:tcBorders>
            <w:vAlign w:val="center"/>
          </w:tcPr>
          <w:p w14:paraId="77B2FDFE">
            <w:pPr>
              <w:pStyle w:val="21"/>
              <w:spacing w:line="360" w:lineRule="auto"/>
              <w:ind w:left="0" w:leftChars="0" w:firstLine="0" w:firstLineChars="0"/>
              <w:jc w:val="both"/>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u w:val="none"/>
                <w:lang w:val="zh-CN"/>
              </w:rPr>
              <w:t>根据</w:t>
            </w:r>
            <w:r>
              <w:rPr>
                <w:rFonts w:hint="eastAsia" w:ascii="宋体" w:hAnsi="宋体" w:eastAsia="宋体" w:cs="宋体"/>
                <w:b w:val="0"/>
                <w:bCs w:val="0"/>
                <w:color w:val="auto"/>
                <w:kern w:val="2"/>
                <w:sz w:val="21"/>
                <w:szCs w:val="21"/>
                <w:highlight w:val="none"/>
                <w:u w:val="none"/>
                <w:lang w:val="en-US" w:eastAsia="zh-CN" w:bidi="ar-SA"/>
              </w:rPr>
              <w:t>供应商</w:t>
            </w:r>
            <w:r>
              <w:rPr>
                <w:rFonts w:hint="eastAsia" w:ascii="宋体" w:hAnsi="宋体" w:eastAsia="宋体" w:cs="宋体"/>
                <w:b w:val="0"/>
                <w:bCs w:val="0"/>
                <w:color w:val="auto"/>
                <w:sz w:val="21"/>
                <w:szCs w:val="21"/>
                <w:highlight w:val="none"/>
                <w:u w:val="none"/>
                <w:lang w:val="en-US" w:eastAsia="zh-CN"/>
              </w:rPr>
              <w:t>制定</w:t>
            </w:r>
            <w:r>
              <w:rPr>
                <w:rFonts w:hint="eastAsia" w:ascii="宋体" w:hAnsi="宋体" w:eastAsia="宋体" w:cs="宋体"/>
                <w:b w:val="0"/>
                <w:bCs w:val="0"/>
                <w:color w:val="auto"/>
                <w:sz w:val="21"/>
                <w:szCs w:val="21"/>
                <w:highlight w:val="none"/>
                <w:u w:val="none"/>
                <w:lang w:val="zh-CN"/>
              </w:rPr>
              <w:t>的检测方法、措施等</w:t>
            </w:r>
            <w:r>
              <w:rPr>
                <w:rFonts w:hint="eastAsia" w:ascii="宋体" w:hAnsi="宋体" w:eastAsia="宋体" w:cs="宋体"/>
                <w:b w:val="0"/>
                <w:bCs w:val="0"/>
                <w:color w:val="auto"/>
                <w:kern w:val="2"/>
                <w:sz w:val="21"/>
                <w:szCs w:val="21"/>
                <w:highlight w:val="none"/>
                <w:u w:val="none"/>
                <w:lang w:val="en-US" w:eastAsia="zh-CN" w:bidi="ar-SA"/>
              </w:rPr>
              <w:t>进行</w:t>
            </w:r>
            <w:r>
              <w:rPr>
                <w:rFonts w:hint="eastAsia" w:ascii="宋体" w:hAnsi="宋体" w:eastAsia="宋体" w:cs="宋体"/>
                <w:b w:val="0"/>
                <w:bCs w:val="0"/>
                <w:color w:val="auto"/>
                <w:sz w:val="21"/>
                <w:szCs w:val="21"/>
                <w:highlight w:val="none"/>
                <w:u w:val="none"/>
                <w:lang w:val="zh-CN"/>
              </w:rPr>
              <w:t>评审：</w:t>
            </w:r>
          </w:p>
          <w:p w14:paraId="6F1D3853">
            <w:p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优:制定的检测方法、措施可行性、完备性高，方案所采用的设计思路、技术路线、措施先进，得</w:t>
            </w: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lang w:val="zh-CN"/>
              </w:rPr>
              <w:t>分；</w:t>
            </w:r>
          </w:p>
          <w:p w14:paraId="23821751">
            <w:p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良:制定的检测方法、措施可行性、完备性较高，方案所采用的的设计思路、技术路线、措施合理，得</w:t>
            </w: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lang w:val="zh-CN"/>
              </w:rPr>
              <w:t>分；</w:t>
            </w:r>
          </w:p>
          <w:p w14:paraId="6C1A17CD">
            <w:p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中:制定的检测方法、措施可行性、完备性一般，得</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val="zh-CN"/>
              </w:rPr>
              <w:t>分；</w:t>
            </w:r>
          </w:p>
          <w:p w14:paraId="43513C91">
            <w:p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差:制定的检测方法、措施可行性、完备性差，得</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val="zh-CN"/>
              </w:rPr>
              <w:t>分；</w:t>
            </w:r>
          </w:p>
          <w:p w14:paraId="722B898D">
            <w:pPr>
              <w:adjustRightInd/>
              <w:snapToGrid/>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none"/>
                <w:lang w:val="zh-CN"/>
              </w:rPr>
              <w:t>未提供不得分。</w:t>
            </w:r>
          </w:p>
        </w:tc>
      </w:tr>
      <w:tr w14:paraId="6070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17116D6">
            <w:pPr>
              <w:pStyle w:val="78"/>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vAlign w:val="center"/>
          </w:tcPr>
          <w:p w14:paraId="343C1591">
            <w:pPr>
              <w:widowControl w:val="0"/>
              <w:adjustRightInd/>
              <w:snapToGrid/>
              <w:spacing w:line="360" w:lineRule="auto"/>
              <w:jc w:val="center"/>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none"/>
                <w:lang w:eastAsia="zh-CN"/>
              </w:rPr>
              <w:t>进度控制措施</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3166A30C">
            <w:pPr>
              <w:widowControl w:val="0"/>
              <w:adjustRightInd/>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6186" w:type="dxa"/>
            <w:tcBorders>
              <w:top w:val="single" w:color="auto" w:sz="4" w:space="0"/>
              <w:left w:val="single" w:color="auto" w:sz="4" w:space="0"/>
              <w:bottom w:val="single" w:color="auto" w:sz="4" w:space="0"/>
              <w:right w:val="single" w:color="auto" w:sz="4" w:space="0"/>
            </w:tcBorders>
            <w:vAlign w:val="center"/>
          </w:tcPr>
          <w:p w14:paraId="1E015F0C">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根据</w:t>
            </w: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lang w:val="zh-CN"/>
              </w:rPr>
              <w:t>制定的进度措施控制措施进行评审：</w:t>
            </w:r>
          </w:p>
          <w:p w14:paraId="0430CF91">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优:进度控制措施可行性、完备性高，进度保证高效，得</w:t>
            </w: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lang w:val="zh-CN"/>
              </w:rPr>
              <w:t>分；</w:t>
            </w:r>
          </w:p>
          <w:p w14:paraId="133E710C">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良:进度控制措施可行性、完备性较高，进度保证较高效，得</w:t>
            </w: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lang w:val="zh-CN"/>
              </w:rPr>
              <w:t>分；</w:t>
            </w:r>
          </w:p>
          <w:p w14:paraId="15C2A71F">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中:进度控制措施可行性、完备性一般，进度保证一般，得</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val="zh-CN"/>
              </w:rPr>
              <w:t>分；</w:t>
            </w:r>
          </w:p>
          <w:p w14:paraId="482697EA">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差:进度控制措施可行性、完备性较差，进度保证较差，得</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val="zh-CN"/>
              </w:rPr>
              <w:t>分；</w:t>
            </w:r>
          </w:p>
          <w:p w14:paraId="4B6CBB51">
            <w:pPr>
              <w:pStyle w:val="147"/>
              <w:numPr>
                <w:ilvl w:val="0"/>
                <w:numId w:val="0"/>
              </w:numPr>
              <w:adjustRightInd/>
              <w:snapToGrid/>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none"/>
                <w:lang w:val="zh-CN"/>
              </w:rPr>
              <w:t>未提供不得分。</w:t>
            </w:r>
          </w:p>
        </w:tc>
      </w:tr>
      <w:tr w14:paraId="3A94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1CFFC0B">
            <w:pPr>
              <w:pStyle w:val="78"/>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vAlign w:val="center"/>
          </w:tcPr>
          <w:p w14:paraId="5AD5650F">
            <w:pPr>
              <w:widowControl w:val="0"/>
              <w:adjustRightInd/>
              <w:snapToGrid/>
              <w:spacing w:line="360" w:lineRule="auto"/>
              <w:jc w:val="center"/>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none"/>
                <w:lang w:eastAsia="zh-CN"/>
              </w:rPr>
              <w:t>质量控制</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322EF033">
            <w:pPr>
              <w:widowControl w:val="0"/>
              <w:adjustRightInd/>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6186" w:type="dxa"/>
            <w:tcBorders>
              <w:top w:val="single" w:color="auto" w:sz="4" w:space="0"/>
              <w:left w:val="single" w:color="auto" w:sz="4" w:space="0"/>
              <w:bottom w:val="single" w:color="auto" w:sz="4" w:space="0"/>
              <w:right w:val="single" w:color="auto" w:sz="4" w:space="0"/>
            </w:tcBorders>
            <w:vAlign w:val="center"/>
          </w:tcPr>
          <w:p w14:paraId="5D577BC9">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bidi="ar-SA"/>
              </w:rPr>
            </w:pPr>
            <w:r>
              <w:rPr>
                <w:rFonts w:hint="eastAsia" w:ascii="宋体" w:hAnsi="宋体" w:eastAsia="宋体" w:cs="宋体"/>
                <w:color w:val="auto"/>
                <w:sz w:val="21"/>
                <w:szCs w:val="21"/>
                <w:highlight w:val="none"/>
                <w:u w:val="none"/>
                <w:lang w:val="zh-CN" w:bidi="ar-SA"/>
              </w:rPr>
              <w:t>根据</w:t>
            </w:r>
            <w:r>
              <w:rPr>
                <w:rFonts w:hint="eastAsia" w:ascii="宋体" w:hAnsi="宋体" w:eastAsia="宋体" w:cs="宋体"/>
                <w:color w:val="auto"/>
                <w:sz w:val="21"/>
                <w:szCs w:val="21"/>
                <w:highlight w:val="none"/>
                <w:u w:val="none"/>
                <w:lang w:val="en-US" w:eastAsia="zh-CN" w:bidi="ar-SA"/>
              </w:rPr>
              <w:t>供应商</w:t>
            </w:r>
            <w:r>
              <w:rPr>
                <w:rFonts w:hint="eastAsia" w:ascii="宋体" w:hAnsi="宋体" w:eastAsia="宋体" w:cs="宋体"/>
                <w:color w:val="auto"/>
                <w:sz w:val="21"/>
                <w:szCs w:val="21"/>
                <w:highlight w:val="none"/>
                <w:u w:val="none"/>
                <w:lang w:val="zh-CN" w:bidi="ar-SA"/>
              </w:rPr>
              <w:t>制定的质量控制措施等进行评审：</w:t>
            </w:r>
          </w:p>
          <w:p w14:paraId="11508E5B">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bidi="ar-SA"/>
              </w:rPr>
            </w:pPr>
            <w:r>
              <w:rPr>
                <w:rFonts w:hint="eastAsia" w:ascii="宋体" w:hAnsi="宋体" w:eastAsia="宋体" w:cs="宋体"/>
                <w:color w:val="auto"/>
                <w:sz w:val="21"/>
                <w:szCs w:val="21"/>
                <w:highlight w:val="none"/>
                <w:u w:val="none"/>
                <w:lang w:val="zh-CN" w:bidi="ar-SA"/>
              </w:rPr>
              <w:t>优:质量控制措施可行性、完备性高，质量要求高，得</w:t>
            </w:r>
            <w:r>
              <w:rPr>
                <w:rFonts w:hint="eastAsia" w:ascii="宋体" w:hAnsi="宋体" w:eastAsia="宋体" w:cs="宋体"/>
                <w:color w:val="auto"/>
                <w:sz w:val="21"/>
                <w:szCs w:val="21"/>
                <w:highlight w:val="none"/>
                <w:u w:val="none"/>
                <w:lang w:val="en-US" w:eastAsia="zh-CN" w:bidi="ar-SA"/>
              </w:rPr>
              <w:t>10</w:t>
            </w:r>
            <w:r>
              <w:rPr>
                <w:rFonts w:hint="eastAsia" w:ascii="宋体" w:hAnsi="宋体" w:eastAsia="宋体" w:cs="宋体"/>
                <w:color w:val="auto"/>
                <w:sz w:val="21"/>
                <w:szCs w:val="21"/>
                <w:highlight w:val="none"/>
                <w:u w:val="none"/>
                <w:lang w:val="zh-CN" w:bidi="ar-SA"/>
              </w:rPr>
              <w:t>分；</w:t>
            </w:r>
          </w:p>
          <w:p w14:paraId="68140F15">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bidi="ar-SA"/>
              </w:rPr>
            </w:pPr>
            <w:r>
              <w:rPr>
                <w:rFonts w:hint="eastAsia" w:ascii="宋体" w:hAnsi="宋体" w:eastAsia="宋体" w:cs="宋体"/>
                <w:color w:val="auto"/>
                <w:sz w:val="21"/>
                <w:szCs w:val="21"/>
                <w:highlight w:val="none"/>
                <w:u w:val="none"/>
                <w:lang w:val="zh-CN" w:bidi="ar-SA"/>
              </w:rPr>
              <w:t>良:质量控制措施可行性、完备性较高，质量要求较高，得</w:t>
            </w:r>
            <w:r>
              <w:rPr>
                <w:rFonts w:hint="eastAsia" w:ascii="宋体" w:hAnsi="宋体" w:eastAsia="宋体" w:cs="宋体"/>
                <w:color w:val="auto"/>
                <w:sz w:val="21"/>
                <w:szCs w:val="21"/>
                <w:highlight w:val="none"/>
                <w:u w:val="none"/>
                <w:lang w:val="en-US" w:eastAsia="zh-CN" w:bidi="ar-SA"/>
              </w:rPr>
              <w:t>7</w:t>
            </w:r>
            <w:r>
              <w:rPr>
                <w:rFonts w:hint="eastAsia" w:ascii="宋体" w:hAnsi="宋体" w:eastAsia="宋体" w:cs="宋体"/>
                <w:color w:val="auto"/>
                <w:sz w:val="21"/>
                <w:szCs w:val="21"/>
                <w:highlight w:val="none"/>
                <w:u w:val="none"/>
                <w:lang w:val="zh-CN" w:bidi="ar-SA"/>
              </w:rPr>
              <w:t>分；</w:t>
            </w:r>
          </w:p>
          <w:p w14:paraId="3238FBFE">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bidi="ar-SA"/>
              </w:rPr>
            </w:pPr>
            <w:r>
              <w:rPr>
                <w:rFonts w:hint="eastAsia" w:ascii="宋体" w:hAnsi="宋体" w:eastAsia="宋体" w:cs="宋体"/>
                <w:color w:val="auto"/>
                <w:sz w:val="21"/>
                <w:szCs w:val="21"/>
                <w:highlight w:val="none"/>
                <w:u w:val="none"/>
                <w:lang w:val="zh-CN" w:bidi="ar-SA"/>
              </w:rPr>
              <w:t>中:质量控制措施可行性、完备性一般，质量要求一般，得</w:t>
            </w:r>
            <w:r>
              <w:rPr>
                <w:rFonts w:hint="eastAsia" w:ascii="宋体" w:hAnsi="宋体" w:eastAsia="宋体" w:cs="宋体"/>
                <w:color w:val="auto"/>
                <w:sz w:val="21"/>
                <w:szCs w:val="21"/>
                <w:highlight w:val="none"/>
                <w:u w:val="none"/>
                <w:lang w:val="en-US" w:eastAsia="zh-CN" w:bidi="ar-SA"/>
              </w:rPr>
              <w:t>3</w:t>
            </w:r>
            <w:r>
              <w:rPr>
                <w:rFonts w:hint="eastAsia" w:ascii="宋体" w:hAnsi="宋体" w:eastAsia="宋体" w:cs="宋体"/>
                <w:color w:val="auto"/>
                <w:sz w:val="21"/>
                <w:szCs w:val="21"/>
                <w:highlight w:val="none"/>
                <w:u w:val="none"/>
                <w:lang w:val="zh-CN" w:bidi="ar-SA"/>
              </w:rPr>
              <w:t>分；</w:t>
            </w:r>
          </w:p>
          <w:p w14:paraId="3927509C">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bidi="ar-SA"/>
              </w:rPr>
            </w:pPr>
            <w:r>
              <w:rPr>
                <w:rFonts w:hint="eastAsia" w:ascii="宋体" w:hAnsi="宋体" w:eastAsia="宋体" w:cs="宋体"/>
                <w:color w:val="auto"/>
                <w:sz w:val="21"/>
                <w:szCs w:val="21"/>
                <w:highlight w:val="none"/>
                <w:u w:val="none"/>
                <w:lang w:val="zh-CN" w:bidi="ar-SA"/>
              </w:rPr>
              <w:t>差:质量控制措施可行性、完备性较差，质量要求较低，得</w:t>
            </w:r>
            <w:r>
              <w:rPr>
                <w:rFonts w:hint="eastAsia" w:ascii="宋体" w:hAnsi="宋体" w:eastAsia="宋体" w:cs="宋体"/>
                <w:color w:val="auto"/>
                <w:sz w:val="21"/>
                <w:szCs w:val="21"/>
                <w:highlight w:val="none"/>
                <w:u w:val="none"/>
                <w:lang w:val="en-US" w:eastAsia="zh-CN" w:bidi="ar-SA"/>
              </w:rPr>
              <w:t>1</w:t>
            </w:r>
            <w:r>
              <w:rPr>
                <w:rFonts w:hint="eastAsia" w:ascii="宋体" w:hAnsi="宋体" w:eastAsia="宋体" w:cs="宋体"/>
                <w:color w:val="auto"/>
                <w:sz w:val="21"/>
                <w:szCs w:val="21"/>
                <w:highlight w:val="none"/>
                <w:u w:val="none"/>
                <w:lang w:val="zh-CN" w:bidi="ar-SA"/>
              </w:rPr>
              <w:t>分；</w:t>
            </w:r>
          </w:p>
          <w:p w14:paraId="6AF879D0">
            <w:pPr>
              <w:pStyle w:val="147"/>
              <w:numPr>
                <w:ilvl w:val="0"/>
                <w:numId w:val="0"/>
              </w:numPr>
              <w:adjustRightInd/>
              <w:snapToGrid/>
              <w:spacing w:line="360" w:lineRule="auto"/>
              <w:rPr>
                <w:rFonts w:hint="eastAsia" w:ascii="宋体" w:hAnsi="宋体" w:eastAsia="宋体" w:cs="宋体"/>
                <w:color w:val="auto"/>
                <w:sz w:val="21"/>
                <w:szCs w:val="21"/>
                <w:highlight w:val="none"/>
                <w:u w:val="single"/>
                <w:lang w:eastAsia="zh-CN" w:bidi="ar-SA"/>
              </w:rPr>
            </w:pPr>
            <w:r>
              <w:rPr>
                <w:rFonts w:hint="eastAsia" w:ascii="宋体" w:hAnsi="宋体" w:eastAsia="宋体" w:cs="宋体"/>
                <w:color w:val="auto"/>
                <w:sz w:val="21"/>
                <w:szCs w:val="21"/>
                <w:highlight w:val="none"/>
                <w:u w:val="none"/>
                <w:lang w:val="zh-CN"/>
              </w:rPr>
              <w:t>未提供不得分。</w:t>
            </w:r>
          </w:p>
        </w:tc>
      </w:tr>
      <w:tr w14:paraId="43A0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131062B">
            <w:pPr>
              <w:pStyle w:val="78"/>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09" w:type="dxa"/>
            <w:tcBorders>
              <w:top w:val="single" w:color="auto" w:sz="4" w:space="0"/>
              <w:left w:val="single" w:color="auto" w:sz="4" w:space="0"/>
              <w:bottom w:val="single" w:color="auto" w:sz="4" w:space="0"/>
              <w:right w:val="single" w:color="auto" w:sz="4" w:space="0"/>
            </w:tcBorders>
            <w:vAlign w:val="center"/>
          </w:tcPr>
          <w:p w14:paraId="14B691A6">
            <w:pPr>
              <w:widowControl w:val="0"/>
              <w:adjustRightInd/>
              <w:snapToGrid/>
              <w:spacing w:line="360" w:lineRule="auto"/>
              <w:jc w:val="center"/>
              <w:rPr>
                <w:rFonts w:hint="eastAsia" w:ascii="宋体" w:hAnsi="宋体" w:eastAsia="宋体" w:cs="宋体"/>
                <w:color w:val="auto"/>
                <w:spacing w:val="2"/>
                <w:sz w:val="21"/>
                <w:szCs w:val="21"/>
                <w:highlight w:val="none"/>
                <w:u w:val="single"/>
                <w:lang w:eastAsia="zh-CN"/>
              </w:rPr>
            </w:pPr>
            <w:r>
              <w:rPr>
                <w:rFonts w:hint="eastAsia" w:ascii="宋体" w:hAnsi="宋体" w:eastAsia="宋体" w:cs="宋体"/>
                <w:color w:val="auto"/>
                <w:spacing w:val="2"/>
                <w:sz w:val="21"/>
                <w:szCs w:val="21"/>
                <w:highlight w:val="none"/>
                <w:u w:val="none"/>
                <w:lang w:eastAsia="zh-CN"/>
              </w:rPr>
              <w:t>信息管理</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3A96C9E5">
            <w:pPr>
              <w:widowControl w:val="0"/>
              <w:adjustRightInd/>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6186" w:type="dxa"/>
            <w:tcBorders>
              <w:top w:val="single" w:color="auto" w:sz="4" w:space="0"/>
              <w:left w:val="single" w:color="auto" w:sz="4" w:space="0"/>
              <w:bottom w:val="single" w:color="auto" w:sz="4" w:space="0"/>
              <w:right w:val="single" w:color="auto" w:sz="4" w:space="0"/>
            </w:tcBorders>
            <w:vAlign w:val="center"/>
          </w:tcPr>
          <w:p w14:paraId="64F98C9B">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根据</w:t>
            </w: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lang w:val="zh-CN"/>
              </w:rPr>
              <w:t>提供的信息管理方案进行评审：</w:t>
            </w:r>
          </w:p>
          <w:p w14:paraId="7F1F98C4">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优:信息管理规范完整，措施有力合理，得</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val="zh-CN"/>
              </w:rPr>
              <w:t>分；</w:t>
            </w:r>
          </w:p>
          <w:p w14:paraId="7DD2F637">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良:信息管理较规范完整，措施较有力，得</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val="zh-CN"/>
              </w:rPr>
              <w:t>分；</w:t>
            </w:r>
          </w:p>
          <w:p w14:paraId="18A40BD5">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差:信息管理规范性一般，完整性一般，措施合理性一般，得</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val="zh-CN"/>
              </w:rPr>
              <w:t>分；</w:t>
            </w:r>
          </w:p>
          <w:p w14:paraId="174677DB">
            <w:pPr>
              <w:pStyle w:val="147"/>
              <w:numPr>
                <w:ilvl w:val="0"/>
                <w:numId w:val="0"/>
              </w:numPr>
              <w:adjustRightInd/>
              <w:snapToGrid/>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zh-CN"/>
              </w:rPr>
              <w:t>未提供不得分。</w:t>
            </w:r>
          </w:p>
        </w:tc>
      </w:tr>
      <w:tr w14:paraId="3FC0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770E8CF">
            <w:pPr>
              <w:pStyle w:val="78"/>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609" w:type="dxa"/>
            <w:tcBorders>
              <w:top w:val="single" w:color="auto" w:sz="4" w:space="0"/>
              <w:left w:val="single" w:color="auto" w:sz="4" w:space="0"/>
              <w:bottom w:val="single" w:color="auto" w:sz="4" w:space="0"/>
              <w:right w:val="single" w:color="auto" w:sz="4" w:space="0"/>
            </w:tcBorders>
            <w:vAlign w:val="center"/>
          </w:tcPr>
          <w:p w14:paraId="46F1F208">
            <w:pPr>
              <w:widowControl w:val="0"/>
              <w:adjustRightInd/>
              <w:snapToGrid/>
              <w:spacing w:line="360" w:lineRule="auto"/>
              <w:jc w:val="center"/>
              <w:rPr>
                <w:rFonts w:hint="eastAsia" w:ascii="宋体" w:hAnsi="宋体" w:eastAsia="宋体" w:cs="宋体"/>
                <w:color w:val="auto"/>
                <w:spacing w:val="2"/>
                <w:sz w:val="21"/>
                <w:szCs w:val="21"/>
                <w:highlight w:val="none"/>
                <w:u w:val="none"/>
                <w:lang w:eastAsia="zh-CN"/>
              </w:rPr>
            </w:pPr>
            <w:r>
              <w:rPr>
                <w:rFonts w:hint="eastAsia" w:ascii="宋体" w:hAnsi="宋体" w:eastAsia="宋体" w:cs="宋体"/>
                <w:color w:val="auto"/>
                <w:spacing w:val="2"/>
                <w:sz w:val="21"/>
                <w:szCs w:val="21"/>
                <w:highlight w:val="none"/>
                <w:u w:val="none"/>
                <w:lang w:eastAsia="zh-CN"/>
              </w:rPr>
              <w:t>安全文明生产及环保措施</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01604389">
            <w:pPr>
              <w:widowControl w:val="0"/>
              <w:adjustRightInd/>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6186" w:type="dxa"/>
            <w:tcBorders>
              <w:top w:val="single" w:color="auto" w:sz="4" w:space="0"/>
              <w:left w:val="single" w:color="auto" w:sz="4" w:space="0"/>
              <w:bottom w:val="single" w:color="auto" w:sz="4" w:space="0"/>
              <w:right w:val="single" w:color="auto" w:sz="4" w:space="0"/>
            </w:tcBorders>
            <w:vAlign w:val="center"/>
          </w:tcPr>
          <w:p w14:paraId="7AC12493">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根据</w:t>
            </w: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lang w:val="zh-CN"/>
              </w:rPr>
              <w:t>提供的安全文明生产及环保措施进</w:t>
            </w:r>
            <w:r>
              <w:rPr>
                <w:rFonts w:hint="eastAsia" w:ascii="宋体" w:hAnsi="宋体" w:eastAsia="宋体" w:cs="宋体"/>
                <w:bCs/>
                <w:color w:val="auto"/>
                <w:kern w:val="2"/>
                <w:sz w:val="21"/>
                <w:szCs w:val="21"/>
                <w:highlight w:val="none"/>
                <w:u w:val="none"/>
                <w:lang w:val="en-US" w:eastAsia="zh-CN" w:bidi="ar-SA"/>
              </w:rPr>
              <w:t>行</w:t>
            </w:r>
            <w:r>
              <w:rPr>
                <w:rFonts w:hint="eastAsia" w:ascii="宋体" w:hAnsi="宋体" w:eastAsia="宋体" w:cs="宋体"/>
                <w:color w:val="auto"/>
                <w:sz w:val="21"/>
                <w:szCs w:val="21"/>
                <w:highlight w:val="none"/>
                <w:u w:val="none"/>
                <w:lang w:val="zh-CN"/>
              </w:rPr>
              <w:t>综合评审：</w:t>
            </w:r>
          </w:p>
          <w:p w14:paraId="1783E78E">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优:安全文明生产及环保措施完善，措施有力合理，责任分明，得</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val="zh-CN"/>
              </w:rPr>
              <w:t>分；</w:t>
            </w:r>
          </w:p>
          <w:p w14:paraId="08431705">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良:安全文明生产及环保措施基本完善，措施较有力，责任较明确，得</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val="zh-CN"/>
              </w:rPr>
              <w:t>分；</w:t>
            </w:r>
          </w:p>
          <w:p w14:paraId="6C6122C6">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差:安全文明生产及环保措施完善性一般，措施合理性一般，责任划分模糊，得</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val="zh-CN"/>
              </w:rPr>
              <w:t>分；</w:t>
            </w:r>
          </w:p>
          <w:p w14:paraId="13C05831">
            <w:pPr>
              <w:pStyle w:val="147"/>
              <w:numPr>
                <w:ilvl w:val="0"/>
                <w:numId w:val="0"/>
              </w:numPr>
              <w:adjustRightInd/>
              <w:snapToGrid/>
              <w:spacing w:line="360" w:lineRule="auto"/>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lang w:val="zh-CN"/>
              </w:rPr>
              <w:t>未提供不得分。</w:t>
            </w:r>
          </w:p>
        </w:tc>
      </w:tr>
      <w:tr w14:paraId="1387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47" w:type="dxa"/>
            <w:gridSpan w:val="5"/>
            <w:tcBorders>
              <w:top w:val="single" w:color="auto" w:sz="4" w:space="0"/>
              <w:left w:val="single" w:color="auto" w:sz="4" w:space="0"/>
              <w:bottom w:val="single" w:color="auto" w:sz="4" w:space="0"/>
              <w:right w:val="single" w:color="auto" w:sz="4" w:space="0"/>
            </w:tcBorders>
            <w:vAlign w:val="center"/>
          </w:tcPr>
          <w:p w14:paraId="69BAC9AF">
            <w:pPr>
              <w:widowControl w:val="0"/>
              <w:tabs>
                <w:tab w:val="left" w:pos="907"/>
              </w:tabs>
              <w:adjustRightInd/>
              <w:snapToGrid/>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1C6CE279">
            <w:pPr>
              <w:widowControl w:val="0"/>
              <w:tabs>
                <w:tab w:val="left" w:pos="907"/>
              </w:tabs>
              <w:adjustRightInd/>
              <w:snapToGrid/>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（1）无特殊说明外，以上评审项，同一证明文件不重复计分。</w:t>
            </w:r>
          </w:p>
          <w:p w14:paraId="2693894C">
            <w:pPr>
              <w:widowControl w:val="0"/>
              <w:tabs>
                <w:tab w:val="left" w:pos="907"/>
              </w:tabs>
              <w:adjustRightInd/>
              <w:snapToGrid/>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根据以上评分要求提供的投标材料因模糊不清导致</w:t>
            </w:r>
            <w:r>
              <w:rPr>
                <w:rFonts w:hint="eastAsia" w:ascii="宋体" w:hAnsi="宋体" w:eastAsia="宋体" w:cs="宋体"/>
                <w:b/>
                <w:color w:val="auto"/>
                <w:sz w:val="21"/>
                <w:szCs w:val="21"/>
                <w:highlight w:val="none"/>
                <w:lang w:eastAsia="zh-CN"/>
              </w:rPr>
              <w:t>磋商小组</w:t>
            </w:r>
            <w:r>
              <w:rPr>
                <w:rFonts w:hint="eastAsia" w:ascii="宋体" w:hAnsi="宋体" w:eastAsia="宋体" w:cs="宋体"/>
                <w:b/>
                <w:color w:val="auto"/>
                <w:sz w:val="21"/>
                <w:szCs w:val="21"/>
                <w:highlight w:val="none"/>
              </w:rPr>
              <w:t>无法清晰辨认进行评审的，视为无效材料。</w:t>
            </w:r>
          </w:p>
          <w:p w14:paraId="43DA9851">
            <w:pPr>
              <w:widowControl w:val="0"/>
              <w:tabs>
                <w:tab w:val="left" w:pos="907"/>
              </w:tabs>
              <w:adjustRightInd/>
              <w:snapToGrid/>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（3）若因疫情原因暂缓统一托收或阶段性减免社会保险费而导致无法打印社保缴费证明的需提供书面说明并加盖</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公章。</w:t>
            </w:r>
          </w:p>
        </w:tc>
      </w:tr>
      <w:tr w14:paraId="5964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247" w:type="dxa"/>
            <w:gridSpan w:val="5"/>
            <w:tcBorders>
              <w:top w:val="single" w:color="auto" w:sz="4" w:space="0"/>
              <w:left w:val="single" w:color="auto" w:sz="4" w:space="0"/>
              <w:bottom w:val="single" w:color="auto" w:sz="4" w:space="0"/>
              <w:right w:val="single" w:color="auto" w:sz="4" w:space="0"/>
            </w:tcBorders>
            <w:vAlign w:val="center"/>
          </w:tcPr>
          <w:p w14:paraId="3169E767">
            <w:pPr>
              <w:pStyle w:val="78"/>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u w:val="none"/>
              </w:rPr>
              <w:t>价格评审（</w:t>
            </w:r>
            <w:r>
              <w:rPr>
                <w:rFonts w:hint="eastAsia" w:ascii="宋体" w:hAnsi="宋体" w:eastAsia="宋体" w:cs="宋体"/>
                <w:b/>
                <w:bCs/>
                <w:color w:val="auto"/>
                <w:sz w:val="21"/>
                <w:szCs w:val="21"/>
                <w:highlight w:val="none"/>
                <w:u w:val="none"/>
                <w:lang w:val="en-US" w:eastAsia="zh-CN"/>
              </w:rPr>
              <w:t>40</w:t>
            </w:r>
            <w:r>
              <w:rPr>
                <w:rFonts w:hint="eastAsia" w:ascii="宋体" w:hAnsi="宋体" w:eastAsia="宋体" w:cs="宋体"/>
                <w:b/>
                <w:bCs/>
                <w:color w:val="auto"/>
                <w:sz w:val="21"/>
                <w:szCs w:val="21"/>
                <w:highlight w:val="none"/>
                <w:u w:val="none"/>
              </w:rPr>
              <w:t>分）</w:t>
            </w:r>
          </w:p>
        </w:tc>
      </w:tr>
      <w:tr w14:paraId="628C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DD1ABC0">
            <w:pPr>
              <w:pStyle w:val="78"/>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14:paraId="6B3956F8">
            <w:pPr>
              <w:widowControl w:val="0"/>
              <w:adjustRightInd/>
              <w:snapToGrid/>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投标总价</w:t>
            </w:r>
          </w:p>
        </w:tc>
        <w:tc>
          <w:tcPr>
            <w:tcW w:w="734" w:type="dxa"/>
            <w:tcBorders>
              <w:top w:val="single" w:color="auto" w:sz="4" w:space="0"/>
              <w:left w:val="single" w:color="auto" w:sz="4" w:space="0"/>
              <w:bottom w:val="single" w:color="auto" w:sz="4" w:space="0"/>
              <w:right w:val="single" w:color="auto" w:sz="4" w:space="0"/>
            </w:tcBorders>
            <w:vAlign w:val="center"/>
          </w:tcPr>
          <w:p w14:paraId="1414A24F">
            <w:pPr>
              <w:widowControl w:val="0"/>
              <w:adjustRightInd/>
              <w:snapToGrid/>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40分</w:t>
            </w:r>
          </w:p>
        </w:tc>
        <w:tc>
          <w:tcPr>
            <w:tcW w:w="6214" w:type="dxa"/>
            <w:gridSpan w:val="2"/>
            <w:tcBorders>
              <w:top w:val="single" w:color="auto" w:sz="4" w:space="0"/>
              <w:left w:val="single" w:color="auto" w:sz="4" w:space="0"/>
              <w:bottom w:val="single" w:color="auto" w:sz="4" w:space="0"/>
              <w:right w:val="single" w:color="auto" w:sz="4" w:space="0"/>
            </w:tcBorders>
            <w:vAlign w:val="center"/>
          </w:tcPr>
          <w:p w14:paraId="24A01ED7">
            <w:pPr>
              <w:widowControl w:val="0"/>
              <w:adjustRightInd/>
              <w:snapToGri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价格分计算方法：满足</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文件要求且投标价格（基础检测服务收费系数）最低的投标报价为评标基准价，其价格分为满分。其他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的价格分统一按照下列公式计算：投标报价得分=(评标基准价／投标报价)×价格权重×100。</w:t>
            </w:r>
          </w:p>
        </w:tc>
      </w:tr>
    </w:tbl>
    <w:p w14:paraId="7919E045">
      <w:pPr>
        <w:widowControl/>
        <w:shd w:val="clear"/>
        <w:tabs>
          <w:tab w:val="left" w:pos="907"/>
        </w:tabs>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p>
    <w:p w14:paraId="1A34FAD0">
      <w:pPr>
        <w:widowControl/>
        <w:shd w:val="clear"/>
        <w:tabs>
          <w:tab w:val="left" w:pos="907"/>
        </w:tabs>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（1）上证明文件均提供加盖公章复印件。</w:t>
      </w:r>
    </w:p>
    <w:p w14:paraId="6E77C362">
      <w:pPr>
        <w:widowControl/>
        <w:shd w:val="clear"/>
        <w:tabs>
          <w:tab w:val="left" w:pos="907"/>
        </w:tabs>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若开标当日磋商小组需要查看以上证明文件原件，供应商请在接到通知后规定时间内携带原件到达评标会场，接受核查，如因迟到或是其他原因不能携原件到达现场接受检查，其造成的所有后果供应商自行承担。</w:t>
      </w:r>
    </w:p>
    <w:p w14:paraId="2C673313">
      <w:pPr>
        <w:widowControl/>
        <w:shd w:val="clea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（3）若成交将在发放成交通知书前逐一核对核查原件，请勿提供虚假、过期材料，否则将依据相关规定严肃处理。</w:t>
      </w:r>
    </w:p>
    <w:p w14:paraId="60FECC3F">
      <w:pPr>
        <w:pStyle w:val="29"/>
        <w:shd w:val="clear"/>
        <w:spacing w:line="360" w:lineRule="auto"/>
        <w:ind w:firstLine="422" w:firstLineChars="200"/>
        <w:rPr>
          <w:rFonts w:hint="eastAsia" w:ascii="宋体" w:hAnsi="宋体" w:eastAsia="宋体" w:cs="宋体"/>
          <w:b/>
          <w:color w:val="auto"/>
          <w:szCs w:val="21"/>
          <w:highlight w:val="none"/>
        </w:rPr>
      </w:pPr>
    </w:p>
    <w:p w14:paraId="1644EFE5">
      <w:pPr>
        <w:pStyle w:val="29"/>
        <w:shd w:val="clear"/>
        <w:spacing w:line="360" w:lineRule="auto"/>
        <w:ind w:firstLine="422" w:firstLineChars="200"/>
        <w:outlineLvl w:val="0"/>
        <w:rPr>
          <w:rFonts w:hint="eastAsia" w:ascii="宋体" w:hAnsi="宋体" w:eastAsia="宋体" w:cs="宋体"/>
          <w:b/>
          <w:color w:val="auto"/>
          <w:szCs w:val="21"/>
          <w:highlight w:val="none"/>
        </w:rPr>
      </w:pPr>
      <w:bookmarkStart w:id="171" w:name="_Toc15603"/>
      <w:r>
        <w:rPr>
          <w:rFonts w:hint="eastAsia" w:ascii="宋体" w:hAnsi="宋体" w:eastAsia="宋体" w:cs="宋体"/>
          <w:b/>
          <w:color w:val="auto"/>
          <w:szCs w:val="21"/>
          <w:highlight w:val="none"/>
        </w:rPr>
        <w:t>四、技术评审</w:t>
      </w:r>
      <w:bookmarkEnd w:id="171"/>
    </w:p>
    <w:p w14:paraId="28AAE1C3">
      <w:pPr>
        <w:shd w:val="clea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1.由磋商小组对所有响应文件的技术部分响应和指标进行审核和分析；对响应文件中文字、图纸说明和指标响应进行评分，填写《技术评分表》。</w:t>
      </w:r>
    </w:p>
    <w:p w14:paraId="2379BD63">
      <w:pPr>
        <w:pStyle w:val="29"/>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按评标标准独立对技术标进行评审，得出技术标评分。当磋商小组为五人时，在所有评委对同一份投标文件技术标评审的总评分中，去掉一个最高分和一个最低分，计算剩余总评分的算术平均值即为该供应商技术标的最终综合得分；当磋商小组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供应商技术部分的最终综合得分。</w:t>
      </w:r>
    </w:p>
    <w:p w14:paraId="1AF6290F">
      <w:pPr>
        <w:pStyle w:val="29"/>
        <w:shd w:val="clear"/>
        <w:spacing w:line="360" w:lineRule="auto"/>
        <w:ind w:firstLine="422" w:firstLineChars="200"/>
        <w:rPr>
          <w:rFonts w:hint="eastAsia" w:ascii="宋体" w:hAnsi="宋体" w:eastAsia="宋体" w:cs="宋体"/>
          <w:b/>
          <w:color w:val="auto"/>
          <w:szCs w:val="21"/>
          <w:highlight w:val="none"/>
        </w:rPr>
      </w:pPr>
    </w:p>
    <w:p w14:paraId="12E09484">
      <w:pPr>
        <w:pStyle w:val="29"/>
        <w:shd w:val="clear"/>
        <w:spacing w:line="360" w:lineRule="auto"/>
        <w:ind w:firstLine="422" w:firstLineChars="200"/>
        <w:outlineLvl w:val="0"/>
        <w:rPr>
          <w:rFonts w:hint="eastAsia" w:ascii="宋体" w:hAnsi="宋体" w:eastAsia="宋体" w:cs="宋体"/>
          <w:b/>
          <w:color w:val="auto"/>
          <w:szCs w:val="21"/>
          <w:highlight w:val="none"/>
        </w:rPr>
      </w:pPr>
      <w:bookmarkStart w:id="172" w:name="_Toc4394"/>
      <w:r>
        <w:rPr>
          <w:rFonts w:hint="eastAsia" w:ascii="宋体" w:hAnsi="宋体" w:eastAsia="宋体" w:cs="宋体"/>
          <w:b/>
          <w:color w:val="auto"/>
          <w:szCs w:val="21"/>
          <w:highlight w:val="none"/>
        </w:rPr>
        <w:t>五、商务评审</w:t>
      </w:r>
      <w:bookmarkEnd w:id="172"/>
    </w:p>
    <w:p w14:paraId="3B16CA32">
      <w:pPr>
        <w:pStyle w:val="29"/>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1.由磋商小组评价每个供应商的商务条件，填写《商务评分表》。</w:t>
      </w:r>
    </w:p>
    <w:p w14:paraId="11308D31">
      <w:pPr>
        <w:pStyle w:val="29"/>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2.将每一个磋商小组成员的评分汇总，取其算术平均值，为该供应商的商务得分。</w:t>
      </w:r>
    </w:p>
    <w:p w14:paraId="7F9673FB">
      <w:pPr>
        <w:pStyle w:val="29"/>
        <w:shd w:val="clear"/>
        <w:spacing w:line="360" w:lineRule="auto"/>
        <w:ind w:firstLine="422" w:firstLineChars="200"/>
        <w:rPr>
          <w:rFonts w:hint="eastAsia" w:ascii="宋体" w:hAnsi="宋体" w:eastAsia="宋体" w:cs="宋体"/>
          <w:b/>
          <w:color w:val="auto"/>
          <w:szCs w:val="21"/>
          <w:highlight w:val="none"/>
        </w:rPr>
      </w:pPr>
    </w:p>
    <w:p w14:paraId="33122996">
      <w:pPr>
        <w:pStyle w:val="29"/>
        <w:shd w:val="clear"/>
        <w:spacing w:line="360" w:lineRule="auto"/>
        <w:ind w:firstLine="422" w:firstLineChars="200"/>
        <w:outlineLvl w:val="0"/>
        <w:rPr>
          <w:rFonts w:hint="eastAsia" w:ascii="宋体" w:hAnsi="宋体" w:eastAsia="宋体" w:cs="宋体"/>
          <w:b/>
          <w:color w:val="auto"/>
          <w:szCs w:val="21"/>
          <w:highlight w:val="none"/>
        </w:rPr>
      </w:pPr>
      <w:bookmarkStart w:id="173" w:name="_Toc19007"/>
      <w:r>
        <w:rPr>
          <w:rFonts w:hint="eastAsia" w:ascii="宋体" w:hAnsi="宋体" w:eastAsia="宋体" w:cs="宋体"/>
          <w:b/>
          <w:color w:val="auto"/>
          <w:szCs w:val="21"/>
          <w:highlight w:val="none"/>
        </w:rPr>
        <w:t>六、报价评审</w:t>
      </w:r>
      <w:bookmarkEnd w:id="173"/>
    </w:p>
    <w:p w14:paraId="158FFBA5">
      <w:pPr>
        <w:shd w:val="clear"/>
        <w:tabs>
          <w:tab w:val="left" w:pos="136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1.价格核准：磋商小组对有效供应商的详细报价进行复核，审查是否有计算上的错误或供货范围上的错误。对错误修正的原则如下：</w:t>
      </w:r>
    </w:p>
    <w:p w14:paraId="22666F48">
      <w:pPr>
        <w:shd w:val="clear"/>
        <w:tabs>
          <w:tab w:val="left" w:pos="1365"/>
          <w:tab w:val="left" w:pos="147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1.1响应文件的大写金额和小写金额不一致的，以大写金额为准；</w:t>
      </w:r>
    </w:p>
    <w:p w14:paraId="029B47F0">
      <w:pPr>
        <w:shd w:val="clear"/>
        <w:tabs>
          <w:tab w:val="left" w:pos="1365"/>
          <w:tab w:val="left" w:pos="147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1.2当单价和数量的乘积与总价不一致时，以单价为准，并修正总价，但单价金额小数点有明显错误的除外；</w:t>
      </w:r>
    </w:p>
    <w:p w14:paraId="05F995A5">
      <w:pPr>
        <w:shd w:val="clear"/>
        <w:tabs>
          <w:tab w:val="left" w:pos="1365"/>
          <w:tab w:val="left" w:pos="147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1.3当分项之和与总价不一致时，以单价为准，并修正总价。</w:t>
      </w:r>
    </w:p>
    <w:p w14:paraId="650AC08E">
      <w:pPr>
        <w:shd w:val="clear"/>
        <w:tabs>
          <w:tab w:val="left" w:pos="136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2.价格评分：</w:t>
      </w:r>
    </w:p>
    <w:p w14:paraId="1A49734A">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将磋商小组修正后的入围供应商的磋商报价，以最后报价最低的供应商的价格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为磋商基准价，定基准价的价格评分。其他磋商报价得分＝价格评分×(磋商基准价／最后磋商报价)。由此算出各供应商的报价得分。</w:t>
      </w:r>
    </w:p>
    <w:p w14:paraId="2F7907FB">
      <w:pPr>
        <w:pStyle w:val="29"/>
        <w:shd w:val="clear"/>
        <w:tabs>
          <w:tab w:val="left" w:pos="1365"/>
        </w:tabs>
        <w:spacing w:line="360" w:lineRule="auto"/>
        <w:ind w:left="16" w:firstLine="422" w:firstLineChars="200"/>
        <w:rPr>
          <w:rFonts w:hint="eastAsia" w:ascii="宋体" w:hAnsi="宋体" w:eastAsia="宋体" w:cs="宋体"/>
          <w:b/>
          <w:color w:val="auto"/>
          <w:szCs w:val="21"/>
          <w:highlight w:val="none"/>
        </w:rPr>
      </w:pPr>
    </w:p>
    <w:p w14:paraId="14BF1866">
      <w:pPr>
        <w:pStyle w:val="29"/>
        <w:shd w:val="clear"/>
        <w:tabs>
          <w:tab w:val="left" w:pos="1365"/>
        </w:tabs>
        <w:spacing w:line="360" w:lineRule="auto"/>
        <w:ind w:left="16" w:firstLine="422" w:firstLineChars="200"/>
        <w:outlineLvl w:val="0"/>
        <w:rPr>
          <w:rFonts w:hint="eastAsia" w:ascii="宋体" w:hAnsi="宋体" w:eastAsia="宋体" w:cs="宋体"/>
          <w:b/>
          <w:color w:val="auto"/>
          <w:szCs w:val="21"/>
          <w:highlight w:val="none"/>
        </w:rPr>
      </w:pPr>
      <w:bookmarkStart w:id="174" w:name="_Toc3331"/>
      <w:r>
        <w:rPr>
          <w:rFonts w:hint="eastAsia" w:ascii="宋体" w:hAnsi="宋体" w:eastAsia="宋体" w:cs="宋体"/>
          <w:b/>
          <w:color w:val="auto"/>
          <w:szCs w:val="21"/>
          <w:highlight w:val="none"/>
        </w:rPr>
        <w:t>七、综合得分的计算</w:t>
      </w:r>
      <w:bookmarkEnd w:id="174"/>
    </w:p>
    <w:p w14:paraId="661BEA35">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1.综合得分=技术评审得分+商务评审得分+磋商报价得分。</w:t>
      </w:r>
    </w:p>
    <w:p w14:paraId="150FC734">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综合得分从高到低排出名次，总分第一名为第一成交候选供应商，第二名为第二成交候选供应商，第三名为第三成交候选供应商（综合得分相同的，按磋商报价得分顺序推荐；综合得分相同且磋商报价得分相同的，按技术得分顺序排列）。</w:t>
      </w:r>
    </w:p>
    <w:p w14:paraId="088E9013">
      <w:pPr>
        <w:shd w:val="clear"/>
        <w:rPr>
          <w:rFonts w:hint="eastAsia" w:ascii="宋体" w:hAnsi="宋体" w:eastAsia="宋体" w:cs="宋体"/>
          <w:color w:val="auto"/>
          <w:highlight w:val="none"/>
          <w:lang w:val="zh-CN"/>
        </w:rPr>
      </w:pPr>
    </w:p>
    <w:p w14:paraId="62AA4AFC">
      <w:pPr>
        <w:pStyle w:val="4"/>
        <w:keepNext/>
        <w:keepLines/>
        <w:pageBreakBefore/>
        <w:numPr>
          <w:ilvl w:val="0"/>
          <w:numId w:val="11"/>
        </w:numPr>
        <w:shd w:val="clear"/>
        <w:spacing w:line="360" w:lineRule="auto"/>
        <w:jc w:val="center"/>
        <w:rPr>
          <w:rFonts w:hint="eastAsia" w:ascii="宋体" w:hAnsi="宋体" w:eastAsia="宋体" w:cs="宋体"/>
          <w:b/>
          <w:bCs/>
          <w:color w:val="auto"/>
          <w:highlight w:val="none"/>
        </w:rPr>
      </w:pPr>
      <w:bookmarkStart w:id="175" w:name="_Toc3360"/>
      <w:bookmarkStart w:id="176" w:name="_Toc15636"/>
      <w:bookmarkStart w:id="177" w:name="_Toc8470"/>
      <w:bookmarkStart w:id="178" w:name="_Toc9129"/>
      <w:bookmarkStart w:id="179" w:name="_Toc396137242"/>
      <w:r>
        <w:rPr>
          <w:rFonts w:hint="eastAsia" w:ascii="宋体" w:hAnsi="宋体" w:eastAsia="宋体" w:cs="宋体"/>
          <w:b/>
          <w:bCs/>
          <w:color w:val="auto"/>
          <w:kern w:val="44"/>
          <w:sz w:val="28"/>
          <w:szCs w:val="28"/>
          <w:highlight w:val="none"/>
          <w:lang w:val="zh-CN"/>
        </w:rPr>
        <w:t>合同条款格式</w:t>
      </w:r>
      <w:bookmarkEnd w:id="175"/>
      <w:bookmarkEnd w:id="176"/>
    </w:p>
    <w:p w14:paraId="10885CA0">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color w:val="auto"/>
          <w:sz w:val="52"/>
          <w:highlight w:val="none"/>
        </w:rPr>
      </w:pPr>
      <w:r>
        <w:rPr>
          <w:rFonts w:hint="eastAsia" w:ascii="宋体" w:hAnsi="宋体" w:eastAsia="宋体" w:cs="宋体"/>
          <w:b/>
          <w:color w:val="auto"/>
          <w:sz w:val="52"/>
          <w:highlight w:val="none"/>
          <w:lang w:val="en-US" w:eastAsia="zh-CN"/>
        </w:rPr>
        <w:t>大岭山大塘村优质产业空间项目（南地块）一期</w:t>
      </w:r>
      <w:r>
        <w:rPr>
          <w:rFonts w:hint="eastAsia" w:ascii="宋体" w:hAnsi="宋体" w:eastAsia="宋体" w:cs="宋体"/>
          <w:b/>
          <w:color w:val="auto"/>
          <w:sz w:val="52"/>
          <w:highlight w:val="none"/>
        </w:rPr>
        <w:t>项目</w:t>
      </w:r>
      <w:r>
        <w:rPr>
          <w:rFonts w:hint="eastAsia" w:ascii="宋体" w:hAnsi="宋体" w:eastAsia="宋体" w:cs="宋体"/>
          <w:b/>
          <w:color w:val="auto"/>
          <w:sz w:val="52"/>
          <w:highlight w:val="none"/>
          <w:lang w:eastAsia="zh-CN"/>
        </w:rPr>
        <w:t>基础</w:t>
      </w:r>
      <w:r>
        <w:rPr>
          <w:rFonts w:hint="eastAsia" w:ascii="宋体" w:hAnsi="宋体" w:eastAsia="宋体" w:cs="宋体"/>
          <w:b/>
          <w:color w:val="auto"/>
          <w:sz w:val="52"/>
          <w:highlight w:val="none"/>
        </w:rPr>
        <w:t>检测服务合同</w:t>
      </w:r>
    </w:p>
    <w:p w14:paraId="743F9320">
      <w:pPr>
        <w:pStyle w:val="21"/>
        <w:keepNext w:val="0"/>
        <w:keepLines w:val="0"/>
        <w:pageBreakBefore w:val="0"/>
        <w:kinsoku/>
        <w:wordWrap/>
        <w:overflowPunct/>
        <w:topLinePunct w:val="0"/>
        <w:bidi w:val="0"/>
        <w:ind w:left="1680" w:right="1680"/>
        <w:textAlignment w:val="auto"/>
        <w:outlineLvl w:val="9"/>
        <w:rPr>
          <w:rFonts w:hint="eastAsia" w:ascii="宋体" w:hAnsi="宋体" w:eastAsia="宋体" w:cs="宋体"/>
          <w:b w:val="0"/>
          <w:color w:val="auto"/>
          <w:sz w:val="52"/>
          <w:highlight w:val="none"/>
        </w:rPr>
      </w:pPr>
    </w:p>
    <w:p w14:paraId="429ACBF4">
      <w:pPr>
        <w:pStyle w:val="51"/>
        <w:keepNext w:val="0"/>
        <w:keepLines w:val="0"/>
        <w:pageBreakBefore w:val="0"/>
        <w:kinsoku/>
        <w:wordWrap/>
        <w:overflowPunct/>
        <w:topLinePunct w:val="0"/>
        <w:bidi w:val="0"/>
        <w:textAlignment w:val="auto"/>
        <w:outlineLvl w:val="9"/>
        <w:rPr>
          <w:rFonts w:hint="eastAsia" w:ascii="宋体" w:hAnsi="宋体" w:eastAsia="宋体" w:cs="宋体"/>
          <w:b w:val="0"/>
          <w:color w:val="auto"/>
          <w:sz w:val="52"/>
          <w:highlight w:val="none"/>
        </w:rPr>
      </w:pPr>
    </w:p>
    <w:p w14:paraId="2D89328D">
      <w:pPr>
        <w:pStyle w:val="51"/>
        <w:keepNext w:val="0"/>
        <w:keepLines w:val="0"/>
        <w:pageBreakBefore w:val="0"/>
        <w:kinsoku/>
        <w:wordWrap/>
        <w:overflowPunct/>
        <w:topLinePunct w:val="0"/>
        <w:bidi w:val="0"/>
        <w:textAlignment w:val="auto"/>
        <w:outlineLvl w:val="9"/>
        <w:rPr>
          <w:rFonts w:hint="eastAsia" w:ascii="宋体" w:hAnsi="宋体" w:eastAsia="宋体" w:cs="宋体"/>
          <w:b w:val="0"/>
          <w:color w:val="auto"/>
          <w:sz w:val="52"/>
          <w:highlight w:val="none"/>
        </w:rPr>
      </w:pPr>
    </w:p>
    <w:p w14:paraId="26F36C96">
      <w:pPr>
        <w:pStyle w:val="51"/>
        <w:keepNext w:val="0"/>
        <w:keepLines w:val="0"/>
        <w:pageBreakBefore w:val="0"/>
        <w:kinsoku/>
        <w:wordWrap/>
        <w:overflowPunct/>
        <w:topLinePunct w:val="0"/>
        <w:bidi w:val="0"/>
        <w:textAlignment w:val="auto"/>
        <w:outlineLvl w:val="9"/>
        <w:rPr>
          <w:rFonts w:hint="eastAsia" w:ascii="宋体" w:hAnsi="宋体" w:eastAsia="宋体" w:cs="宋体"/>
          <w:b w:val="0"/>
          <w:color w:val="auto"/>
          <w:sz w:val="52"/>
          <w:highlight w:val="none"/>
        </w:rPr>
      </w:pPr>
    </w:p>
    <w:p w14:paraId="5B15624F">
      <w:pPr>
        <w:pStyle w:val="51"/>
        <w:keepNext w:val="0"/>
        <w:keepLines w:val="0"/>
        <w:pageBreakBefore w:val="0"/>
        <w:kinsoku/>
        <w:wordWrap/>
        <w:overflowPunct/>
        <w:topLinePunct w:val="0"/>
        <w:bidi w:val="0"/>
        <w:textAlignment w:val="auto"/>
        <w:outlineLvl w:val="9"/>
        <w:rPr>
          <w:rFonts w:hint="eastAsia" w:ascii="宋体" w:hAnsi="宋体" w:eastAsia="宋体" w:cs="宋体"/>
          <w:b w:val="0"/>
          <w:color w:val="auto"/>
          <w:sz w:val="52"/>
          <w:highlight w:val="none"/>
        </w:rPr>
      </w:pPr>
    </w:p>
    <w:p w14:paraId="764049C6">
      <w:pPr>
        <w:pStyle w:val="21"/>
        <w:keepNext w:val="0"/>
        <w:keepLines w:val="0"/>
        <w:pageBreakBefore w:val="0"/>
        <w:kinsoku/>
        <w:wordWrap/>
        <w:overflowPunct/>
        <w:topLinePunct w:val="0"/>
        <w:bidi w:val="0"/>
        <w:spacing w:before="10"/>
        <w:ind w:left="1680" w:right="1680"/>
        <w:textAlignment w:val="auto"/>
        <w:outlineLvl w:val="9"/>
        <w:rPr>
          <w:rFonts w:hint="eastAsia" w:ascii="宋体" w:hAnsi="宋体" w:eastAsia="宋体" w:cs="宋体"/>
          <w:b w:val="0"/>
          <w:color w:val="auto"/>
          <w:sz w:val="60"/>
          <w:highlight w:val="none"/>
        </w:rPr>
      </w:pPr>
    </w:p>
    <w:p w14:paraId="238EFD38">
      <w:pPr>
        <w:keepNext w:val="0"/>
        <w:keepLines w:val="0"/>
        <w:pageBreakBefore w:val="0"/>
        <w:kinsoku/>
        <w:wordWrap/>
        <w:overflowPunct/>
        <w:topLinePunct w:val="0"/>
        <w:bidi w:val="0"/>
        <w:spacing w:line="360" w:lineRule="auto"/>
        <w:ind w:left="991" w:leftChars="413"/>
        <w:textAlignment w:val="auto"/>
        <w:outlineLvl w:val="9"/>
        <w:rPr>
          <w:rFonts w:hint="eastAsia" w:ascii="宋体" w:hAnsi="宋体" w:eastAsia="宋体" w:cs="宋体"/>
          <w:b/>
          <w:color w:val="auto"/>
          <w:sz w:val="28"/>
          <w:szCs w:val="28"/>
          <w:highlight w:val="none"/>
          <w:u w:val="single"/>
          <w:lang w:val="en-US"/>
        </w:rPr>
      </w:pPr>
      <w:r>
        <w:rPr>
          <w:rFonts w:hint="eastAsia" w:ascii="宋体" w:hAnsi="宋体" w:eastAsia="宋体" w:cs="宋体"/>
          <w:b/>
          <w:color w:val="auto"/>
          <w:sz w:val="28"/>
          <w:szCs w:val="28"/>
          <w:highlight w:val="none"/>
        </w:rPr>
        <w:t>项目名称：</w:t>
      </w:r>
      <w:r>
        <w:rPr>
          <w:rFonts w:hint="eastAsia" w:ascii="宋体" w:hAnsi="宋体" w:eastAsia="宋体" w:cs="宋体"/>
          <w:b/>
          <w:bCs w:val="0"/>
          <w:color w:val="auto"/>
          <w:sz w:val="28"/>
          <w:szCs w:val="28"/>
          <w:highlight w:val="none"/>
          <w:lang w:val="en-US" w:eastAsia="zh-CN"/>
        </w:rPr>
        <w:t>大岭山大塘村优质产业空间项目（南地块）一期</w:t>
      </w:r>
      <w:r>
        <w:rPr>
          <w:rFonts w:hint="eastAsia" w:ascii="宋体" w:hAnsi="宋体" w:eastAsia="宋体" w:cs="宋体"/>
          <w:b/>
          <w:bCs w:val="0"/>
          <w:color w:val="auto"/>
          <w:sz w:val="28"/>
          <w:szCs w:val="28"/>
          <w:highlight w:val="none"/>
        </w:rPr>
        <w:t>项目</w:t>
      </w:r>
    </w:p>
    <w:p w14:paraId="1272D3F8">
      <w:pPr>
        <w:keepNext w:val="0"/>
        <w:keepLines w:val="0"/>
        <w:pageBreakBefore w:val="0"/>
        <w:kinsoku/>
        <w:wordWrap/>
        <w:overflowPunct/>
        <w:topLinePunct w:val="0"/>
        <w:bidi w:val="0"/>
        <w:spacing w:line="360" w:lineRule="auto"/>
        <w:ind w:left="991" w:leftChars="413"/>
        <w:textAlignment w:val="auto"/>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项目地点：</w:t>
      </w:r>
      <w:r>
        <w:rPr>
          <w:rFonts w:hint="eastAsia" w:ascii="宋体" w:hAnsi="宋体" w:eastAsia="宋体" w:cs="宋体"/>
          <w:b/>
          <w:color w:val="auto"/>
          <w:sz w:val="28"/>
          <w:szCs w:val="28"/>
          <w:highlight w:val="none"/>
          <w:lang w:val="en-US" w:eastAsia="zh-CN"/>
        </w:rPr>
        <w:t>东莞市大岭山镇大塘村沿河</w:t>
      </w:r>
      <w:r>
        <w:rPr>
          <w:rFonts w:hint="eastAsia" w:hAnsi="宋体" w:cs="宋体"/>
          <w:b/>
          <w:color w:val="auto"/>
          <w:sz w:val="28"/>
          <w:szCs w:val="28"/>
          <w:highlight w:val="none"/>
          <w:lang w:val="en-US" w:eastAsia="zh-CN"/>
        </w:rPr>
        <w:t>街</w:t>
      </w:r>
      <w:r>
        <w:rPr>
          <w:rFonts w:hint="eastAsia" w:ascii="宋体" w:hAnsi="宋体" w:eastAsia="宋体" w:cs="宋体"/>
          <w:b/>
          <w:color w:val="auto"/>
          <w:sz w:val="28"/>
          <w:szCs w:val="28"/>
          <w:highlight w:val="none"/>
          <w:u w:val="single"/>
          <w:lang w:val="en-US" w:eastAsia="zh-CN"/>
        </w:rPr>
        <w:t xml:space="preserve">  </w:t>
      </w:r>
    </w:p>
    <w:p w14:paraId="03EFE8C8">
      <w:pPr>
        <w:keepNext w:val="0"/>
        <w:keepLines w:val="0"/>
        <w:pageBreakBefore w:val="0"/>
        <w:kinsoku/>
        <w:wordWrap/>
        <w:overflowPunct/>
        <w:topLinePunct w:val="0"/>
        <w:bidi w:val="0"/>
        <w:spacing w:line="360" w:lineRule="auto"/>
        <w:ind w:left="991" w:leftChars="413"/>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甲方（建设单位）：</w:t>
      </w:r>
      <w:r>
        <w:rPr>
          <w:rFonts w:hint="eastAsia" w:ascii="宋体" w:hAnsi="宋体" w:eastAsia="宋体" w:cs="宋体"/>
          <w:b/>
          <w:color w:val="auto"/>
          <w:sz w:val="28"/>
          <w:szCs w:val="28"/>
          <w:highlight w:val="none"/>
          <w:u w:val="single"/>
          <w:lang w:val="en-US"/>
        </w:rPr>
        <w:t xml:space="preserve">                            </w:t>
      </w:r>
      <w:r>
        <w:rPr>
          <w:rFonts w:hint="eastAsia" w:ascii="宋体" w:hAnsi="宋体" w:eastAsia="宋体" w:cs="宋体"/>
          <w:b/>
          <w:color w:val="auto"/>
          <w:sz w:val="28"/>
          <w:szCs w:val="28"/>
          <w:highlight w:val="none"/>
        </w:rPr>
        <w:t>（公章）</w:t>
      </w:r>
    </w:p>
    <w:p w14:paraId="43C5A3E3">
      <w:pPr>
        <w:keepNext w:val="0"/>
        <w:keepLines w:val="0"/>
        <w:pageBreakBefore w:val="0"/>
        <w:kinsoku/>
        <w:wordWrap/>
        <w:overflowPunct/>
        <w:topLinePunct w:val="0"/>
        <w:bidi w:val="0"/>
        <w:spacing w:line="360" w:lineRule="auto"/>
        <w:ind w:left="991" w:leftChars="413"/>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乙方（监测单位）：</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（公章）</w:t>
      </w:r>
    </w:p>
    <w:p w14:paraId="7D0B10DA">
      <w:pPr>
        <w:keepNext w:val="0"/>
        <w:keepLines w:val="0"/>
        <w:pageBreakBefore w:val="0"/>
        <w:kinsoku/>
        <w:wordWrap/>
        <w:overflowPunct/>
        <w:topLinePunct w:val="0"/>
        <w:bidi w:val="0"/>
        <w:spacing w:line="360" w:lineRule="auto"/>
        <w:ind w:left="991" w:leftChars="413"/>
        <w:textAlignment w:val="auto"/>
        <w:outlineLvl w:val="9"/>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签订日期：</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年   月   日</w:t>
      </w:r>
    </w:p>
    <w:p w14:paraId="7FFA3212">
      <w:pPr>
        <w:keepNext w:val="0"/>
        <w:keepLines w:val="0"/>
        <w:pageBreakBefore w:val="0"/>
        <w:kinsoku/>
        <w:wordWrap/>
        <w:overflowPunct/>
        <w:topLinePunct w:val="0"/>
        <w:bidi w:val="0"/>
        <w:spacing w:line="360" w:lineRule="auto"/>
        <w:ind w:left="991" w:leftChars="413"/>
        <w:textAlignment w:val="auto"/>
        <w:outlineLvl w:val="9"/>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签订地点：</w:t>
      </w:r>
      <w:r>
        <w:rPr>
          <w:rFonts w:hint="eastAsia" w:ascii="宋体" w:hAnsi="宋体" w:eastAsia="宋体" w:cs="宋体"/>
          <w:b/>
          <w:color w:val="auto"/>
          <w:sz w:val="28"/>
          <w:szCs w:val="28"/>
          <w:highlight w:val="none"/>
          <w:u w:val="single"/>
        </w:rPr>
        <w:t>东莞市</w:t>
      </w:r>
    </w:p>
    <w:p w14:paraId="096D79AB">
      <w:pPr>
        <w:keepNext w:val="0"/>
        <w:keepLines w:val="0"/>
        <w:pageBreakBefore w:val="0"/>
        <w:tabs>
          <w:tab w:val="left" w:pos="632"/>
          <w:tab w:val="left" w:pos="9240"/>
        </w:tabs>
        <w:kinsoku/>
        <w:wordWrap/>
        <w:overflowPunct/>
        <w:topLinePunct w:val="0"/>
        <w:bidi w:val="0"/>
        <w:spacing w:line="25" w:lineRule="atLeast"/>
        <w:ind w:left="646" w:leftChars="269"/>
        <w:textAlignment w:val="auto"/>
        <w:outlineLvl w:val="9"/>
        <w:rPr>
          <w:rFonts w:hint="eastAsia" w:ascii="宋体" w:hAnsi="宋体" w:eastAsia="宋体" w:cs="宋体"/>
          <w:bCs/>
          <w:color w:val="auto"/>
          <w:sz w:val="28"/>
          <w:szCs w:val="28"/>
          <w:highlight w:val="none"/>
        </w:rPr>
      </w:pPr>
    </w:p>
    <w:p w14:paraId="2F9B13BC">
      <w:pPr>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4E403241">
      <w:pPr>
        <w:keepNext w:val="0"/>
        <w:keepLines w:val="0"/>
        <w:pageBreakBefore w:val="0"/>
        <w:widowControl/>
        <w:kinsoku/>
        <w:wordWrap/>
        <w:overflowPunct/>
        <w:topLinePunct w:val="0"/>
        <w:bidi w:val="0"/>
        <w:jc w:val="center"/>
        <w:textAlignment w:val="auto"/>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大岭山大塘村优质产业空间项目（南地块）一期</w:t>
      </w:r>
      <w:r>
        <w:rPr>
          <w:rFonts w:hint="eastAsia" w:ascii="宋体" w:hAnsi="宋体" w:eastAsia="宋体" w:cs="宋体"/>
          <w:b/>
          <w:bCs/>
          <w:color w:val="auto"/>
          <w:sz w:val="36"/>
          <w:szCs w:val="36"/>
          <w:highlight w:val="none"/>
        </w:rPr>
        <w:t>项目</w:t>
      </w:r>
      <w:r>
        <w:rPr>
          <w:rFonts w:hint="eastAsia" w:ascii="宋体" w:hAnsi="宋体" w:eastAsia="宋体" w:cs="宋体"/>
          <w:b/>
          <w:bCs/>
          <w:color w:val="auto"/>
          <w:sz w:val="36"/>
          <w:szCs w:val="36"/>
          <w:highlight w:val="none"/>
          <w:lang w:eastAsia="zh-CN"/>
        </w:rPr>
        <w:t>基础检测</w:t>
      </w:r>
      <w:r>
        <w:rPr>
          <w:rFonts w:hint="eastAsia" w:ascii="宋体" w:hAnsi="宋体" w:eastAsia="宋体" w:cs="宋体"/>
          <w:b/>
          <w:bCs/>
          <w:color w:val="auto"/>
          <w:sz w:val="36"/>
          <w:szCs w:val="36"/>
          <w:highlight w:val="none"/>
        </w:rPr>
        <w:t>合同</w:t>
      </w:r>
    </w:p>
    <w:p w14:paraId="6A4B6BDC">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14:paraId="7E542800">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甲方（建设单位）：</w:t>
      </w:r>
      <w:r>
        <w:rPr>
          <w:rFonts w:hint="eastAsia" w:ascii="宋体" w:hAnsi="宋体" w:eastAsia="宋体" w:cs="宋体"/>
          <w:color w:val="auto"/>
          <w:sz w:val="21"/>
          <w:szCs w:val="21"/>
          <w:highlight w:val="none"/>
          <w:u w:val="single"/>
          <w:lang w:val="en-US" w:eastAsia="zh-CN"/>
        </w:rPr>
        <w:t xml:space="preserve">东莞市旗创产业投资有限公司             </w:t>
      </w:r>
      <w:r>
        <w:rPr>
          <w:rFonts w:hint="eastAsia" w:ascii="宋体" w:hAnsi="宋体" w:eastAsia="宋体" w:cs="宋体"/>
          <w:color w:val="auto"/>
          <w:sz w:val="21"/>
          <w:szCs w:val="21"/>
          <w:highlight w:val="none"/>
        </w:rPr>
        <w:t xml:space="preserve">  </w:t>
      </w:r>
    </w:p>
    <w:p w14:paraId="4DC9B0E3">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法定代表人：张平钟</w:t>
      </w:r>
    </w:p>
    <w:p w14:paraId="466DE444">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联系地址：广东省东莞市大岭山镇大塘村村委办公楼306室</w:t>
      </w:r>
    </w:p>
    <w:p w14:paraId="24B44E18">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FEF887A">
      <w:pPr>
        <w:keepNext w:val="0"/>
        <w:keepLines w:val="0"/>
        <w:pageBreakBefore w:val="0"/>
        <w:kinsoku/>
        <w:wordWrap/>
        <w:overflowPunct/>
        <w:topLinePunct w:val="0"/>
        <w:bidi w:val="0"/>
        <w:spacing w:line="300" w:lineRule="auto"/>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乙方（监测单位）：</w:t>
      </w:r>
      <w:r>
        <w:rPr>
          <w:rFonts w:hint="eastAsia" w:ascii="宋体" w:hAnsi="宋体" w:eastAsia="宋体" w:cs="宋体"/>
          <w:color w:val="auto"/>
          <w:sz w:val="21"/>
          <w:szCs w:val="21"/>
          <w:highlight w:val="none"/>
          <w:u w:val="single"/>
        </w:rPr>
        <w:t xml:space="preserve">                          </w:t>
      </w:r>
    </w:p>
    <w:p w14:paraId="12E47479">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法定代表人：</w:t>
      </w:r>
    </w:p>
    <w:p w14:paraId="0E0BE12E">
      <w:pPr>
        <w:keepNext w:val="0"/>
        <w:keepLines w:val="0"/>
        <w:pageBreakBefore w:val="0"/>
        <w:kinsoku/>
        <w:wordWrap/>
        <w:overflowPunct/>
        <w:topLinePunct w:val="0"/>
        <w:bidi w:val="0"/>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 w:val="21"/>
          <w:szCs w:val="21"/>
          <w:highlight w:val="none"/>
          <w:lang w:val="en-US" w:eastAsia="zh-CN"/>
        </w:rPr>
        <w:t>联系地址：</w:t>
      </w:r>
    </w:p>
    <w:p w14:paraId="795A52EC">
      <w:pPr>
        <w:keepNext w:val="0"/>
        <w:keepLines w:val="0"/>
        <w:pageBreakBefore w:val="0"/>
        <w:kinsoku/>
        <w:wordWrap/>
        <w:overflowPunct/>
        <w:topLinePunct w:val="0"/>
        <w:bidi w:val="0"/>
        <w:spacing w:line="300" w:lineRule="auto"/>
        <w:ind w:firstLine="420" w:firstLineChars="200"/>
        <w:textAlignment w:val="auto"/>
        <w:outlineLvl w:val="9"/>
        <w:rPr>
          <w:rFonts w:hint="eastAsia" w:ascii="宋体" w:hAnsi="宋体" w:eastAsia="宋体" w:cs="宋体"/>
          <w:color w:val="auto"/>
          <w:sz w:val="21"/>
          <w:szCs w:val="21"/>
          <w:highlight w:val="none"/>
        </w:rPr>
      </w:pPr>
    </w:p>
    <w:p w14:paraId="2A31D3D8">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14:paraId="5ED9A56E">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甲方委托乙方承担 </w:t>
      </w:r>
      <w:r>
        <w:rPr>
          <w:rFonts w:hint="eastAsia" w:ascii="宋体" w:hAnsi="宋体" w:eastAsia="宋体" w:cs="宋体"/>
          <w:b w:val="0"/>
          <w:color w:val="auto"/>
          <w:sz w:val="21"/>
          <w:szCs w:val="21"/>
          <w:highlight w:val="none"/>
          <w:u w:val="single"/>
          <w:lang w:val="en-US" w:eastAsia="zh-CN"/>
        </w:rPr>
        <w:t>大岭山大塘村优质产业空间项目（南地块）一期</w:t>
      </w:r>
      <w:r>
        <w:rPr>
          <w:rFonts w:hint="eastAsia" w:ascii="宋体" w:hAnsi="宋体" w:eastAsia="宋体" w:cs="宋体"/>
          <w:b w:val="0"/>
          <w:color w:val="auto"/>
          <w:sz w:val="21"/>
          <w:szCs w:val="21"/>
          <w:highlight w:val="none"/>
          <w:u w:val="single"/>
        </w:rPr>
        <w:t>项目</w:t>
      </w:r>
      <w:r>
        <w:rPr>
          <w:rFonts w:hint="eastAsia" w:ascii="宋体" w:hAnsi="宋体" w:eastAsia="宋体" w:cs="宋体"/>
          <w:b w:val="0"/>
          <w:color w:val="auto"/>
          <w:sz w:val="21"/>
          <w:szCs w:val="21"/>
          <w:highlight w:val="none"/>
          <w:u w:val="single"/>
          <w:lang w:eastAsia="zh-CN"/>
        </w:rPr>
        <w:t>基础检测</w:t>
      </w:r>
      <w:r>
        <w:rPr>
          <w:rFonts w:hint="eastAsia" w:ascii="宋体" w:hAnsi="宋体" w:eastAsia="宋体" w:cs="宋体"/>
          <w:b w:val="0"/>
          <w:color w:val="auto"/>
          <w:sz w:val="21"/>
          <w:szCs w:val="21"/>
          <w:highlight w:val="none"/>
          <w:u w:val="single"/>
        </w:rPr>
        <w:t xml:space="preserve">服务 </w:t>
      </w:r>
      <w:r>
        <w:rPr>
          <w:rFonts w:hint="eastAsia" w:ascii="宋体" w:hAnsi="宋体" w:eastAsia="宋体" w:cs="宋体"/>
          <w:b w:val="0"/>
          <w:color w:val="auto"/>
          <w:sz w:val="21"/>
          <w:szCs w:val="21"/>
          <w:highlight w:val="none"/>
        </w:rPr>
        <w:t>任务，根据《中华人民共和国民法典》及国家有关法规，经双方协商一致签订本合同。</w:t>
      </w:r>
    </w:p>
    <w:p w14:paraId="04D5A655">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1"/>
          <w:szCs w:val="21"/>
          <w:highlight w:val="none"/>
        </w:rPr>
        <w:t>一、项目概况</w:t>
      </w:r>
      <w:r>
        <w:rPr>
          <w:rFonts w:hint="eastAsia" w:ascii="宋体" w:hAnsi="宋体" w:eastAsia="宋体" w:cs="宋体"/>
          <w:b/>
          <w:bCs/>
          <w:color w:val="auto"/>
          <w:sz w:val="22"/>
          <w:szCs w:val="22"/>
          <w:highlight w:val="none"/>
          <w:lang w:val="en-US" w:eastAsia="zh-CN"/>
        </w:rPr>
        <w:t>及检测服务内容</w:t>
      </w:r>
    </w:p>
    <w:p w14:paraId="5EE29D23">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1、项目名称：</w:t>
      </w:r>
      <w:r>
        <w:rPr>
          <w:rFonts w:hint="eastAsia" w:ascii="宋体" w:hAnsi="宋体" w:eastAsia="宋体" w:cs="宋体"/>
          <w:b w:val="0"/>
          <w:color w:val="auto"/>
          <w:sz w:val="21"/>
          <w:szCs w:val="21"/>
          <w:highlight w:val="none"/>
          <w:u w:val="single"/>
          <w:lang w:val="en-US" w:eastAsia="zh-CN"/>
        </w:rPr>
        <w:t>大岭山大塘村优质产业空间项目（南地块）一期</w:t>
      </w:r>
      <w:r>
        <w:rPr>
          <w:rFonts w:hint="eastAsia" w:ascii="宋体" w:hAnsi="宋体" w:eastAsia="宋体" w:cs="宋体"/>
          <w:b w:val="0"/>
          <w:color w:val="auto"/>
          <w:sz w:val="21"/>
          <w:szCs w:val="21"/>
          <w:highlight w:val="none"/>
          <w:u w:val="single"/>
        </w:rPr>
        <w:t>项目</w:t>
      </w:r>
      <w:r>
        <w:rPr>
          <w:rFonts w:hint="eastAsia" w:ascii="宋体" w:hAnsi="宋体" w:eastAsia="宋体" w:cs="宋体"/>
          <w:b w:val="0"/>
          <w:color w:val="auto"/>
          <w:sz w:val="21"/>
          <w:szCs w:val="21"/>
          <w:highlight w:val="none"/>
          <w:u w:val="single"/>
          <w:lang w:eastAsia="zh-CN"/>
        </w:rPr>
        <w:t>基础检测</w:t>
      </w:r>
      <w:r>
        <w:rPr>
          <w:rFonts w:hint="eastAsia" w:ascii="宋体" w:hAnsi="宋体" w:eastAsia="宋体" w:cs="宋体"/>
          <w:b w:val="0"/>
          <w:color w:val="auto"/>
          <w:sz w:val="21"/>
          <w:szCs w:val="21"/>
          <w:highlight w:val="none"/>
          <w:u w:val="single"/>
        </w:rPr>
        <w:t>服务</w:t>
      </w:r>
    </w:p>
    <w:p w14:paraId="3EDA22CA">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lang w:val="en-US"/>
        </w:rPr>
      </w:pPr>
      <w:r>
        <w:rPr>
          <w:rFonts w:hint="eastAsia" w:ascii="宋体" w:hAnsi="宋体" w:eastAsia="宋体" w:cs="宋体"/>
          <w:b w:val="0"/>
          <w:color w:val="auto"/>
          <w:sz w:val="21"/>
          <w:szCs w:val="21"/>
          <w:highlight w:val="none"/>
        </w:rPr>
        <w:t>2、建设地点：</w:t>
      </w:r>
      <w:r>
        <w:rPr>
          <w:rFonts w:hint="eastAsia" w:ascii="宋体" w:hAnsi="宋体" w:eastAsia="宋体" w:cs="宋体"/>
          <w:b w:val="0"/>
          <w:color w:val="auto"/>
          <w:sz w:val="21"/>
          <w:szCs w:val="21"/>
          <w:highlight w:val="none"/>
          <w:lang w:val="en-US" w:eastAsia="zh-CN"/>
        </w:rPr>
        <w:t>东莞市大岭山镇大塘村沿河</w:t>
      </w:r>
      <w:r>
        <w:rPr>
          <w:rFonts w:hint="eastAsia" w:hAnsi="宋体" w:cs="宋体"/>
          <w:b w:val="0"/>
          <w:color w:val="auto"/>
          <w:sz w:val="21"/>
          <w:szCs w:val="21"/>
          <w:highlight w:val="none"/>
          <w:lang w:val="en-US" w:eastAsia="zh-CN"/>
        </w:rPr>
        <w:t>街</w:t>
      </w:r>
      <w:r>
        <w:rPr>
          <w:rFonts w:hint="eastAsia" w:ascii="宋体" w:hAnsi="宋体" w:eastAsia="宋体" w:cs="宋体"/>
          <w:b w:val="0"/>
          <w:color w:val="auto"/>
          <w:sz w:val="21"/>
          <w:szCs w:val="21"/>
          <w:highlight w:val="none"/>
          <w:u w:val="single"/>
          <w:lang w:val="en-US"/>
        </w:rPr>
        <w:t xml:space="preserve">           </w:t>
      </w:r>
    </w:p>
    <w:p w14:paraId="1E1CB31C">
      <w:pPr>
        <w:pStyle w:val="21"/>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b w:val="0"/>
          <w:color w:val="auto"/>
          <w:sz w:val="21"/>
          <w:szCs w:val="21"/>
          <w:highlight w:val="none"/>
        </w:rPr>
        <w:t>3、建设规模 ：</w:t>
      </w:r>
      <w:r>
        <w:rPr>
          <w:rFonts w:hint="eastAsia" w:ascii="宋体" w:hAnsi="宋体" w:eastAsia="宋体" w:cs="宋体"/>
          <w:b w:val="0"/>
          <w:color w:val="auto"/>
          <w:sz w:val="21"/>
          <w:szCs w:val="21"/>
          <w:highlight w:val="none"/>
          <w:u w:val="single"/>
          <w:lang w:val="en-US" w:eastAsia="zh-CN"/>
        </w:rPr>
        <w:t>大岭山大塘村优质产业空间项目（南地块）一期</w:t>
      </w:r>
      <w:r>
        <w:rPr>
          <w:rFonts w:hint="eastAsia" w:ascii="宋体" w:hAnsi="宋体" w:eastAsia="宋体" w:cs="宋体"/>
          <w:b w:val="0"/>
          <w:color w:val="auto"/>
          <w:sz w:val="21"/>
          <w:szCs w:val="21"/>
          <w:highlight w:val="none"/>
          <w:u w:val="single"/>
          <w:lang w:val="en-US"/>
        </w:rPr>
        <w:t>项目地块位于</w:t>
      </w:r>
      <w:r>
        <w:rPr>
          <w:rFonts w:hint="eastAsia" w:ascii="宋体" w:hAnsi="宋体" w:eastAsia="宋体" w:cs="宋体"/>
          <w:b w:val="0"/>
          <w:color w:val="auto"/>
          <w:sz w:val="21"/>
          <w:szCs w:val="21"/>
          <w:highlight w:val="none"/>
          <w:u w:val="single"/>
          <w:lang w:val="en-US" w:eastAsia="zh-CN"/>
        </w:rPr>
        <w:t>大岭山镇大塘村沿河</w:t>
      </w:r>
      <w:r>
        <w:rPr>
          <w:rFonts w:hint="eastAsia" w:hAnsi="宋体" w:cs="宋体"/>
          <w:b w:val="0"/>
          <w:color w:val="auto"/>
          <w:sz w:val="21"/>
          <w:szCs w:val="21"/>
          <w:highlight w:val="none"/>
          <w:u w:val="single"/>
          <w:lang w:val="en-US" w:eastAsia="zh-CN"/>
        </w:rPr>
        <w:t>街</w:t>
      </w:r>
      <w:r>
        <w:rPr>
          <w:rFonts w:hint="eastAsia" w:ascii="宋体" w:hAnsi="宋体" w:eastAsia="宋体" w:cs="宋体"/>
          <w:b w:val="0"/>
          <w:color w:val="auto"/>
          <w:sz w:val="21"/>
          <w:szCs w:val="21"/>
          <w:highlight w:val="none"/>
          <w:u w:val="single"/>
          <w:lang w:val="en-US" w:eastAsia="zh-CN"/>
        </w:rPr>
        <w:t>以东</w:t>
      </w:r>
      <w:r>
        <w:rPr>
          <w:rFonts w:hint="eastAsia" w:ascii="宋体" w:hAnsi="宋体" w:eastAsia="宋体" w:cs="宋体"/>
          <w:b w:val="0"/>
          <w:color w:val="auto"/>
          <w:sz w:val="21"/>
          <w:szCs w:val="21"/>
          <w:highlight w:val="none"/>
          <w:u w:val="single"/>
          <w:lang w:val="en-US"/>
        </w:rPr>
        <w:t>。项目开发建设用地面积</w:t>
      </w:r>
      <w:r>
        <w:rPr>
          <w:rFonts w:hint="eastAsia" w:ascii="宋体" w:hAnsi="宋体" w:eastAsia="宋体" w:cs="宋体"/>
          <w:b w:val="0"/>
          <w:color w:val="auto"/>
          <w:sz w:val="21"/>
          <w:szCs w:val="21"/>
          <w:highlight w:val="none"/>
          <w:u w:val="single"/>
          <w:lang w:val="en-US" w:eastAsia="zh-CN"/>
        </w:rPr>
        <w:t>约36048.36</w:t>
      </w:r>
      <w:r>
        <w:rPr>
          <w:rFonts w:hint="eastAsia" w:ascii="宋体" w:hAnsi="宋体" w:eastAsia="宋体" w:cs="宋体"/>
          <w:b w:val="0"/>
          <w:color w:val="auto"/>
          <w:sz w:val="21"/>
          <w:szCs w:val="21"/>
          <w:highlight w:val="none"/>
          <w:u w:val="single"/>
          <w:lang w:val="en-US"/>
        </w:rPr>
        <w:t>平方米，总</w:t>
      </w:r>
      <w:r>
        <w:rPr>
          <w:rFonts w:hint="eastAsia" w:ascii="宋体" w:hAnsi="宋体" w:eastAsia="宋体" w:cs="宋体"/>
          <w:b w:val="0"/>
          <w:color w:val="auto"/>
          <w:sz w:val="21"/>
          <w:szCs w:val="21"/>
          <w:highlight w:val="none"/>
          <w:u w:val="single"/>
          <w:lang w:val="en-US" w:eastAsia="zh-CN"/>
        </w:rPr>
        <w:t>计容</w:t>
      </w:r>
      <w:r>
        <w:rPr>
          <w:rFonts w:hint="eastAsia" w:ascii="宋体" w:hAnsi="宋体" w:eastAsia="宋体" w:cs="宋体"/>
          <w:b w:val="0"/>
          <w:color w:val="auto"/>
          <w:sz w:val="21"/>
          <w:szCs w:val="21"/>
          <w:highlight w:val="none"/>
          <w:u w:val="single"/>
          <w:lang w:val="en-US"/>
        </w:rPr>
        <w:t>面积约</w:t>
      </w:r>
      <w:r>
        <w:rPr>
          <w:rFonts w:hint="eastAsia" w:ascii="宋体" w:hAnsi="宋体" w:eastAsia="宋体" w:cs="宋体"/>
          <w:b w:val="0"/>
          <w:color w:val="auto"/>
          <w:sz w:val="21"/>
          <w:szCs w:val="21"/>
          <w:highlight w:val="none"/>
          <w:u w:val="single"/>
          <w:lang w:val="en-US" w:eastAsia="zh-CN"/>
        </w:rPr>
        <w:t>12.62</w:t>
      </w:r>
      <w:r>
        <w:rPr>
          <w:rFonts w:hint="eastAsia" w:ascii="宋体" w:hAnsi="宋体" w:eastAsia="宋体" w:cs="宋体"/>
          <w:b w:val="0"/>
          <w:color w:val="auto"/>
          <w:sz w:val="21"/>
          <w:szCs w:val="21"/>
          <w:highlight w:val="none"/>
          <w:u w:val="single"/>
          <w:lang w:val="en-US"/>
        </w:rPr>
        <w:t>万平方米，拟建</w:t>
      </w:r>
      <w:r>
        <w:rPr>
          <w:rFonts w:hint="eastAsia" w:ascii="宋体" w:hAnsi="宋体" w:eastAsia="宋体" w:cs="宋体"/>
          <w:b w:val="0"/>
          <w:color w:val="auto"/>
          <w:sz w:val="21"/>
          <w:szCs w:val="21"/>
          <w:highlight w:val="none"/>
          <w:u w:val="single"/>
          <w:lang w:val="en-US" w:eastAsia="zh-CN"/>
        </w:rPr>
        <w:t>高层厂房、配套用房及公共配套设施等</w:t>
      </w:r>
      <w:r>
        <w:rPr>
          <w:rFonts w:hint="eastAsia" w:ascii="宋体" w:hAnsi="宋体" w:eastAsia="宋体" w:cs="宋体"/>
          <w:b w:val="0"/>
          <w:color w:val="auto"/>
          <w:sz w:val="21"/>
          <w:szCs w:val="21"/>
          <w:highlight w:val="none"/>
          <w:u w:val="single"/>
          <w:lang w:val="en-US"/>
        </w:rPr>
        <w:t>。</w:t>
      </w:r>
    </w:p>
    <w:p w14:paraId="18998FB9">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28"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color w:val="auto"/>
          <w:sz w:val="21"/>
          <w:szCs w:val="21"/>
          <w:highlight w:val="none"/>
        </w:rPr>
        <w:t>合同期限内设计变更工程是合同承包范围不可分割的一部分，乙方应按甲方提交的变更工程设计图纸完成检测工作。</w:t>
      </w:r>
    </w:p>
    <w:p w14:paraId="0A00CFD1">
      <w:pPr>
        <w:pStyle w:val="21"/>
        <w:keepNext w:val="0"/>
        <w:keepLines w:val="0"/>
        <w:pageBreakBefore w:val="0"/>
        <w:numPr>
          <w:ilvl w:val="0"/>
          <w:numId w:val="14"/>
        </w:numPr>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u w:val="single"/>
        </w:rPr>
      </w:pPr>
      <w:r>
        <w:rPr>
          <w:rFonts w:hint="eastAsia" w:ascii="宋体" w:hAnsi="宋体" w:eastAsia="宋体" w:cs="宋体"/>
          <w:b w:val="0"/>
          <w:color w:val="auto"/>
          <w:sz w:val="21"/>
          <w:szCs w:val="21"/>
          <w:highlight w:val="none"/>
        </w:rPr>
        <w:t>检测任务（内容）和技术要求：</w:t>
      </w:r>
      <w:r>
        <w:rPr>
          <w:rFonts w:hint="eastAsia" w:ascii="宋体" w:hAnsi="宋体" w:eastAsia="宋体" w:cs="宋体"/>
          <w:b w:val="0"/>
          <w:color w:val="auto"/>
          <w:sz w:val="21"/>
          <w:szCs w:val="21"/>
          <w:highlight w:val="none"/>
          <w:u w:val="single"/>
        </w:rPr>
        <w:t>根据相关法律、法规及主管部门的规定，必须进行的桩基础检测项目，包括但不限于低应变法、抗压静载试验、</w:t>
      </w:r>
      <w:r>
        <w:rPr>
          <w:rFonts w:hint="eastAsia" w:ascii="宋体" w:hAnsi="宋体" w:eastAsia="宋体" w:cs="宋体"/>
          <w:b w:val="0"/>
          <w:color w:val="auto"/>
          <w:sz w:val="21"/>
          <w:szCs w:val="21"/>
          <w:highlight w:val="none"/>
          <w:u w:val="single"/>
          <w:lang w:val="en-US" w:eastAsia="zh-CN"/>
        </w:rPr>
        <w:t>高应变法</w:t>
      </w:r>
      <w:r>
        <w:rPr>
          <w:rFonts w:hint="eastAsia" w:ascii="宋体" w:hAnsi="宋体" w:eastAsia="宋体" w:cs="宋体"/>
          <w:b w:val="0"/>
          <w:color w:val="auto"/>
          <w:sz w:val="21"/>
          <w:szCs w:val="21"/>
          <w:highlight w:val="none"/>
          <w:u w:val="single"/>
        </w:rPr>
        <w:t>、</w:t>
      </w:r>
      <w:r>
        <w:rPr>
          <w:rFonts w:hint="eastAsia" w:ascii="宋体" w:hAnsi="宋体" w:eastAsia="宋体" w:cs="宋体"/>
          <w:b w:val="0"/>
          <w:color w:val="auto"/>
          <w:sz w:val="21"/>
          <w:szCs w:val="21"/>
          <w:highlight w:val="none"/>
          <w:u w:val="single"/>
          <w:lang w:val="en-US" w:eastAsia="zh-CN"/>
        </w:rPr>
        <w:t>抗拔静载试验</w:t>
      </w:r>
      <w:r>
        <w:rPr>
          <w:rFonts w:hint="eastAsia" w:ascii="宋体" w:hAnsi="宋体" w:eastAsia="宋体" w:cs="宋体"/>
          <w:b w:val="0"/>
          <w:color w:val="auto"/>
          <w:sz w:val="21"/>
          <w:szCs w:val="21"/>
          <w:highlight w:val="none"/>
          <w:u w:val="single"/>
        </w:rPr>
        <w:t>等，并按规范、图纸要求提供检测方案，检测方案以东莞市住建部门认可的为准；</w:t>
      </w:r>
    </w:p>
    <w:p w14:paraId="7931D9B6">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5、承包方式： </w:t>
      </w:r>
      <w:r>
        <w:rPr>
          <w:rFonts w:hint="eastAsia" w:ascii="宋体" w:hAnsi="宋体" w:eastAsia="宋体" w:cs="宋体"/>
          <w:b w:val="0"/>
          <w:color w:val="auto"/>
          <w:sz w:val="21"/>
          <w:szCs w:val="21"/>
          <w:highlight w:val="none"/>
          <w:u w:val="single"/>
        </w:rPr>
        <w:t>固定单价合同，按经东莞市住建部门及甲方审核确认的检测方案及甲方确认的实际完成的检测工作量据实结算，最终结算价格甲方审定的结算</w:t>
      </w:r>
      <w:r>
        <w:rPr>
          <w:rFonts w:hint="eastAsia" w:ascii="宋体" w:hAnsi="宋体" w:eastAsia="宋体" w:cs="宋体"/>
          <w:b w:val="0"/>
          <w:color w:val="auto"/>
          <w:sz w:val="21"/>
          <w:szCs w:val="21"/>
          <w:highlight w:val="none"/>
          <w:u w:val="single"/>
          <w:lang w:eastAsia="zh-CN"/>
        </w:rPr>
        <w:t>价</w:t>
      </w:r>
      <w:r>
        <w:rPr>
          <w:rFonts w:hint="eastAsia" w:ascii="宋体" w:hAnsi="宋体" w:eastAsia="宋体" w:cs="宋体"/>
          <w:b w:val="0"/>
          <w:color w:val="auto"/>
          <w:sz w:val="21"/>
          <w:szCs w:val="21"/>
          <w:highlight w:val="none"/>
          <w:u w:val="single"/>
        </w:rPr>
        <w:t>为准</w:t>
      </w:r>
      <w:r>
        <w:rPr>
          <w:rFonts w:hint="eastAsia" w:ascii="宋体" w:hAnsi="宋体" w:eastAsia="宋体" w:cs="宋体"/>
          <w:b w:val="0"/>
          <w:color w:val="auto"/>
          <w:sz w:val="21"/>
          <w:szCs w:val="21"/>
          <w:highlight w:val="none"/>
        </w:rPr>
        <w:t>。</w:t>
      </w:r>
    </w:p>
    <w:p w14:paraId="501AF505">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6、合同服务期：</w:t>
      </w:r>
      <w:r>
        <w:rPr>
          <w:rFonts w:hint="eastAsia" w:ascii="宋体" w:hAnsi="宋体" w:eastAsia="宋体" w:cs="宋体"/>
          <w:b w:val="0"/>
          <w:color w:val="auto"/>
          <w:sz w:val="21"/>
          <w:szCs w:val="21"/>
          <w:highlight w:val="none"/>
          <w:u w:val="single"/>
        </w:rPr>
        <w:t>检测服务期涵盖整个基础施工阶段。具体开始工作的时间以</w:t>
      </w:r>
      <w:r>
        <w:rPr>
          <w:rFonts w:hint="eastAsia" w:ascii="宋体" w:hAnsi="宋体" w:eastAsia="宋体" w:cs="宋体"/>
          <w:b w:val="0"/>
          <w:color w:val="auto"/>
          <w:sz w:val="21"/>
          <w:szCs w:val="21"/>
          <w:highlight w:val="none"/>
          <w:u w:val="single"/>
          <w:lang w:eastAsia="zh-CN"/>
        </w:rPr>
        <w:t>甲方</w:t>
      </w:r>
      <w:r>
        <w:rPr>
          <w:rFonts w:hint="eastAsia" w:ascii="宋体" w:hAnsi="宋体" w:eastAsia="宋体" w:cs="宋体"/>
          <w:b w:val="0"/>
          <w:color w:val="auto"/>
          <w:sz w:val="21"/>
          <w:szCs w:val="21"/>
          <w:highlight w:val="none"/>
          <w:u w:val="single"/>
        </w:rPr>
        <w:t>书面通知为准，若工程工期滞后则本项目检测服务期顺延到所有工作完成为止。</w:t>
      </w:r>
    </w:p>
    <w:p w14:paraId="35A417C9">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工程检测质量要求：检测范围内的全部工程达到现行国家或行业质量检验评定的合格标准（检测标准同时存在国家标准及行业标准时，以较高标准为准），并且通过检测工作及时发现问题，积极配合甲方在对总承包单位提供的检测报告进行对比。对可能出现的问题及时出具书面报告，并向甲方提供咨询服务和建议切实可行的处理方案。</w:t>
      </w:r>
    </w:p>
    <w:p w14:paraId="37EB31D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p>
    <w:p w14:paraId="30581B2F">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二、检测依据</w:t>
      </w:r>
    </w:p>
    <w:p w14:paraId="1CCDBC50">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按国家有关标准及程序进行验收，包括但不限于下列规范（如有新规范，以新的为准）：</w:t>
      </w:r>
    </w:p>
    <w:p w14:paraId="51391C2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1、广东省标准《建筑地基基础检测规范》DBJ/T 15-60-2019；</w:t>
      </w:r>
    </w:p>
    <w:p w14:paraId="52E6309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2、国家标准《岩土工程勘察规范》（GB50021-2001）2009年版；</w:t>
      </w:r>
    </w:p>
    <w:p w14:paraId="7C16E96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3、广东省标准《建筑地基基础设计规范》（DBJ 15-31-2016）；</w:t>
      </w:r>
    </w:p>
    <w:p w14:paraId="34E6CEA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lang w:val="en-US" w:eastAsia="zh-CN"/>
        </w:rPr>
        <w:t>大岭山大塘村优质产业空间项目（南地块）一期项目</w:t>
      </w:r>
      <w:r>
        <w:rPr>
          <w:rFonts w:hint="eastAsia" w:ascii="宋体" w:hAnsi="宋体" w:eastAsia="宋体" w:cs="宋体"/>
          <w:bCs/>
          <w:color w:val="auto"/>
          <w:sz w:val="21"/>
          <w:szCs w:val="21"/>
          <w:highlight w:val="none"/>
        </w:rPr>
        <w:t>基础施工图；</w:t>
      </w:r>
    </w:p>
    <w:p w14:paraId="4C7B4D2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5、东莞市住房和城乡建设局文件《关于调整房屋建筑、市政基础设施及轨道交通工程的基坑支护和地基与基础等工程检测要求的通知》；</w:t>
      </w:r>
    </w:p>
    <w:p w14:paraId="2BE0008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6、工程地形图及岩石工程勘察报告；</w:t>
      </w:r>
    </w:p>
    <w:p w14:paraId="54A9DED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7、其它规范及相关规定；</w:t>
      </w:r>
    </w:p>
    <w:p w14:paraId="09C7C05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8、勘察成果资料；</w:t>
      </w:r>
    </w:p>
    <w:p w14:paraId="6D2D59E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9、本项目设计文件相关法律、法规以及工程建设行业标准技术规范要求</w:t>
      </w:r>
      <w:r>
        <w:rPr>
          <w:rFonts w:hint="eastAsia" w:ascii="宋体" w:hAnsi="宋体" w:eastAsia="宋体" w:cs="宋体"/>
          <w:bCs/>
          <w:color w:val="auto"/>
          <w:sz w:val="21"/>
          <w:szCs w:val="21"/>
          <w:highlight w:val="none"/>
        </w:rPr>
        <w:t>。</w:t>
      </w:r>
    </w:p>
    <w:p w14:paraId="1E94CA8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p>
    <w:p w14:paraId="62BEB0AB">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三、检测费用</w:t>
      </w:r>
      <w:r>
        <w:rPr>
          <w:rFonts w:hint="eastAsia" w:ascii="宋体" w:hAnsi="宋体" w:eastAsia="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rPr>
        <w:t>支付方式</w:t>
      </w:r>
    </w:p>
    <w:p w14:paraId="43E4B101">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color w:val="auto"/>
          <w:spacing w:val="-3"/>
          <w:sz w:val="21"/>
          <w:szCs w:val="21"/>
          <w:highlight w:val="none"/>
        </w:rPr>
        <w:t>、合同价款：检测服务收费系数为</w:t>
      </w:r>
      <w:r>
        <w:rPr>
          <w:rFonts w:hint="eastAsia" w:ascii="宋体" w:hAnsi="宋体" w:eastAsia="宋体" w:cs="宋体"/>
          <w:b w:val="0"/>
          <w:color w:val="auto"/>
          <w:spacing w:val="-80"/>
          <w:sz w:val="21"/>
          <w:szCs w:val="21"/>
          <w:highlight w:val="none"/>
          <w:u w:val="single"/>
        </w:rPr>
        <w:t xml:space="preserve">            </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，根据暂定检测工程量计算的含税合同价为¥</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元（大写人民币</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），其中：增值税税率为</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%，税金金额¥</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元，不含税签约酬金为¥</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元。</w:t>
      </w:r>
    </w:p>
    <w:p w14:paraId="6FF746A0">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最终实际支付的检测服务费根据经</w:t>
      </w:r>
      <w:r>
        <w:rPr>
          <w:rFonts w:hint="eastAsia" w:ascii="宋体" w:hAnsi="宋体" w:eastAsia="宋体" w:cs="宋体"/>
          <w:b w:val="0"/>
          <w:color w:val="auto"/>
          <w:sz w:val="21"/>
          <w:szCs w:val="21"/>
          <w:highlight w:val="none"/>
          <w:lang w:val="en-US" w:eastAsia="zh-CN"/>
        </w:rPr>
        <w:t>东莞市住建部门及</w:t>
      </w:r>
      <w:r>
        <w:rPr>
          <w:rFonts w:hint="eastAsia" w:ascii="宋体" w:hAnsi="宋体" w:eastAsia="宋体" w:cs="宋体"/>
          <w:b w:val="0"/>
          <w:color w:val="auto"/>
          <w:sz w:val="21"/>
          <w:szCs w:val="21"/>
          <w:highlight w:val="none"/>
        </w:rPr>
        <w:t>甲方审核确认的检测方案及甲方确认的实际</w:t>
      </w:r>
      <w:r>
        <w:rPr>
          <w:rFonts w:hint="eastAsia" w:ascii="宋体" w:hAnsi="宋体" w:eastAsia="宋体" w:cs="宋体"/>
          <w:b w:val="0"/>
          <w:color w:val="auto"/>
          <w:sz w:val="21"/>
          <w:szCs w:val="21"/>
          <w:highlight w:val="none"/>
          <w:lang w:val="en-US" w:eastAsia="zh-CN"/>
        </w:rPr>
        <w:t>完成的</w:t>
      </w:r>
      <w:r>
        <w:rPr>
          <w:rFonts w:hint="eastAsia" w:ascii="宋体" w:hAnsi="宋体" w:eastAsia="宋体" w:cs="宋体"/>
          <w:b w:val="0"/>
          <w:color w:val="auto"/>
          <w:sz w:val="21"/>
          <w:szCs w:val="21"/>
          <w:highlight w:val="none"/>
        </w:rPr>
        <w:t>检测工程量</w:t>
      </w:r>
      <w:r>
        <w:rPr>
          <w:rFonts w:hint="eastAsia" w:ascii="宋体" w:hAnsi="宋体" w:eastAsia="宋体" w:cs="宋体"/>
          <w:b w:val="0"/>
          <w:color w:val="auto"/>
          <w:sz w:val="21"/>
          <w:szCs w:val="21"/>
          <w:highlight w:val="none"/>
          <w:lang w:val="en-US" w:eastAsia="zh-CN"/>
        </w:rPr>
        <w:t>据</w:t>
      </w:r>
      <w:r>
        <w:rPr>
          <w:rFonts w:hint="eastAsia" w:ascii="宋体" w:hAnsi="宋体" w:eastAsia="宋体" w:cs="宋体"/>
          <w:b w:val="0"/>
          <w:color w:val="auto"/>
          <w:sz w:val="21"/>
          <w:szCs w:val="21"/>
          <w:highlight w:val="none"/>
        </w:rPr>
        <w:t>实结算</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最终结算价格以甲方审定的结算为准</w:t>
      </w:r>
      <w:r>
        <w:rPr>
          <w:rFonts w:hint="eastAsia" w:ascii="宋体" w:hAnsi="宋体" w:eastAsia="宋体" w:cs="宋体"/>
          <w:b w:val="0"/>
          <w:color w:val="auto"/>
          <w:sz w:val="21"/>
          <w:szCs w:val="21"/>
          <w:highlight w:val="none"/>
        </w:rPr>
        <w:t>。中标综合单价按《东莞市建设工程检测行业参考收费标准（20</w:t>
      </w:r>
      <w:r>
        <w:rPr>
          <w:rFonts w:hint="eastAsia" w:ascii="宋体" w:hAnsi="宋体" w:eastAsia="宋体" w:cs="宋体"/>
          <w:b w:val="0"/>
          <w:color w:val="auto"/>
          <w:sz w:val="21"/>
          <w:szCs w:val="21"/>
          <w:highlight w:val="none"/>
          <w:lang w:val="en-US" w:eastAsia="zh-CN"/>
        </w:rPr>
        <w:t>23</w:t>
      </w:r>
      <w:r>
        <w:rPr>
          <w:rFonts w:hint="eastAsia" w:ascii="宋体" w:hAnsi="宋体" w:eastAsia="宋体" w:cs="宋体"/>
          <w:b w:val="0"/>
          <w:color w:val="auto"/>
          <w:sz w:val="21"/>
          <w:szCs w:val="21"/>
          <w:highlight w:val="none"/>
        </w:rPr>
        <w:t xml:space="preserve"> 版）》乘以中标系数，上述收费标准中未包含的部分参考《广东省房屋建筑和市政工程质量安全检测收费指导价》（粤建检协[2015]8 号）乘以中标系数。</w:t>
      </w:r>
    </w:p>
    <w:p w14:paraId="4F7414C5">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工程检测项目的中标单价（即全费用综合单价），综合单价已综合考虑人工（含雨季和夜间作业加班费）、材料、仪器设备、机械、检测措施（含施工期间设施的照管及受损设施的修复等）、安全措施等完成全部检测工作所需费用及利润、税金等，投标费用、交易服务费、中标服务费、办理履约担保费用、进退场、差旅、驻地、交通、通讯、施工配合费、保险费、风险费、检测方案的审查及专家论证费等费用。除本合同另有约定外，本工程检测的综合单价在合同实施期间不因任何因素而调整（包括但不限于工程的工期延长、检测工程量变化等），甲方也不承担任何额外费用。</w:t>
      </w:r>
    </w:p>
    <w:p w14:paraId="524E5A0C">
      <w:pPr>
        <w:pStyle w:val="21"/>
        <w:keepNext w:val="0"/>
        <w:keepLines w:val="0"/>
        <w:pageBreakBefore w:val="0"/>
        <w:kinsoku/>
        <w:wordWrap/>
        <w:overflowPunct/>
        <w:topLinePunct w:val="0"/>
        <w:bidi w:val="0"/>
        <w:spacing w:line="360" w:lineRule="auto"/>
        <w:ind w:right="0" w:firstLine="384" w:firstLineChars="183"/>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 xml:space="preserve"> 、结算调整范围及方式调整规则如下：</w:t>
      </w:r>
    </w:p>
    <w:p w14:paraId="4D814582">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结算调整的范围：因工程设计变更、重大工艺变更、甲方、监理单位、监督单位或现场需要等原因导致已经甲方审核确认的检测方案需要进行调整的，包括但不限于检测项目和工作量的增减。乙方在实施增减前，需重新编制实施检测方案报本项目的设计单位、监理单位及甲方审核，经各方批准后方可实施。</w:t>
      </w:r>
    </w:p>
    <w:p w14:paraId="42452119">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（2）变更检测项目的计价：结算综合单价按《东莞市建设工程检测行业参考收费标准（202</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 xml:space="preserve"> 版）》乘以</w:t>
      </w:r>
      <w:r>
        <w:rPr>
          <w:rFonts w:hint="eastAsia" w:ascii="宋体" w:hAnsi="宋体" w:eastAsia="宋体" w:cs="宋体"/>
          <w:b w:val="0"/>
          <w:color w:val="auto"/>
          <w:sz w:val="21"/>
          <w:szCs w:val="21"/>
          <w:highlight w:val="none"/>
          <w:lang w:val="en-US" w:eastAsia="zh-CN"/>
        </w:rPr>
        <w:t>本合同约定的</w:t>
      </w:r>
      <w:r>
        <w:rPr>
          <w:rFonts w:hint="eastAsia" w:ascii="宋体" w:hAnsi="宋体" w:eastAsia="宋体" w:cs="宋体"/>
          <w:b w:val="0"/>
          <w:color w:val="auto"/>
          <w:spacing w:val="-3"/>
          <w:sz w:val="21"/>
          <w:szCs w:val="21"/>
          <w:highlight w:val="none"/>
        </w:rPr>
        <w:t>检测服务收费</w:t>
      </w:r>
      <w:r>
        <w:rPr>
          <w:rFonts w:hint="eastAsia" w:ascii="宋体" w:hAnsi="宋体" w:eastAsia="宋体" w:cs="宋体"/>
          <w:b w:val="0"/>
          <w:color w:val="auto"/>
          <w:sz w:val="21"/>
          <w:szCs w:val="21"/>
          <w:highlight w:val="none"/>
        </w:rPr>
        <w:t>系数，上述收费标准中未包含的部分参考《广东省房屋建筑和市政工程质量安全检测收费指导价》（粤建检协[2015]8 号）乘以中标系数。</w:t>
      </w:r>
    </w:p>
    <w:p w14:paraId="78B76E95">
      <w:pPr>
        <w:keepNext w:val="0"/>
        <w:keepLines w:val="0"/>
        <w:pageBreakBefore w:val="0"/>
        <w:tabs>
          <w:tab w:val="left" w:pos="360"/>
        </w:tabs>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合同价款付款方式</w:t>
      </w:r>
    </w:p>
    <w:p w14:paraId="0672194A">
      <w:pPr>
        <w:keepNext w:val="0"/>
        <w:keepLines w:val="0"/>
        <w:pageBreakBefore w:val="0"/>
        <w:tabs>
          <w:tab w:val="left" w:pos="360"/>
        </w:tabs>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乙方向甲方提交请款材料及《工程质量检测报告》，甲方在收到之日起10个工作日内，向乙方支付</w:t>
      </w:r>
      <w:r>
        <w:rPr>
          <w:rFonts w:hint="eastAsia" w:ascii="宋体" w:hAnsi="宋体" w:eastAsia="宋体" w:cs="宋体"/>
          <w:color w:val="auto"/>
          <w:sz w:val="21"/>
          <w:szCs w:val="21"/>
          <w:highlight w:val="none"/>
          <w:lang w:val="en-US" w:eastAsia="zh-CN"/>
        </w:rPr>
        <w:t>当期实际完成工程量</w:t>
      </w:r>
      <w:r>
        <w:rPr>
          <w:rFonts w:hint="eastAsia" w:ascii="宋体" w:hAnsi="宋体" w:eastAsia="宋体" w:cs="宋体"/>
          <w:color w:val="auto"/>
          <w:sz w:val="21"/>
          <w:szCs w:val="21"/>
          <w:highlight w:val="none"/>
        </w:rPr>
        <w:t>的80%。</w:t>
      </w:r>
    </w:p>
    <w:p w14:paraId="49E47A5D">
      <w:pPr>
        <w:keepNext w:val="0"/>
        <w:keepLines w:val="0"/>
        <w:pageBreakBefore w:val="0"/>
        <w:tabs>
          <w:tab w:val="left" w:pos="360"/>
        </w:tabs>
        <w:kinsoku/>
        <w:wordWrap/>
        <w:overflowPunct/>
        <w:topLinePunct w:val="0"/>
        <w:bidi w:val="0"/>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本合同项下项目基础验收合格、结算完毕，乙方按甲方程序完成请款后10个工作日内，甲方向乙方支付至结算价的</w:t>
      </w:r>
      <w:r>
        <w:rPr>
          <w:rFonts w:hint="eastAsia" w:ascii="宋体" w:hAnsi="宋体" w:eastAsia="宋体" w:cs="宋体"/>
          <w:color w:val="auto"/>
          <w:sz w:val="21"/>
          <w:szCs w:val="21"/>
          <w:highlight w:val="none"/>
          <w:lang w:val="en-US" w:eastAsia="zh-CN"/>
        </w:rPr>
        <w:t>97</w:t>
      </w:r>
      <w:r>
        <w:rPr>
          <w:rFonts w:hint="eastAsia" w:ascii="宋体" w:hAnsi="宋体" w:eastAsia="宋体" w:cs="宋体"/>
          <w:color w:val="auto"/>
          <w:sz w:val="21"/>
          <w:szCs w:val="21"/>
          <w:highlight w:val="none"/>
        </w:rPr>
        <w:t>%。</w:t>
      </w:r>
    </w:p>
    <w:p w14:paraId="6F20EEBB">
      <w:pPr>
        <w:keepNext w:val="0"/>
        <w:keepLines w:val="0"/>
        <w:pageBreakBefore w:val="0"/>
        <w:numPr>
          <w:ilvl w:val="0"/>
          <w:numId w:val="0"/>
        </w:numPr>
        <w:tabs>
          <w:tab w:val="left" w:pos="360"/>
        </w:tabs>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3）本项目完成竣工验收备案证后，</w:t>
      </w:r>
      <w:r>
        <w:rPr>
          <w:rFonts w:hint="eastAsia" w:ascii="宋体" w:hAnsi="宋体" w:eastAsia="宋体" w:cs="宋体"/>
          <w:color w:val="auto"/>
          <w:sz w:val="21"/>
          <w:szCs w:val="21"/>
          <w:highlight w:val="none"/>
        </w:rPr>
        <w:t>乙方按甲方程序完成请款后一个月内</w:t>
      </w:r>
      <w:r>
        <w:rPr>
          <w:rFonts w:hint="eastAsia" w:ascii="宋体" w:hAnsi="宋体" w:eastAsia="宋体" w:cs="宋体"/>
          <w:color w:val="auto"/>
          <w:sz w:val="21"/>
          <w:szCs w:val="21"/>
          <w:highlight w:val="none"/>
          <w:lang w:val="en-US" w:eastAsia="zh-CN"/>
        </w:rPr>
        <w:t>支付剩余尾款（不计息）。</w:t>
      </w:r>
    </w:p>
    <w:p w14:paraId="3B2D9A9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4、乙方的收款账户信息如下</w:t>
      </w:r>
      <w:r>
        <w:rPr>
          <w:rFonts w:hint="eastAsia" w:ascii="宋体" w:hAnsi="宋体" w:eastAsia="宋体" w:cs="宋体"/>
          <w:bCs/>
          <w:color w:val="auto"/>
          <w:sz w:val="21"/>
          <w:szCs w:val="21"/>
          <w:highlight w:val="none"/>
        </w:rPr>
        <w:t>：</w:t>
      </w:r>
    </w:p>
    <w:p w14:paraId="078161B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户  名：</w:t>
      </w:r>
    </w:p>
    <w:p w14:paraId="2749280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账  号：</w:t>
      </w:r>
    </w:p>
    <w:p w14:paraId="7209326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开户行：</w:t>
      </w:r>
    </w:p>
    <w:p w14:paraId="4CDC923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纳税人识别号：</w:t>
      </w:r>
    </w:p>
    <w:p w14:paraId="436C2F8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统一社会信用代码：</w:t>
      </w:r>
    </w:p>
    <w:p w14:paraId="21C8FF9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w w:val="90"/>
          <w:sz w:val="21"/>
          <w:szCs w:val="21"/>
          <w:highlight w:val="none"/>
        </w:rPr>
      </w:pPr>
      <w:r>
        <w:rPr>
          <w:rFonts w:hint="eastAsia" w:ascii="宋体" w:hAnsi="宋体" w:eastAsia="宋体" w:cs="宋体"/>
          <w:bCs/>
          <w:color w:val="auto"/>
          <w:sz w:val="21"/>
          <w:szCs w:val="21"/>
          <w:highlight w:val="none"/>
        </w:rPr>
        <w:t>税务登记地址：</w:t>
      </w:r>
    </w:p>
    <w:p w14:paraId="312DE0B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开户行行号：</w:t>
      </w:r>
    </w:p>
    <w:p w14:paraId="29C23A06">
      <w:pPr>
        <w:pStyle w:val="21"/>
        <w:keepNext w:val="0"/>
        <w:keepLines w:val="0"/>
        <w:pageBreakBefore w:val="0"/>
        <w:numPr>
          <w:ilvl w:val="0"/>
          <w:numId w:val="14"/>
        </w:numPr>
        <w:kinsoku/>
        <w:wordWrap/>
        <w:overflowPunct/>
        <w:topLinePunct w:val="0"/>
        <w:bidi w:val="0"/>
        <w:spacing w:line="360" w:lineRule="auto"/>
        <w:ind w:firstLine="420" w:firstLineChars="200"/>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color w:val="auto"/>
          <w:sz w:val="21"/>
          <w:szCs w:val="21"/>
          <w:highlight w:val="none"/>
        </w:rPr>
        <w:t>每次付款前，乙方必须提供合法有效、与本合同总价款条款中增值税税率一致的增值税专用发票给甲方，否则甲方有权拒绝付款且不构成违约；在甲方除支付质保金(如有）外的最后一期款项前，乙方须连同当期支付款项发票和质保金发票一并提交给甲方；若后续出现质保问题，按照质保责任和条款，部分或全部扣除质保金的，不退还相应金额的发票。</w:t>
      </w:r>
      <w:r>
        <w:rPr>
          <w:rFonts w:hint="eastAsia" w:ascii="宋体" w:hAnsi="宋体" w:eastAsia="宋体" w:cs="宋体"/>
          <w:b w:val="0"/>
          <w:bCs w:val="0"/>
          <w:color w:val="auto"/>
          <w:sz w:val="21"/>
          <w:szCs w:val="21"/>
          <w:highlight w:val="none"/>
        </w:rPr>
        <w:t>服务期内除税收政策调整外，固定单价不做任何调整。若合同执行期间，遇国家税务政策调整所引起的合同价格变化，按照合同签定时不含税价格调整结算价格。</w:t>
      </w:r>
    </w:p>
    <w:p w14:paraId="1A0CB8E4">
      <w:pPr>
        <w:pStyle w:val="21"/>
        <w:keepNext w:val="0"/>
        <w:keepLines w:val="0"/>
        <w:pageBreakBefore w:val="0"/>
        <w:numPr>
          <w:ilvl w:val="0"/>
          <w:numId w:val="14"/>
        </w:numPr>
        <w:kinsoku/>
        <w:wordWrap/>
        <w:overflowPunct/>
        <w:topLinePunct w:val="0"/>
        <w:bidi w:val="0"/>
        <w:spacing w:line="360" w:lineRule="auto"/>
        <w:ind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乙方应向甲方开具合法等额的增值税专用发票，若因发票票面信息包括但不限于购买方信息、购买方统一社会信用代码、发票金额、备注、税率等不符合当地税务主管部门要求导致甲方无法抵扣税费（包括但不限于土地增税费、增值税、企业所得税等税费）的，乙方需配合甲方重新开具符合税务要求的发票，否则甲方有权拒绝支付相应款项而不承担任何违约责任。</w:t>
      </w:r>
    </w:p>
    <w:p w14:paraId="0C49CC7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p>
    <w:p w14:paraId="372B9F65">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val="en-US" w:eastAsia="zh-CN"/>
        </w:rPr>
        <w:t>双方</w:t>
      </w:r>
      <w:r>
        <w:rPr>
          <w:rFonts w:hint="eastAsia" w:ascii="宋体" w:hAnsi="宋体" w:eastAsia="宋体" w:cs="宋体"/>
          <w:b/>
          <w:bCs/>
          <w:color w:val="auto"/>
          <w:sz w:val="21"/>
          <w:szCs w:val="21"/>
          <w:highlight w:val="none"/>
        </w:rPr>
        <w:t>权利及义务</w:t>
      </w:r>
    </w:p>
    <w:p w14:paraId="659C0B24">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1、甲方权利及义务：</w:t>
      </w:r>
    </w:p>
    <w:p w14:paraId="7CDD9658">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（1）协助乙方办理仪器及运输设备顺利进场。</w:t>
      </w:r>
    </w:p>
    <w:p w14:paraId="13E8A787">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（2）监督受检施工单位定时向乙方提供进度计划，协调作业时间，保证乙方有足够时间展开检测工作。</w:t>
      </w:r>
    </w:p>
    <w:p w14:paraId="22180488">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（3）有权对乙方的检测工作进行监督，对其违约行为发出整改通知。</w:t>
      </w:r>
    </w:p>
    <w:p w14:paraId="7D8D59E8">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（4）合同履行期间，甲方有权对检测范围、要求、规模及特征等根据项目实际情况作出相应调整，调整后双方根据实际工作量进行结算。</w:t>
      </w:r>
    </w:p>
    <w:p w14:paraId="762034DB">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（5）甲方有权对乙方指派的人员提出更换要求，乙方若无正当理由不应拒绝。</w:t>
      </w:r>
    </w:p>
    <w:p w14:paraId="7B8EEE4B">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2、乙方权利及义务：</w:t>
      </w:r>
    </w:p>
    <w:p w14:paraId="2B95B0BA">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在合同履行期间，乙方及其指派的人员应保持招标文件中要求的及投标文件中承诺的资质等级有效，如服务期内，因乙方丧失中标时具备的资质条件，导致无法承接委托的，甲方将另行委托其他第三方，并要求乙方承担与履约担保等额的违约金。</w:t>
      </w:r>
      <w:r>
        <w:rPr>
          <w:rFonts w:hint="eastAsia" w:ascii="宋体" w:hAnsi="宋体" w:eastAsia="宋体" w:cs="宋体"/>
          <w:b w:val="0"/>
          <w:color w:val="auto"/>
          <w:sz w:val="21"/>
          <w:szCs w:val="21"/>
          <w:highlight w:val="none"/>
          <w:lang w:val="en-US"/>
        </w:rPr>
        <w:t>如违约金不足赔偿甲方全部经济损失的，乙方还应向甲方赔偿不足部分</w:t>
      </w:r>
      <w:r>
        <w:rPr>
          <w:rFonts w:hint="eastAsia" w:ascii="宋体" w:hAnsi="宋体" w:eastAsia="宋体" w:cs="宋体"/>
          <w:b w:val="0"/>
          <w:color w:val="auto"/>
          <w:sz w:val="21"/>
          <w:szCs w:val="21"/>
          <w:highlight w:val="none"/>
        </w:rPr>
        <w:t>。</w:t>
      </w:r>
    </w:p>
    <w:p w14:paraId="09A766EB">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根据经过质检部门审定的第三方检测方案开展工作，按照国家颁发的有关施工检测技术标准或规范，采用科学先进的方法进行检测评估和施工监控，保证数据真实可靠，对检测结果真实性、合法性、完整性及其产生的后果负责。</w:t>
      </w:r>
    </w:p>
    <w:p w14:paraId="6A90C2FA">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（3）乙方应当建立建设工程质量检测管理信息系统（以下简称</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检测管理系统</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及到市住建局建立信用信息档案，检测管理系统需办理连接检测监管系统的手续，检测数据需要同步向监管系统上传。在检测完成第二天将检测数据书面报告甲方和监理单位，且应每月向甲方提供阶段性检测报告（一式六份），全部检测工作完成，15 天内提交正式检测报告一式六份。提供的检测报告、数据成果、文件等质量不合格的，应负责无偿给予修改、补充完善使其达到质量合格。如乙方怠于或无力修改、补充完善，甲方有权另行委托其他单位继续进行，乙方应承担由此产生的全部检测费用及其他损失，并根据本合同约定承担违约责任。</w:t>
      </w:r>
    </w:p>
    <w:p w14:paraId="40322343">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（4）乙方应按本合同及招、投标文件的要求按时提供检测报告和其他甲方认为有必要提供的中间过程资料、图表、照片（包括电子资料）等，以及向甲方提供咨询服务和建议。</w:t>
      </w:r>
    </w:p>
    <w:p w14:paraId="24DF836A">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（5）检测应随着项目工程的进度进行，乙方应在接到检测通知后立即开展工作，不得拖延或拒绝。</w:t>
      </w:r>
    </w:p>
    <w:p w14:paraId="2C14B78F">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（6）乙方应按国家有关规定向派出现场的工作人员提供劳动保护，并承担费用。若因乙方原因发生工作人员或第三人人身伤害等事故的，由乙方承担责任；由此给甲方造成的损失，乙方应承担赔偿责任。</w:t>
      </w:r>
    </w:p>
    <w:p w14:paraId="19E82F51">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（7）检测过程中，乙方自行对本单位的仪器、设备安全负责，对检测所产生的水、电等费用由乙方自行承担。</w:t>
      </w:r>
    </w:p>
    <w:p w14:paraId="2D0DB38E">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（8）与检测工程的施工单位、设计单位、监理单位等单位相互配合，数据共享。</w:t>
      </w:r>
    </w:p>
    <w:p w14:paraId="7379B55C">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（9）本工程范围内增加检测点或频次、延长检测时间，乙方应无条件执行，增加的检测点或频次产生的费用按本合同</w:t>
      </w:r>
      <w:r>
        <w:rPr>
          <w:rFonts w:hint="eastAsia" w:ascii="宋体" w:hAnsi="宋体" w:eastAsia="宋体" w:cs="宋体"/>
          <w:b w:val="0"/>
          <w:color w:val="auto"/>
          <w:sz w:val="21"/>
          <w:szCs w:val="21"/>
          <w:highlight w:val="none"/>
          <w:lang w:val="en-US" w:eastAsia="zh-CN"/>
        </w:rPr>
        <w:t>第三条第2</w:t>
      </w:r>
      <w:r>
        <w:rPr>
          <w:rFonts w:hint="eastAsia" w:ascii="宋体" w:hAnsi="宋体" w:eastAsia="宋体" w:cs="宋体"/>
          <w:b w:val="0"/>
          <w:color w:val="auto"/>
          <w:sz w:val="21"/>
          <w:szCs w:val="21"/>
          <w:highlight w:val="none"/>
        </w:rPr>
        <w:t>点进行计算相应的检测费用。</w:t>
      </w:r>
    </w:p>
    <w:p w14:paraId="695E13A1">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（10）在本合同履行过程中，无论何种原因，乙方均不得消极怠工或拒不履行合同义务（包括但不限于不按照规范及甲方要求进行检测、技术支持、专家会审、解答释疑、事故处理等）。</w:t>
      </w:r>
    </w:p>
    <w:p w14:paraId="0DE12329">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（11）乙方应派具有资质的专门人员为本项目服务，且未经甲方的书面许可，不得随意更换。在检测现场的工作人员，应遵守施工现场安全保卫及其他有关的规章制度，承担有关资料保密的义务。</w:t>
      </w:r>
    </w:p>
    <w:p w14:paraId="51F02BBF">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12）服务期内，乙方应对其派驻的服务人员自身所发生的安全和交通等事故负责，以及对服务人员在甲方工程项目区出现的任何非甲方原因造成的工伤等事故，全部由乙方负责，甲方无需承担任何责任。如因此给甲方造成任何损失的，还应赔偿甲方损失。</w:t>
      </w:r>
    </w:p>
    <w:p w14:paraId="719978D2">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13）乙方提供的检测报告、数据成果、文件等质量不合格的，应负责无偿给予修改、补充完善使其达到甲方要求。乙方提交给甲方的检测成果知识产权归属甲方，乙方须确保甲方在使用过程中免受第三方关于知识产权或其他合法权益的起诉，否则，乙方应承担由此给甲方造成的一切损失。</w:t>
      </w:r>
    </w:p>
    <w:p w14:paraId="37B86B55">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（14）若因政策调整或其他原因，导致本项目延期或暂停的，待条件允许后再启动，乙方须无条件接受和配合相关的工作，乙方不得因此而提出任何增加费用的申请，也不能以此为理由作为索赔依据。</w:t>
      </w:r>
    </w:p>
    <w:p w14:paraId="2F82FDE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p>
    <w:p w14:paraId="4CF791D0">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五、检测计划</w:t>
      </w:r>
    </w:p>
    <w:p w14:paraId="1913C253">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合同签订后7日内，乙方根据《建设工程检测管理办法》（建设部 141 号令）、《东莞市住房和城乡建设局建设工程质量检测管理暂行规定》编制检测方案，结合经批准的工程施工组织设计制定并向甲方提交详细的专项实施性检测方案和实施细则。</w:t>
      </w:r>
    </w:p>
    <w:p w14:paraId="11796A0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p>
    <w:p w14:paraId="6BF6BDB7">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六、验收</w:t>
      </w:r>
    </w:p>
    <w:p w14:paraId="0D15D148">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rPr>
        <w:t>乙方应在检测工作全部完成后20日内向甲方提供检测总结报告等材料。若</w:t>
      </w:r>
      <w:r>
        <w:rPr>
          <w:rFonts w:hint="eastAsia" w:ascii="宋体" w:hAnsi="宋体" w:eastAsia="宋体" w:cs="宋体"/>
          <w:b w:val="0"/>
          <w:color w:val="auto"/>
          <w:sz w:val="21"/>
          <w:szCs w:val="21"/>
          <w:highlight w:val="none"/>
          <w:lang w:val="en-US" w:eastAsia="zh-CN"/>
        </w:rPr>
        <w:t>检测成果文件</w:t>
      </w:r>
      <w:r>
        <w:rPr>
          <w:rFonts w:hint="eastAsia" w:ascii="宋体" w:hAnsi="宋体" w:eastAsia="宋体" w:cs="宋体"/>
          <w:b w:val="0"/>
          <w:color w:val="auto"/>
          <w:sz w:val="21"/>
          <w:szCs w:val="21"/>
          <w:highlight w:val="none"/>
        </w:rPr>
        <w:t>质量</w:t>
      </w:r>
      <w:r>
        <w:rPr>
          <w:rFonts w:hint="eastAsia" w:ascii="宋体" w:hAnsi="宋体" w:eastAsia="宋体" w:cs="宋体"/>
          <w:b w:val="0"/>
          <w:color w:val="auto"/>
          <w:sz w:val="21"/>
          <w:szCs w:val="21"/>
          <w:highlight w:val="none"/>
          <w:lang w:val="en-US" w:eastAsia="zh-CN"/>
        </w:rPr>
        <w:t>不满足</w:t>
      </w:r>
      <w:r>
        <w:rPr>
          <w:rFonts w:hint="eastAsia" w:ascii="宋体" w:hAnsi="宋体" w:eastAsia="宋体" w:cs="宋体"/>
          <w:b w:val="0"/>
          <w:color w:val="auto"/>
          <w:sz w:val="21"/>
          <w:szCs w:val="21"/>
          <w:highlight w:val="none"/>
        </w:rPr>
        <w:t>甲方</w:t>
      </w:r>
      <w:r>
        <w:rPr>
          <w:rFonts w:hint="eastAsia" w:ascii="宋体" w:hAnsi="宋体" w:eastAsia="宋体" w:cs="宋体"/>
          <w:b w:val="0"/>
          <w:color w:val="auto"/>
          <w:sz w:val="21"/>
          <w:szCs w:val="21"/>
          <w:highlight w:val="none"/>
          <w:lang w:val="en-US" w:eastAsia="zh-CN"/>
        </w:rPr>
        <w:t>及相关政府主管部门</w:t>
      </w:r>
      <w:r>
        <w:rPr>
          <w:rFonts w:hint="eastAsia" w:ascii="宋体" w:hAnsi="宋体" w:eastAsia="宋体" w:cs="宋体"/>
          <w:b w:val="0"/>
          <w:color w:val="auto"/>
          <w:sz w:val="21"/>
          <w:szCs w:val="21"/>
          <w:highlight w:val="none"/>
        </w:rPr>
        <w:t>要求，甲方有权要求乙方限期整改。若乙方拒绝整改或未在规定时间内整改，甲方有权单方解除合同并无需支付剩余检测费用，同时乙方需向甲方支付与履约担保等额的违约金（采用履约保证金方式的，履约保证金不予退回）。</w:t>
      </w:r>
      <w:r>
        <w:rPr>
          <w:rFonts w:hint="eastAsia" w:ascii="宋体" w:hAnsi="宋体" w:eastAsia="宋体" w:cs="宋体"/>
          <w:b w:val="0"/>
          <w:color w:val="auto"/>
          <w:sz w:val="21"/>
          <w:szCs w:val="21"/>
          <w:highlight w:val="none"/>
          <w:lang w:val="en-US" w:eastAsia="zh-CN"/>
        </w:rPr>
        <w:t>如违约金不足赔偿甲方全部经济损失的，乙方还应向甲方赔偿不足部分。</w:t>
      </w:r>
    </w:p>
    <w:p w14:paraId="0A3651EE">
      <w:pPr>
        <w:pStyle w:val="51"/>
        <w:keepNext w:val="0"/>
        <w:keepLines w:val="0"/>
        <w:pageBreakBefore w:val="0"/>
        <w:numPr>
          <w:ilvl w:val="-1"/>
          <w:numId w:val="0"/>
        </w:numPr>
        <w:kinsoku/>
        <w:wordWrap/>
        <w:overflowPunct/>
        <w:topLinePunct w:val="0"/>
        <w:bidi w:val="0"/>
        <w:ind w:left="420" w:firstLine="0" w:firstLineChars="0"/>
        <w:textAlignment w:val="auto"/>
        <w:outlineLvl w:val="9"/>
        <w:rPr>
          <w:rFonts w:hint="eastAsia" w:ascii="宋体" w:hAnsi="宋体" w:eastAsia="宋体" w:cs="宋体"/>
          <w:b/>
          <w:color w:val="auto"/>
          <w:sz w:val="21"/>
          <w:szCs w:val="21"/>
          <w:highlight w:val="none"/>
          <w:lang w:val="en-US" w:eastAsia="zh-CN"/>
        </w:rPr>
      </w:pPr>
    </w:p>
    <w:p w14:paraId="09852815">
      <w:pPr>
        <w:pStyle w:val="51"/>
        <w:keepNext w:val="0"/>
        <w:keepLines w:val="0"/>
        <w:pageBreakBefore w:val="0"/>
        <w:numPr>
          <w:ilvl w:val="0"/>
          <w:numId w:val="0"/>
        </w:numPr>
        <w:kinsoku/>
        <w:wordWrap/>
        <w:overflowPunct/>
        <w:topLinePunct w:val="0"/>
        <w:bidi w:val="0"/>
        <w:ind w:left="420" w:firstLine="0" w:firstLineChars="0"/>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bidi="ar-SA"/>
        </w:rPr>
        <w:t>七、</w:t>
      </w:r>
      <w:r>
        <w:rPr>
          <w:rFonts w:hint="eastAsia" w:ascii="宋体" w:hAnsi="宋体" w:eastAsia="宋体" w:cs="宋体"/>
          <w:b/>
          <w:color w:val="auto"/>
          <w:sz w:val="21"/>
          <w:szCs w:val="21"/>
          <w:highlight w:val="none"/>
          <w:lang w:val="en-US" w:eastAsia="zh-CN"/>
        </w:rPr>
        <w:t>知识产权</w:t>
      </w:r>
    </w:p>
    <w:p w14:paraId="2FC5DC7A">
      <w:pPr>
        <w:keepNext w:val="0"/>
        <w:keepLines w:val="0"/>
        <w:pageBreakBefore w:val="0"/>
        <w:widowControl w:val="0"/>
        <w:numPr>
          <w:ilvl w:val="-1"/>
          <w:numId w:val="0"/>
        </w:numPr>
        <w:kinsoku/>
        <w:wordWrap/>
        <w:overflowPunct/>
        <w:topLinePunct w:val="0"/>
        <w:autoSpaceDE/>
        <w:autoSpaceDN/>
        <w:bidi w:val="0"/>
        <w:adjustRightInd w:val="0"/>
        <w:snapToGrid/>
        <w:spacing w:line="500" w:lineRule="exact"/>
        <w:ind w:leftChars="0" w:firstLine="420" w:firstLineChars="200"/>
        <w:textAlignment w:val="auto"/>
        <w:outlineLvl w:val="9"/>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zh-CN" w:eastAsia="zh-CN"/>
        </w:rPr>
        <w:t>甲方提交给乙方使用的素材与资料，其知识产权仍归甲方所有。除为本合同目的而使用之外，乙方不得复制、使用及提供给第三方。</w:t>
      </w:r>
    </w:p>
    <w:p w14:paraId="39E33EB8">
      <w:pPr>
        <w:keepNext w:val="0"/>
        <w:keepLines w:val="0"/>
        <w:pageBreakBefore w:val="0"/>
        <w:widowControl w:val="0"/>
        <w:numPr>
          <w:ilvl w:val="-1"/>
          <w:numId w:val="0"/>
        </w:numPr>
        <w:kinsoku/>
        <w:wordWrap/>
        <w:overflowPunct/>
        <w:topLinePunct w:val="0"/>
        <w:autoSpaceDE/>
        <w:autoSpaceDN/>
        <w:bidi w:val="0"/>
        <w:adjustRightInd w:val="0"/>
        <w:snapToGrid/>
        <w:spacing w:line="500" w:lineRule="exact"/>
        <w:ind w:leftChars="0" w:firstLine="420" w:firstLineChars="200"/>
        <w:textAlignment w:val="auto"/>
        <w:outlineLvl w:val="9"/>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zh-CN" w:eastAsia="zh-CN"/>
        </w:rPr>
        <w:t>乙方向甲方提交的工作成果的全部知识产权均归甲方所有；甲方有权自行决定发表、修改、使用等，相关收益归甲方所有。</w:t>
      </w:r>
    </w:p>
    <w:p w14:paraId="0E77A5C9">
      <w:pPr>
        <w:keepNext w:val="0"/>
        <w:keepLines w:val="0"/>
        <w:pageBreakBefore w:val="0"/>
        <w:widowControl w:val="0"/>
        <w:numPr>
          <w:ilvl w:val="-1"/>
          <w:numId w:val="0"/>
        </w:numPr>
        <w:kinsoku/>
        <w:wordWrap/>
        <w:overflowPunct/>
        <w:topLinePunct w:val="0"/>
        <w:autoSpaceDE/>
        <w:autoSpaceDN/>
        <w:bidi w:val="0"/>
        <w:adjustRightInd w:val="0"/>
        <w:snapToGrid/>
        <w:spacing w:line="500" w:lineRule="exact"/>
        <w:ind w:leftChars="0" w:firstLine="420" w:firstLineChars="200"/>
        <w:textAlignment w:val="auto"/>
        <w:outlineLvl w:val="9"/>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eastAsia="zh-CN"/>
        </w:rPr>
        <w:t>乙方保证向甲方交付的工作成果（包括但不限于工作成果所使用的素材）不侵犯第三方的知识产权等权利，保证甲方在使用该工作成果时免受第三方提出侵犯其任何专利权、著作权、商标权、商业秘密或其他知识产权的起诉及索赔。</w:t>
      </w:r>
    </w:p>
    <w:p w14:paraId="1C7CC894">
      <w:pPr>
        <w:keepNext w:val="0"/>
        <w:keepLines w:val="0"/>
        <w:pageBreakBefore w:val="0"/>
        <w:widowControl w:val="0"/>
        <w:numPr>
          <w:ilvl w:val="0"/>
          <w:numId w:val="0"/>
        </w:numPr>
        <w:kinsoku/>
        <w:wordWrap/>
        <w:overflowPunct/>
        <w:topLinePunct w:val="0"/>
        <w:bidi w:val="0"/>
        <w:adjustRightInd w:val="0"/>
        <w:spacing w:line="500" w:lineRule="exact"/>
        <w:ind w:firstLineChars="200"/>
        <w:textAlignment w:val="auto"/>
        <w:outlineLvl w:val="9"/>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lang w:val="zh-CN" w:eastAsia="zh-CN"/>
        </w:rPr>
        <w:t>对任何因乙方交付的工作成果侵犯第三方专利权、著作权、商标权、商业秘密或其他知识产权导致第三方向甲方主张权利的，甲方应及时通知乙方，乙方将自费就上述权利主张为甲方辩护，并承担因此导致的一切法律责任，包括但不限于法院最终判决的或和解达成的一切费用（包括但不限于损害赔偿金和律师费等费用）。若甲方受到此类索赔或起诉，并因此造成甲方的一切损失由乙方承担，甲方有权解除合同，乙方应当向甲方退还甲方已付的全部款项，同时乙方应向甲方支付合同总价20%的违约金。前述违约金不足以弥补甲方损失的，甲方有权继续追偿。</w:t>
      </w:r>
    </w:p>
    <w:p w14:paraId="1FD3A56A">
      <w:pPr>
        <w:pStyle w:val="51"/>
        <w:keepNext w:val="0"/>
        <w:keepLines w:val="0"/>
        <w:pageBreakBefore w:val="0"/>
        <w:numPr>
          <w:ilvl w:val="-1"/>
          <w:numId w:val="0"/>
        </w:numPr>
        <w:kinsoku/>
        <w:wordWrap/>
        <w:overflowPunct/>
        <w:topLinePunct w:val="0"/>
        <w:bidi w:val="0"/>
        <w:ind w:left="420" w:firstLine="0" w:firstLineChars="0"/>
        <w:textAlignment w:val="auto"/>
        <w:outlineLvl w:val="9"/>
        <w:rPr>
          <w:rFonts w:hint="eastAsia" w:ascii="宋体" w:hAnsi="宋体" w:eastAsia="宋体" w:cs="宋体"/>
          <w:b/>
          <w:color w:val="auto"/>
          <w:sz w:val="21"/>
          <w:szCs w:val="21"/>
          <w:highlight w:val="none"/>
          <w:lang w:val="en-US" w:eastAsia="zh-CN"/>
        </w:rPr>
      </w:pPr>
    </w:p>
    <w:p w14:paraId="0737FF59">
      <w:pPr>
        <w:pStyle w:val="51"/>
        <w:keepNext w:val="0"/>
        <w:keepLines w:val="0"/>
        <w:pageBreakBefore w:val="0"/>
        <w:numPr>
          <w:ilvl w:val="0"/>
          <w:numId w:val="0"/>
        </w:numPr>
        <w:kinsoku/>
        <w:wordWrap/>
        <w:overflowPunct/>
        <w:topLinePunct w:val="0"/>
        <w:bidi w:val="0"/>
        <w:ind w:left="420" w:firstLine="0" w:firstLineChars="0"/>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bidi="ar-SA"/>
        </w:rPr>
        <w:t>八、</w:t>
      </w:r>
      <w:r>
        <w:rPr>
          <w:rFonts w:hint="eastAsia" w:ascii="宋体" w:hAnsi="宋体" w:eastAsia="宋体" w:cs="宋体"/>
          <w:b/>
          <w:color w:val="auto"/>
          <w:sz w:val="21"/>
          <w:szCs w:val="21"/>
          <w:highlight w:val="none"/>
          <w:lang w:val="en-US" w:eastAsia="zh-CN"/>
        </w:rPr>
        <w:t>保密责任</w:t>
      </w:r>
    </w:p>
    <w:p w14:paraId="2C05199D">
      <w:pPr>
        <w:pStyle w:val="34"/>
        <w:keepNext w:val="0"/>
        <w:keepLines w:val="0"/>
        <w:pageBreakBefore w:val="0"/>
        <w:kinsoku/>
        <w:wordWrap/>
        <w:overflowPunct/>
        <w:topLinePunct w:val="0"/>
        <w:bidi w:val="0"/>
        <w:spacing w:line="500" w:lineRule="exact"/>
        <w:ind w:firstLineChars="200"/>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乙方保证对在讨论、签订、履行本合同过程中所获悉的属于甲方及甲方关联方的且无法自公开渠道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前述保密义务，在本合同终止或解除之后仍需履行。如乙方或乙方员工泄露甲方的商业秘密致使甲方受到损失的，由乙方承担赔偿责任。</w:t>
      </w:r>
    </w:p>
    <w:p w14:paraId="688A3FF4">
      <w:pPr>
        <w:pStyle w:val="34"/>
        <w:keepNext w:val="0"/>
        <w:keepLines w:val="0"/>
        <w:pageBreakBefore w:val="0"/>
        <w:kinsoku/>
        <w:wordWrap/>
        <w:overflowPunct/>
        <w:topLinePunct w:val="0"/>
        <w:bidi w:val="0"/>
        <w:spacing w:line="500" w:lineRule="exact"/>
        <w:ind w:firstLineChars="200"/>
        <w:textAlignment w:val="auto"/>
        <w:outlineLvl w:val="9"/>
        <w:rPr>
          <w:rFonts w:hint="eastAsia" w:ascii="宋体" w:hAnsi="宋体" w:eastAsia="宋体" w:cs="宋体"/>
          <w:color w:val="auto"/>
          <w:kern w:val="2"/>
          <w:sz w:val="21"/>
          <w:szCs w:val="24"/>
          <w:highlight w:val="none"/>
          <w:lang w:val="en-US" w:eastAsia="zh-CN" w:bidi="ar-SA"/>
        </w:rPr>
      </w:pPr>
    </w:p>
    <w:p w14:paraId="133F8BC3">
      <w:pPr>
        <w:pStyle w:val="51"/>
        <w:keepNext w:val="0"/>
        <w:keepLines w:val="0"/>
        <w:pageBreakBefore w:val="0"/>
        <w:numPr>
          <w:ilvl w:val="0"/>
          <w:numId w:val="0"/>
        </w:numPr>
        <w:kinsoku/>
        <w:wordWrap/>
        <w:overflowPunct/>
        <w:topLinePunct w:val="0"/>
        <w:bidi w:val="0"/>
        <w:spacing w:line="360" w:lineRule="auto"/>
        <w:ind w:left="420"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、违约责任</w:t>
      </w:r>
    </w:p>
    <w:p w14:paraId="01DEB5B7">
      <w:pPr>
        <w:pStyle w:val="21"/>
        <w:keepNext w:val="0"/>
        <w:keepLines w:val="0"/>
        <w:pageBreakBefore w:val="0"/>
        <w:kinsoku/>
        <w:wordWrap/>
        <w:overflowPunct/>
        <w:topLinePunct w:val="0"/>
        <w:bidi w:val="0"/>
        <w:spacing w:line="360" w:lineRule="auto"/>
        <w:ind w:right="0" w:firstLine="422" w:firstLineChars="200"/>
        <w:jc w:val="left"/>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9.1 甲方违约责任</w:t>
      </w:r>
    </w:p>
    <w:p w14:paraId="768D9D73">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9.1.1</w:t>
      </w:r>
      <w:r>
        <w:rPr>
          <w:rFonts w:hint="eastAsia" w:ascii="宋体" w:hAnsi="宋体" w:eastAsia="宋体" w:cs="宋体"/>
          <w:b w:val="0"/>
          <w:color w:val="auto"/>
          <w:sz w:val="21"/>
          <w:szCs w:val="21"/>
          <w:highlight w:val="none"/>
          <w:lang w:val="en-US"/>
        </w:rPr>
        <w:t>由于工程中途停建而终止合同或在</w:t>
      </w:r>
      <w:r>
        <w:rPr>
          <w:rFonts w:hint="eastAsia" w:ascii="宋体" w:hAnsi="宋体" w:eastAsia="宋体" w:cs="宋体"/>
          <w:b w:val="0"/>
          <w:color w:val="auto"/>
          <w:sz w:val="21"/>
          <w:szCs w:val="21"/>
          <w:highlight w:val="none"/>
          <w:lang w:val="en-US" w:eastAsia="zh-CN"/>
        </w:rPr>
        <w:t>乙方</w:t>
      </w:r>
      <w:r>
        <w:rPr>
          <w:rFonts w:hint="eastAsia" w:ascii="宋体" w:hAnsi="宋体" w:eastAsia="宋体" w:cs="宋体"/>
          <w:b w:val="0"/>
          <w:color w:val="auto"/>
          <w:sz w:val="21"/>
          <w:szCs w:val="21"/>
          <w:highlight w:val="none"/>
          <w:lang w:val="en-US"/>
        </w:rPr>
        <w:t>无过错而甲方要求解除合同</w:t>
      </w:r>
      <w:r>
        <w:rPr>
          <w:rFonts w:hint="eastAsia" w:ascii="宋体" w:hAnsi="宋体" w:eastAsia="宋体" w:cs="宋体"/>
          <w:b w:val="0"/>
          <w:color w:val="auto"/>
          <w:sz w:val="21"/>
          <w:szCs w:val="21"/>
          <w:highlight w:val="none"/>
        </w:rPr>
        <w:t>，</w:t>
      </w:r>
      <w:r>
        <w:rPr>
          <w:rFonts w:hint="eastAsia" w:ascii="宋体" w:hAnsi="宋体" w:eastAsia="宋体" w:cs="宋体"/>
          <w:b w:val="0"/>
          <w:color w:val="auto"/>
          <w:sz w:val="21"/>
          <w:szCs w:val="21"/>
          <w:highlight w:val="none"/>
          <w:lang w:val="en-US" w:eastAsia="zh-CN"/>
        </w:rPr>
        <w:t>如乙方未实际开展工作的，应退还全部已付合同价款；如乙方已实际开展工作的，甲方应据乙方实际工作量结算合同价款，乙方不得追究甲方其他违约责任</w:t>
      </w:r>
      <w:r>
        <w:rPr>
          <w:rFonts w:hint="eastAsia" w:ascii="宋体" w:hAnsi="宋体" w:eastAsia="宋体" w:cs="宋体"/>
          <w:b w:val="0"/>
          <w:color w:val="auto"/>
          <w:sz w:val="21"/>
          <w:szCs w:val="21"/>
          <w:highlight w:val="none"/>
        </w:rPr>
        <w:t>。</w:t>
      </w:r>
    </w:p>
    <w:p w14:paraId="1F7F9952">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9.1.2</w:t>
      </w:r>
      <w:r>
        <w:rPr>
          <w:rFonts w:hint="eastAsia" w:ascii="宋体" w:hAnsi="宋体" w:eastAsia="宋体" w:cs="宋体"/>
          <w:b w:val="0"/>
          <w:color w:val="auto"/>
          <w:sz w:val="21"/>
          <w:szCs w:val="21"/>
          <w:highlight w:val="none"/>
        </w:rPr>
        <w:t>甲方无正当理由逾期支付合同价款的，甲方应当向乙方支付逾期付款违约金。逾期付款违约金以逾期金额为本金，从甲方逾期付款当日起按照当月已发布的一年期LPR计算至合同价款付清之日。</w:t>
      </w:r>
    </w:p>
    <w:p w14:paraId="3CC05D44">
      <w:pPr>
        <w:pStyle w:val="21"/>
        <w:keepNext w:val="0"/>
        <w:keepLines w:val="0"/>
        <w:pageBreakBefore w:val="0"/>
        <w:kinsoku/>
        <w:wordWrap/>
        <w:overflowPunct/>
        <w:topLinePunct w:val="0"/>
        <w:bidi w:val="0"/>
        <w:spacing w:line="360" w:lineRule="auto"/>
        <w:ind w:right="0" w:firstLine="422" w:firstLineChars="200"/>
        <w:jc w:val="left"/>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9.2 乙方违约责任</w:t>
      </w:r>
    </w:p>
    <w:p w14:paraId="05B76305">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9.2.1</w:t>
      </w:r>
      <w:r>
        <w:rPr>
          <w:rFonts w:hint="eastAsia" w:ascii="宋体" w:hAnsi="宋体" w:eastAsia="宋体" w:cs="宋体"/>
          <w:b w:val="0"/>
          <w:color w:val="auto"/>
          <w:sz w:val="21"/>
          <w:szCs w:val="21"/>
          <w:highlight w:val="none"/>
        </w:rPr>
        <w:t>乙方应在合同规定时间内向甲方提交详细的专项实施性检测方案和实施细则，并经设计单位、监理单位及甲方核审，若经审核检测方案和实施细则不满足检测项目的需求，乙方应无条件在 24 小时内完成整改。如整改后的方案还不能满足要求的，乙方应继续整改并保证在24小时内完成。第三次（含本次）整改时开始计算违约金，乙方每整改（时限24小时）一次，向甲方支付违约金20,000.00元。</w:t>
      </w:r>
    </w:p>
    <w:p w14:paraId="064C01BE">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9.2.2 </w:t>
      </w:r>
      <w:r>
        <w:rPr>
          <w:rFonts w:hint="eastAsia" w:ascii="宋体" w:hAnsi="宋体" w:eastAsia="宋体" w:cs="宋体"/>
          <w:b w:val="0"/>
          <w:color w:val="auto"/>
          <w:sz w:val="21"/>
          <w:szCs w:val="21"/>
          <w:highlight w:val="none"/>
        </w:rPr>
        <w:t>乙方在接到检测通知后24个小时内立即开展工作，不得拖延或拒绝。每拖延1天或拒绝服务1 次的，乙方必须在24小时内整改完毕并向甲方支付违约金10000.00元，若乙方连续拖延5天或拒绝服务次数超过三次（含三次）或以上，甲方有权没收乙方履约担保，并有权另行委托其他第三方进行检测服务并保留单方面解除合同的权利。同时，造成甲方的经济损失（包括但不限于重新采购、委托第三方的费用），由乙方承担全部赔偿。</w:t>
      </w:r>
    </w:p>
    <w:p w14:paraId="710EBCFD">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9.2.3 </w:t>
      </w:r>
      <w:r>
        <w:rPr>
          <w:rFonts w:hint="eastAsia" w:ascii="宋体" w:hAnsi="宋体" w:eastAsia="宋体" w:cs="宋体"/>
          <w:b w:val="0"/>
          <w:color w:val="auto"/>
          <w:sz w:val="21"/>
          <w:szCs w:val="21"/>
          <w:highlight w:val="none"/>
        </w:rPr>
        <w:t>乙方须确保检测报告中检测数据和相关资料、工况的综合分析的准确性和合法性。如发现相关信息有误，每项错误向甲方支付违约金10000.00元。乙方须确保检测报告真实性，如发现相关信息存在弄虚作假，每次向甲方支付违约金100000.00元。</w:t>
      </w:r>
    </w:p>
    <w:p w14:paraId="535BD7C6">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9.2.4 </w:t>
      </w:r>
      <w:r>
        <w:rPr>
          <w:rFonts w:hint="eastAsia" w:ascii="宋体" w:hAnsi="宋体" w:eastAsia="宋体" w:cs="宋体"/>
          <w:b w:val="0"/>
          <w:color w:val="auto"/>
          <w:sz w:val="21"/>
          <w:szCs w:val="21"/>
          <w:highlight w:val="none"/>
        </w:rPr>
        <w:t>因乙方提供的检测报告、数据、文件等不合格，不能满足技术要求，或因乙方原因造成工程事故的，乙方应承担赔偿责任（包括但不限于施工单位损失赔偿、第三人侵权赔偿责任等），并向甲方承担违约责任，每次向甲方支付违约金200000.00元；如甲方实际损失高于违约金的，甲方有权另行向乙方追偿。</w:t>
      </w:r>
    </w:p>
    <w:p w14:paraId="32FE89CF">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9.2.5 </w:t>
      </w:r>
      <w:r>
        <w:rPr>
          <w:rFonts w:hint="eastAsia" w:ascii="宋体" w:hAnsi="宋体" w:eastAsia="宋体" w:cs="宋体"/>
          <w:b w:val="0"/>
          <w:color w:val="auto"/>
          <w:sz w:val="21"/>
          <w:szCs w:val="21"/>
          <w:highlight w:val="none"/>
        </w:rPr>
        <w:t>由于乙方原因未按合同约定提交检测报告、成果数据、文件资料等的，每超过一日，向甲方支付违约金10000.00元。</w:t>
      </w:r>
    </w:p>
    <w:p w14:paraId="7322C608">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9.2.6 </w:t>
      </w:r>
      <w:r>
        <w:rPr>
          <w:rFonts w:hint="eastAsia" w:ascii="宋体" w:hAnsi="宋体" w:eastAsia="宋体" w:cs="宋体"/>
          <w:b w:val="0"/>
          <w:color w:val="auto"/>
          <w:sz w:val="21"/>
          <w:szCs w:val="21"/>
          <w:highlight w:val="none"/>
        </w:rPr>
        <w:t>乙方应按及时足额向工人发放工资待遇以及其他劳动待遇等，不得无故拖欠或克扣，如有违反的，由乙方全部负责。如对甲方工作造成影响的，根据工人诉求，甲方有权直接从应付而未付检测费用中直接扣除予以垫付，由此导致的法律后果由乙方全部承担。乙方承担与履约担保等额的违约金。</w:t>
      </w:r>
    </w:p>
    <w:p w14:paraId="5787E719">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9.2.7 若甲方因乙方履行合同的过程或交付的工作成果而遭受第三方诉讼、索赔或政府行政处罚，甲方有权独立参与针对该项诉请的应诉抗辩或和解。由于甲方参与应诉抗辩或承担判决、和解所发生的一切费用（包括但不限于基于判决、裁定、政府处罚等承担的费用、损失赔偿、诉讼费、律师费、差旅费等）由乙方承担。乙方同意，在有关诉请结案前，甲方对诉请等额的未付款项暂停支付直至诉请案件结案。如甲方应诉答辩需要乙方配合的，乙方应在收到甲方通知后将对由此而引起的任何诉讼或法律请求进行抗辩配合或协助提供相应的证据。</w:t>
      </w:r>
    </w:p>
    <w:p w14:paraId="61341DA3">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9.2.8 如乙方违约的，甲方除有权要求乙方承担违约责任外，还有权要求乙方支付维权成本，包括但不限于诉讼/仲裁费、调查取证费/公证费/鉴定费、律师费、保全费、担保费、差旅费等维权费用及其他合理费用。</w:t>
      </w:r>
    </w:p>
    <w:p w14:paraId="32B88ABF">
      <w:pPr>
        <w:pStyle w:val="21"/>
        <w:keepNext w:val="0"/>
        <w:keepLines w:val="0"/>
        <w:pageBreakBefore w:val="0"/>
        <w:kinsoku/>
        <w:wordWrap/>
        <w:overflowPunct/>
        <w:topLinePunct w:val="0"/>
        <w:bidi w:val="0"/>
        <w:spacing w:line="360" w:lineRule="auto"/>
        <w:ind w:right="0"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9.2.9 因乙方原因所产生的违约金、赔偿或其他应付费用，甲方有权从乙方提供的履约担保金额或甲方应支付的合同价款中直接扣除。</w:t>
      </w:r>
    </w:p>
    <w:p w14:paraId="1314DA9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p>
    <w:p w14:paraId="28E99B1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eastAsia="宋体" w:cs="宋体"/>
          <w:b/>
          <w:bCs/>
          <w:color w:val="auto"/>
          <w:sz w:val="21"/>
          <w:szCs w:val="21"/>
          <w:highlight w:val="none"/>
        </w:rPr>
        <w:t>、履约担保</w:t>
      </w:r>
    </w:p>
    <w:p w14:paraId="291B87E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乙方领取中标通知书后，应向甲方提交履约担保，履约担保金额为本合同暂定合同价的10%。如乙方违反本合同约定，甲方有权依合同追究违约责任外，同时有权要求开具保函向银行</w:t>
      </w:r>
      <w:r>
        <w:rPr>
          <w:rFonts w:hint="eastAsia" w:ascii="宋体" w:hAnsi="宋体" w:eastAsia="宋体" w:cs="宋体"/>
          <w:color w:val="auto"/>
          <w:highlight w:val="none"/>
          <w:lang w:eastAsia="zh-CN"/>
        </w:rPr>
        <w:t>支付相应的违约金、赔偿金</w:t>
      </w:r>
      <w:r>
        <w:rPr>
          <w:rFonts w:hint="eastAsia" w:ascii="宋体" w:hAnsi="宋体" w:eastAsia="宋体" w:cs="宋体"/>
          <w:color w:val="auto"/>
          <w:sz w:val="21"/>
          <w:szCs w:val="21"/>
          <w:highlight w:val="none"/>
        </w:rPr>
        <w:t>或直接在履约保证金中扣除乙方的</w:t>
      </w:r>
      <w:r>
        <w:rPr>
          <w:rFonts w:hint="eastAsia" w:ascii="宋体" w:hAnsi="宋体" w:eastAsia="宋体" w:cs="宋体"/>
          <w:color w:val="auto"/>
          <w:sz w:val="21"/>
          <w:szCs w:val="21"/>
          <w:highlight w:val="none"/>
          <w:lang w:val="en-US" w:eastAsia="zh-CN"/>
        </w:rPr>
        <w:t>违约金、赔偿金</w:t>
      </w:r>
      <w:r>
        <w:rPr>
          <w:rFonts w:hint="eastAsia" w:ascii="宋体" w:hAnsi="宋体" w:eastAsia="宋体" w:cs="宋体"/>
          <w:color w:val="auto"/>
          <w:highlight w:val="none"/>
          <w:lang w:eastAsia="zh-CN"/>
        </w:rPr>
        <w:t>，违</w:t>
      </w:r>
      <w:r>
        <w:rPr>
          <w:rFonts w:hint="eastAsia" w:ascii="宋体" w:hAnsi="宋体" w:eastAsia="宋体" w:cs="宋体"/>
          <w:color w:val="auto"/>
          <w:sz w:val="21"/>
          <w:szCs w:val="21"/>
          <w:highlight w:val="none"/>
          <w:lang w:eastAsia="zh-CN"/>
        </w:rPr>
        <w:t>约金、赔偿金超过履约担保金额的，承包人还应当对超过部分予以赔偿。</w:t>
      </w:r>
    </w:p>
    <w:p w14:paraId="171FA866">
      <w:pPr>
        <w:keepNext w:val="0"/>
        <w:keepLines w:val="0"/>
        <w:pageBreakBefore w:val="0"/>
        <w:kinsoku/>
        <w:wordWrap/>
        <w:overflowPunct/>
        <w:topLinePunct w:val="0"/>
        <w:bidi w:val="0"/>
        <w:spacing w:line="360" w:lineRule="auto"/>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履约担保形式为提供银行履约保函的，履约保函应是银行支行一级或以上银行机构出，并经甲方同意</w:t>
      </w:r>
      <w:r>
        <w:rPr>
          <w:rFonts w:hint="eastAsia" w:ascii="宋体" w:hAnsi="宋体" w:eastAsia="宋体" w:cs="宋体"/>
          <w:color w:val="auto"/>
          <w:sz w:val="21"/>
          <w:szCs w:val="21"/>
          <w:highlight w:val="none"/>
          <w:lang w:eastAsia="zh-CN"/>
        </w:rPr>
        <w:t>，执行本项时所发生的费用由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eastAsia="zh-CN"/>
        </w:rPr>
        <w:t>承担</w:t>
      </w:r>
      <w:r>
        <w:rPr>
          <w:rFonts w:hint="eastAsia" w:ascii="宋体" w:hAnsi="宋体" w:eastAsia="宋体" w:cs="宋体"/>
          <w:color w:val="auto"/>
          <w:sz w:val="21"/>
          <w:szCs w:val="21"/>
          <w:highlight w:val="none"/>
        </w:rPr>
        <w:t>。履约保函的内容，应符合招标文件和本合同的要求。履约保函应从合同签订之日起至</w:t>
      </w:r>
      <w:r>
        <w:rPr>
          <w:rFonts w:hint="eastAsia" w:ascii="宋体" w:hAnsi="宋体" w:eastAsia="宋体" w:cs="宋体"/>
          <w:color w:val="auto"/>
          <w:sz w:val="21"/>
          <w:szCs w:val="21"/>
          <w:highlight w:val="none"/>
          <w:lang w:val="en-US" w:eastAsia="zh-CN"/>
        </w:rPr>
        <w:t>本合同</w:t>
      </w:r>
      <w:r>
        <w:rPr>
          <w:rFonts w:hint="eastAsia" w:ascii="宋体" w:hAnsi="宋体" w:eastAsia="宋体" w:cs="宋体"/>
          <w:color w:val="auto"/>
          <w:sz w:val="21"/>
          <w:szCs w:val="21"/>
          <w:highlight w:val="none"/>
        </w:rPr>
        <w:t>结算经双方签字确定后</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保持有效。如乙方提交的履约保函的有效期先于合同要求的履约保函有效期届满的，乙方必须在履约保函到期前15日内无条件办理办妥延期手续或重新提供银行保函，否则视为乙方违约，甲方有权在保函到期前向出具履约保函的银行提取履约保证金。如甲方未在到期前向出具履约保函的银行提取履约</w:t>
      </w:r>
      <w:r>
        <w:rPr>
          <w:rFonts w:hint="eastAsia" w:ascii="宋体" w:hAnsi="宋体" w:eastAsia="宋体" w:cs="宋体"/>
          <w:color w:val="auto"/>
          <w:sz w:val="21"/>
          <w:szCs w:val="21"/>
          <w:highlight w:val="none"/>
          <w:lang w:val="en-US" w:eastAsia="zh-CN"/>
        </w:rPr>
        <w:t>保函金额</w:t>
      </w:r>
      <w:r>
        <w:rPr>
          <w:rFonts w:hint="eastAsia" w:ascii="宋体" w:hAnsi="宋体" w:eastAsia="宋体" w:cs="宋体"/>
          <w:color w:val="auto"/>
          <w:sz w:val="21"/>
          <w:szCs w:val="21"/>
          <w:highlight w:val="none"/>
        </w:rPr>
        <w:t>的，仍有权要求乙方限期重新提供履约保函，或按保函金额为限要求乙方承担违约金，违约金可直接从未付合同金额中扣除。</w:t>
      </w:r>
    </w:p>
    <w:p w14:paraId="751B3E44">
      <w:pPr>
        <w:keepNext w:val="0"/>
        <w:keepLines w:val="0"/>
        <w:pageBreakBefore w:val="0"/>
        <w:kinsoku/>
        <w:wordWrap/>
        <w:overflowPunct/>
        <w:topLinePunct w:val="0"/>
        <w:bidi w:val="0"/>
        <w:spacing w:line="360" w:lineRule="auto"/>
        <w:ind w:firstLine="420" w:firstLineChars="200"/>
        <w:contextualSpacing/>
        <w:textAlignment w:val="auto"/>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履约担保形式为履约保证金的，履约保证金应以乙方名义通过银行转账方式转入甲方指定的银行账户，不接受由其分支机构账户或私人账户、其他单位账户以现金、转账等方式转入的保证金。无论以何种形式转入的履约保证金，担保期结束经乙方申请，一律以银行转账的方式无息原路退回到乙方原汇入账户</w:t>
      </w:r>
      <w:r>
        <w:rPr>
          <w:rFonts w:hint="eastAsia" w:ascii="宋体" w:hAnsi="宋体" w:eastAsia="宋体" w:cs="宋体"/>
          <w:color w:val="auto"/>
          <w:highlight w:val="none"/>
        </w:rPr>
        <w:t>。</w:t>
      </w:r>
    </w:p>
    <w:p w14:paraId="4C3ECEA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p>
    <w:p w14:paraId="038FADFB">
      <w:pPr>
        <w:pStyle w:val="51"/>
        <w:keepNext w:val="0"/>
        <w:keepLines w:val="0"/>
        <w:pageBreakBefore w:val="0"/>
        <w:numPr>
          <w:ilvl w:val="0"/>
          <w:numId w:val="0"/>
        </w:numPr>
        <w:kinsoku/>
        <w:wordWrap/>
        <w:overflowPunct/>
        <w:topLinePunct w:val="0"/>
        <w:bidi w:val="0"/>
        <w:spacing w:line="360" w:lineRule="auto"/>
        <w:ind w:left="420" w:firstLine="0" w:firstLineChars="0"/>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不可抗力</w:t>
      </w:r>
    </w:p>
    <w:p w14:paraId="23869EBB">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contextualSpacing/>
        <w:textAlignment w:val="auto"/>
        <w:outlineLvl w:val="9"/>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1、不可抗力的确认</w:t>
      </w:r>
    </w:p>
    <w:p w14:paraId="6E0189F4">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contextualSpacing/>
        <w:textAlignment w:val="auto"/>
        <w:outlineLvl w:val="9"/>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不可抗力是指甲乙双方在订立合同时不可预见，在履行合同过程中不可避免发生并不能克服的自然灾害、政策的调整和社会性突发事件，如地震、海啸、瘟疫、水灾、骚乱、暴动、战争等。</w:t>
      </w:r>
    </w:p>
    <w:p w14:paraId="0655235C">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0" w:firstLineChars="200"/>
        <w:contextualSpacing/>
        <w:textAlignment w:val="auto"/>
        <w:outlineLvl w:val="9"/>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 xml:space="preserve"> 2、不可抗力的通知</w:t>
      </w:r>
    </w:p>
    <w:p w14:paraId="3AF3EA08">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contextualSpacing/>
        <w:textAlignment w:val="auto"/>
        <w:outlineLvl w:val="9"/>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合同一方当事人遇到不可抗力事件，使其履行合同义务受到阻碍时，应立即通知合同另一方当事人，书面说明不可抗力和受阻碍的详细情况，并提供必要的证明。</w:t>
      </w:r>
    </w:p>
    <w:p w14:paraId="78A96683">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contextualSpacing/>
        <w:textAlignment w:val="auto"/>
        <w:outlineLvl w:val="9"/>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3、不可抗力后果及其处理</w:t>
      </w:r>
    </w:p>
    <w:p w14:paraId="5E3E8C74">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contextualSpacing/>
        <w:textAlignment w:val="auto"/>
        <w:outlineLvl w:val="9"/>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（1）合同一方延迟履行，在延迟履行期间发生不可抗力的，不免除其责任。</w:t>
      </w:r>
    </w:p>
    <w:p w14:paraId="612863F8">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contextualSpacing/>
        <w:textAlignment w:val="auto"/>
        <w:outlineLvl w:val="9"/>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（2）不可抗力发生后，合同双方均应采取措施尽量避免和减少损失的扩大，任何一方没有采取有效措施导致损失扩大的，应对扩大的损失承担责任。</w:t>
      </w:r>
    </w:p>
    <w:p w14:paraId="50E8C657">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contextualSpacing/>
        <w:textAlignment w:val="auto"/>
        <w:outlineLvl w:val="9"/>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（3）合同一方因不可抗力不能履行合同的，应当及时通知对方解除合同。双方根据乙方实际完成工作量据实结算合同费用。</w:t>
      </w:r>
    </w:p>
    <w:p w14:paraId="248E7765">
      <w:pPr>
        <w:keepNext w:val="0"/>
        <w:keepLines w:val="0"/>
        <w:pageBreakBefore w:val="0"/>
        <w:numPr>
          <w:ilvl w:val="0"/>
          <w:numId w:val="0"/>
        </w:numPr>
        <w:tabs>
          <w:tab w:val="left" w:pos="1695"/>
          <w:tab w:val="left" w:pos="2700"/>
        </w:tabs>
        <w:kinsoku/>
        <w:wordWrap/>
        <w:overflowPunct/>
        <w:topLinePunct w:val="0"/>
        <w:bidi w:val="0"/>
        <w:spacing w:line="440" w:lineRule="exact"/>
        <w:ind w:left="420"/>
        <w:textAlignment w:val="auto"/>
        <w:outlineLvl w:val="9"/>
        <w:rPr>
          <w:rFonts w:hint="eastAsia" w:ascii="宋体" w:hAnsi="宋体" w:eastAsia="宋体" w:cs="宋体"/>
          <w:b/>
          <w:color w:val="auto"/>
          <w:szCs w:val="21"/>
          <w:highlight w:val="none"/>
          <w:lang w:eastAsia="zh-CN"/>
        </w:rPr>
      </w:pPr>
    </w:p>
    <w:p w14:paraId="3C37BB6F">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color w:val="auto"/>
          <w:sz w:val="21"/>
          <w:szCs w:val="21"/>
          <w:highlight w:val="none"/>
          <w:lang w:eastAsia="zh-CN"/>
        </w:rPr>
        <w:t>第十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val="0"/>
          <w:color w:val="auto"/>
          <w:sz w:val="21"/>
          <w:szCs w:val="21"/>
          <w:highlight w:val="none"/>
          <w:lang w:val="en-US" w:eastAsia="zh-CN"/>
        </w:rPr>
        <w:t xml:space="preserve"> 争议解决</w:t>
      </w:r>
    </w:p>
    <w:p w14:paraId="2F228419">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contextualSpacing/>
        <w:textAlignment w:val="auto"/>
        <w:outlineLvl w:val="9"/>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本合同发生争议，双方当事人应及时协商解决；经双方协商无法解决的争议，双方同意按照以下方式解决：凡因本合同引起的或与本合同有关的任何争议，均提交项目所在地有管辖权的人民法院裁决。</w:t>
      </w:r>
    </w:p>
    <w:p w14:paraId="1F07699B">
      <w:pPr>
        <w:keepNext w:val="0"/>
        <w:keepLines w:val="0"/>
        <w:pageBreakBefore w:val="0"/>
        <w:numPr>
          <w:ilvl w:val="0"/>
          <w:numId w:val="0"/>
        </w:numPr>
        <w:kinsoku/>
        <w:wordWrap/>
        <w:overflowPunct/>
        <w:topLinePunct w:val="0"/>
        <w:bidi w:val="0"/>
        <w:spacing w:line="400" w:lineRule="exact"/>
        <w:ind w:firstLine="482" w:firstLineChars="200"/>
        <w:textAlignment w:val="auto"/>
        <w:outlineLvl w:val="9"/>
        <w:rPr>
          <w:rFonts w:hint="eastAsia" w:ascii="宋体" w:hAnsi="宋体" w:eastAsia="宋体" w:cs="宋体"/>
          <w:b/>
          <w:color w:val="auto"/>
          <w:szCs w:val="21"/>
          <w:highlight w:val="none"/>
          <w:lang w:val="en-US" w:eastAsia="zh-CN"/>
        </w:rPr>
      </w:pPr>
    </w:p>
    <w:p w14:paraId="3F0C2A0A">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第十三条  </w:t>
      </w:r>
      <w:r>
        <w:rPr>
          <w:rFonts w:hint="eastAsia" w:ascii="宋体" w:hAnsi="宋体" w:eastAsia="宋体" w:cs="宋体"/>
          <w:b/>
          <w:bCs w:val="0"/>
          <w:color w:val="auto"/>
          <w:sz w:val="21"/>
          <w:szCs w:val="21"/>
          <w:highlight w:val="none"/>
          <w:lang w:val="en-US" w:eastAsia="zh-CN"/>
        </w:rPr>
        <w:t>通知</w:t>
      </w:r>
    </w:p>
    <w:p w14:paraId="296C6EE1">
      <w:pPr>
        <w:keepNext w:val="0"/>
        <w:keepLines w:val="0"/>
        <w:pageBreakBefore w:val="0"/>
        <w:numPr>
          <w:ilvl w:val="0"/>
          <w:numId w:val="0"/>
        </w:numPr>
        <w:kinsoku/>
        <w:wordWrap/>
        <w:overflowPunct/>
        <w:topLinePunct w:val="0"/>
        <w:bidi w:val="0"/>
        <w:spacing w:line="400" w:lineRule="exact"/>
        <w:ind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双方各自指定履行本合同的联系人，一方资料、文件之交接及意见之传达、接收均通过联系人进行。</w:t>
      </w:r>
    </w:p>
    <w:p w14:paraId="704BB2CF">
      <w:pPr>
        <w:keepNext w:val="0"/>
        <w:keepLines w:val="0"/>
        <w:pageBreakBefore w:val="0"/>
        <w:numPr>
          <w:ilvl w:val="0"/>
          <w:numId w:val="0"/>
        </w:numPr>
        <w:kinsoku/>
        <w:wordWrap/>
        <w:overflowPunct/>
        <w:topLinePunct w:val="0"/>
        <w:bidi w:val="0"/>
        <w:spacing w:line="240" w:lineRule="auto"/>
        <w:ind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甲方指定联系人：                                                               </w:t>
      </w:r>
    </w:p>
    <w:p w14:paraId="1F0840AA">
      <w:pPr>
        <w:keepNext w:val="0"/>
        <w:keepLines w:val="0"/>
        <w:pageBreakBefore w:val="0"/>
        <w:numPr>
          <w:ilvl w:val="0"/>
          <w:numId w:val="0"/>
        </w:numPr>
        <w:kinsoku/>
        <w:wordWrap/>
        <w:overflowPunct/>
        <w:topLinePunct w:val="0"/>
        <w:bidi w:val="0"/>
        <w:spacing w:line="240" w:lineRule="auto"/>
        <w:ind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姓    名： ____________________________________________</w:t>
      </w:r>
    </w:p>
    <w:p w14:paraId="36CD58C6">
      <w:pPr>
        <w:keepNext w:val="0"/>
        <w:keepLines w:val="0"/>
        <w:pageBreakBefore w:val="0"/>
        <w:numPr>
          <w:ilvl w:val="0"/>
          <w:numId w:val="0"/>
        </w:numPr>
        <w:kinsoku/>
        <w:wordWrap/>
        <w:overflowPunct/>
        <w:topLinePunct w:val="0"/>
        <w:bidi w:val="0"/>
        <w:spacing w:line="400" w:lineRule="exact"/>
        <w:ind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联系电话： __________________________________</w:t>
      </w:r>
    </w:p>
    <w:p w14:paraId="687CAFE4">
      <w:pPr>
        <w:keepNext w:val="0"/>
        <w:keepLines w:val="0"/>
        <w:pageBreakBefore w:val="0"/>
        <w:numPr>
          <w:ilvl w:val="0"/>
          <w:numId w:val="0"/>
        </w:numPr>
        <w:kinsoku/>
        <w:wordWrap/>
        <w:overflowPunct/>
        <w:topLinePunct w:val="0"/>
        <w:bidi w:val="0"/>
        <w:spacing w:line="400" w:lineRule="exact"/>
        <w:ind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电子邮箱： ____________________________________________________</w:t>
      </w:r>
    </w:p>
    <w:p w14:paraId="323F9729">
      <w:pPr>
        <w:keepNext w:val="0"/>
        <w:keepLines w:val="0"/>
        <w:pageBreakBefore w:val="0"/>
        <w:numPr>
          <w:ilvl w:val="0"/>
          <w:numId w:val="0"/>
        </w:numPr>
        <w:kinsoku/>
        <w:wordWrap/>
        <w:overflowPunct/>
        <w:topLinePunct w:val="0"/>
        <w:bidi w:val="0"/>
        <w:spacing w:line="400" w:lineRule="exact"/>
        <w:ind w:left="499" w:leftChars="208" w:firstLine="0" w:firstLineChars="0"/>
        <w:jc w:val="left"/>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通讯地址：_____________________________________________________ </w:t>
      </w:r>
    </w:p>
    <w:p w14:paraId="2680DF57">
      <w:pPr>
        <w:keepNext w:val="0"/>
        <w:keepLines w:val="0"/>
        <w:pageBreakBefore w:val="0"/>
        <w:numPr>
          <w:ilvl w:val="0"/>
          <w:numId w:val="0"/>
        </w:numPr>
        <w:kinsoku/>
        <w:wordWrap/>
        <w:overflowPunct/>
        <w:topLinePunct w:val="0"/>
        <w:bidi w:val="0"/>
        <w:spacing w:line="400" w:lineRule="exact"/>
        <w:ind w:left="499" w:leftChars="208" w:firstLine="0" w:firstLineChars="0"/>
        <w:jc w:val="left"/>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甲方单位咨询电话:0769-23366373          </w:t>
      </w:r>
    </w:p>
    <w:p w14:paraId="6DE20FF6">
      <w:pPr>
        <w:keepNext w:val="0"/>
        <w:keepLines w:val="0"/>
        <w:pageBreakBefore w:val="0"/>
        <w:numPr>
          <w:ilvl w:val="0"/>
          <w:numId w:val="0"/>
        </w:numPr>
        <w:kinsoku/>
        <w:wordWrap/>
        <w:overflowPunct/>
        <w:topLinePunct w:val="0"/>
        <w:bidi w:val="0"/>
        <w:spacing w:line="400" w:lineRule="exact"/>
        <w:ind w:left="499" w:leftChars="208" w:firstLine="0" w:firstLineChars="0"/>
        <w:jc w:val="left"/>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乙方指定联系人：                                                             </w:t>
      </w:r>
    </w:p>
    <w:p w14:paraId="2196FF1D">
      <w:pPr>
        <w:keepNext w:val="0"/>
        <w:keepLines w:val="0"/>
        <w:pageBreakBefore w:val="0"/>
        <w:numPr>
          <w:ilvl w:val="0"/>
          <w:numId w:val="0"/>
        </w:numPr>
        <w:kinsoku/>
        <w:wordWrap/>
        <w:overflowPunct/>
        <w:topLinePunct w:val="0"/>
        <w:bidi w:val="0"/>
        <w:spacing w:line="400" w:lineRule="exact"/>
        <w:ind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姓    名：_____________________________________________________</w:t>
      </w:r>
    </w:p>
    <w:p w14:paraId="1E555A1C">
      <w:pPr>
        <w:keepNext w:val="0"/>
        <w:keepLines w:val="0"/>
        <w:pageBreakBefore w:val="0"/>
        <w:numPr>
          <w:ilvl w:val="0"/>
          <w:numId w:val="0"/>
        </w:numPr>
        <w:kinsoku/>
        <w:wordWrap/>
        <w:overflowPunct/>
        <w:topLinePunct w:val="0"/>
        <w:bidi w:val="0"/>
        <w:spacing w:line="400" w:lineRule="exact"/>
        <w:ind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联系电话：_____________________________________________________</w:t>
      </w:r>
    </w:p>
    <w:p w14:paraId="35A3503F">
      <w:pPr>
        <w:keepNext w:val="0"/>
        <w:keepLines w:val="0"/>
        <w:pageBreakBefore w:val="0"/>
        <w:numPr>
          <w:ilvl w:val="0"/>
          <w:numId w:val="0"/>
        </w:numPr>
        <w:kinsoku/>
        <w:wordWrap/>
        <w:overflowPunct/>
        <w:topLinePunct w:val="0"/>
        <w:bidi w:val="0"/>
        <w:spacing w:line="400" w:lineRule="exact"/>
        <w:ind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电子邮箱：_____________________________________________________</w:t>
      </w:r>
    </w:p>
    <w:p w14:paraId="1031670C">
      <w:pPr>
        <w:keepNext w:val="0"/>
        <w:keepLines w:val="0"/>
        <w:pageBreakBefore w:val="0"/>
        <w:numPr>
          <w:ilvl w:val="0"/>
          <w:numId w:val="0"/>
        </w:numPr>
        <w:kinsoku/>
        <w:wordWrap/>
        <w:overflowPunct/>
        <w:topLinePunct w:val="0"/>
        <w:bidi w:val="0"/>
        <w:spacing w:line="400" w:lineRule="exact"/>
        <w:ind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通讯地址：_____________________________________________________</w:t>
      </w:r>
    </w:p>
    <w:p w14:paraId="1F940A7F">
      <w:pPr>
        <w:keepNext w:val="0"/>
        <w:keepLines w:val="0"/>
        <w:pageBreakBefore w:val="0"/>
        <w:numPr>
          <w:ilvl w:val="0"/>
          <w:numId w:val="0"/>
        </w:numPr>
        <w:tabs>
          <w:tab w:val="left" w:pos="1695"/>
          <w:tab w:val="left" w:pos="2700"/>
        </w:tabs>
        <w:kinsoku/>
        <w:wordWrap/>
        <w:overflowPunct/>
        <w:topLinePunct w:val="0"/>
        <w:bidi w:val="0"/>
        <w:spacing w:line="440" w:lineRule="exact"/>
        <w:ind w:left="0" w:leftChars="0" w:firstLine="482" w:firstLineChars="200"/>
        <w:textAlignment w:val="auto"/>
        <w:outlineLvl w:val="9"/>
        <w:rPr>
          <w:rFonts w:hint="eastAsia" w:ascii="宋体" w:hAnsi="宋体" w:eastAsia="宋体" w:cs="宋体"/>
          <w:b/>
          <w:color w:val="auto"/>
          <w:szCs w:val="21"/>
          <w:highlight w:val="none"/>
          <w:lang w:val="en-US" w:eastAsia="zh-CN"/>
        </w:rPr>
      </w:pPr>
    </w:p>
    <w:p w14:paraId="406F3A48">
      <w:pPr>
        <w:keepNext w:val="0"/>
        <w:keepLines w:val="0"/>
        <w:pageBreakBefore w:val="0"/>
        <w:numPr>
          <w:ilvl w:val="0"/>
          <w:numId w:val="0"/>
        </w:numPr>
        <w:kinsoku/>
        <w:wordWrap/>
        <w:overflowPunct/>
        <w:topLinePunct w:val="0"/>
        <w:bidi w:val="0"/>
        <w:spacing w:line="400" w:lineRule="exact"/>
        <w:ind w:firstLine="48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 xml:space="preserve">第十四条 </w:t>
      </w:r>
      <w:r>
        <w:rPr>
          <w:rFonts w:hint="eastAsia" w:ascii="宋体" w:hAnsi="宋体" w:eastAsia="宋体" w:cs="宋体"/>
          <w:b/>
          <w:color w:val="auto"/>
          <w:szCs w:val="21"/>
          <w:highlight w:val="none"/>
        </w:rPr>
        <w:t>其它</w:t>
      </w:r>
    </w:p>
    <w:p w14:paraId="67A431EC">
      <w:pPr>
        <w:keepNext w:val="0"/>
        <w:keepLines w:val="0"/>
        <w:pageBreakBefore w:val="0"/>
        <w:kinsoku/>
        <w:wordWrap/>
        <w:overflowPunct/>
        <w:topLinePunct w:val="0"/>
        <w:bidi w:val="0"/>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14.1</w:t>
      </w:r>
      <w:r>
        <w:rPr>
          <w:rFonts w:hint="eastAsia" w:ascii="宋体" w:hAnsi="宋体" w:eastAsia="宋体" w:cs="宋体"/>
          <w:color w:val="auto"/>
          <w:sz w:val="22"/>
          <w:szCs w:val="22"/>
          <w:highlight w:val="none"/>
        </w:rPr>
        <w:t>本合同正文与下列附件共同构成本合同双方协商达成一致的全部内容：</w:t>
      </w:r>
    </w:p>
    <w:p w14:paraId="5884A70D">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附件1：阳光合作协议</w:t>
      </w:r>
    </w:p>
    <w:p w14:paraId="731D03E7">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附件2：工程量清单报价表</w:t>
      </w:r>
    </w:p>
    <w:p w14:paraId="249BED17">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附件3：建筑施工安全生产协议书</w:t>
      </w:r>
    </w:p>
    <w:p w14:paraId="67B417EF">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附件</w:t>
      </w:r>
      <w:r>
        <w:rPr>
          <w:rFonts w:hint="eastAsia" w:ascii="宋体" w:hAnsi="宋体" w:eastAsia="宋体" w:cs="宋体"/>
          <w:color w:val="auto"/>
          <w:sz w:val="21"/>
          <w:szCs w:val="21"/>
          <w:highlight w:val="none"/>
          <w:lang w:val="en-US" w:eastAsia="zh-CN"/>
        </w:rPr>
        <w:t>4：中标通知书</w:t>
      </w:r>
    </w:p>
    <w:p w14:paraId="76E6D6BA">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附件5：履约担保凭证</w:t>
      </w:r>
    </w:p>
    <w:p w14:paraId="3252125F">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附件6：磋商文件</w:t>
      </w:r>
    </w:p>
    <w:p w14:paraId="32AEF9C0">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附件7：投标文件</w:t>
      </w:r>
    </w:p>
    <w:p w14:paraId="4DCB5C79">
      <w:pPr>
        <w:keepNext w:val="0"/>
        <w:keepLines w:val="0"/>
        <w:pageBreakBefore w:val="0"/>
        <w:kinsoku/>
        <w:wordWrap/>
        <w:overflowPunct/>
        <w:topLinePunct w:val="0"/>
        <w:bidi w:val="0"/>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.2本合同未尽事宜，经双方平等友好协商一致，可签订补充协议。</w:t>
      </w:r>
    </w:p>
    <w:p w14:paraId="73B1BA80">
      <w:pPr>
        <w:keepNext w:val="0"/>
        <w:keepLines w:val="0"/>
        <w:pageBreakBefore w:val="0"/>
        <w:kinsoku/>
        <w:wordWrap/>
        <w:overflowPunct/>
        <w:topLinePunct w:val="0"/>
        <w:bidi w:val="0"/>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.3本合同自双方有权代表签字、单位盖章后生效。</w:t>
      </w:r>
    </w:p>
    <w:p w14:paraId="4BC308B3">
      <w:pPr>
        <w:keepNext w:val="0"/>
        <w:keepLines w:val="0"/>
        <w:pageBreakBefore w:val="0"/>
        <w:kinsoku/>
        <w:wordWrap/>
        <w:overflowPunct/>
        <w:topLinePunct w:val="0"/>
        <w:bidi w:val="0"/>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.4本合同一式【   】份，甲方执【   】份，乙方执【   】份，各份具有同等法律效力。</w:t>
      </w:r>
    </w:p>
    <w:p w14:paraId="6C4B75BC">
      <w:pPr>
        <w:pStyle w:val="21"/>
        <w:keepNext w:val="0"/>
        <w:keepLines w:val="0"/>
        <w:pageBreakBefore w:val="0"/>
        <w:kinsoku/>
        <w:wordWrap/>
        <w:overflowPunct/>
        <w:topLinePunct w:val="0"/>
        <w:bidi w:val="0"/>
        <w:spacing w:line="408" w:lineRule="auto"/>
        <w:ind w:left="330" w:right="100" w:firstLine="208"/>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（以下无正文）</w:t>
      </w:r>
    </w:p>
    <w:p w14:paraId="22F93D0E">
      <w:pPr>
        <w:pStyle w:val="2"/>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lang w:eastAsia="zh-CN"/>
        </w:rPr>
      </w:pPr>
    </w:p>
    <w:p w14:paraId="6DEA8F30">
      <w:pPr>
        <w:keepNext w:val="0"/>
        <w:keepLines w:val="0"/>
        <w:pageBreakBefore w:val="0"/>
        <w:tabs>
          <w:tab w:val="left" w:pos="4559"/>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（盖章）        乙方：                  （盖章）</w:t>
      </w:r>
    </w:p>
    <w:p w14:paraId="5CC57E8A">
      <w:pPr>
        <w:keepNext w:val="0"/>
        <w:keepLines w:val="0"/>
        <w:pageBreakBefore w:val="0"/>
        <w:tabs>
          <w:tab w:val="left" w:pos="5190"/>
        </w:tabs>
        <w:kinsoku/>
        <w:wordWrap/>
        <w:overflowPunct/>
        <w:topLinePunct w:val="0"/>
        <w:bidi w:val="0"/>
        <w:spacing w:line="360" w:lineRule="auto"/>
        <w:ind w:left="4620" w:hanging="4620" w:hangingChars="2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法定代表人（或授权代理人）签字（或私章）：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法定代表人（或授权代理人）签</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字（或私章）：</w:t>
      </w:r>
    </w:p>
    <w:p w14:paraId="58F140AA">
      <w:pPr>
        <w:pStyle w:val="21"/>
        <w:keepNext w:val="0"/>
        <w:keepLines w:val="0"/>
        <w:pageBreakBefore w:val="0"/>
        <w:kinsoku/>
        <w:wordWrap/>
        <w:overflowPunct/>
        <w:topLinePunct w:val="0"/>
        <w:bidi w:val="0"/>
        <w:spacing w:line="360" w:lineRule="auto"/>
        <w:ind w:right="0"/>
        <w:jc w:val="left"/>
        <w:textAlignment w:val="auto"/>
        <w:outlineLvl w:val="9"/>
        <w:rPr>
          <w:rFonts w:hint="eastAsia" w:ascii="宋体" w:hAnsi="宋体" w:eastAsia="宋体" w:cs="宋体"/>
          <w:b w:val="0"/>
          <w:color w:val="auto"/>
          <w:sz w:val="21"/>
          <w:szCs w:val="21"/>
          <w:highlight w:val="none"/>
        </w:rPr>
      </w:pPr>
    </w:p>
    <w:p w14:paraId="565577AF">
      <w:pPr>
        <w:pStyle w:val="21"/>
        <w:keepNext w:val="0"/>
        <w:keepLines w:val="0"/>
        <w:pageBreakBefore w:val="0"/>
        <w:kinsoku/>
        <w:wordWrap/>
        <w:overflowPunct/>
        <w:topLinePunct w:val="0"/>
        <w:bidi w:val="0"/>
        <w:spacing w:line="360" w:lineRule="auto"/>
        <w:ind w:left="0" w:right="0"/>
        <w:jc w:val="left"/>
        <w:textAlignment w:val="auto"/>
        <w:outlineLvl w:val="9"/>
        <w:rPr>
          <w:rFonts w:hint="eastAsia" w:ascii="宋体" w:hAnsi="宋体" w:eastAsia="宋体" w:cs="宋体"/>
          <w:b w:val="0"/>
          <w:color w:val="auto"/>
          <w:sz w:val="21"/>
          <w:szCs w:val="21"/>
          <w:highlight w:val="none"/>
          <w:u w:val="none"/>
          <w:lang w:val="en-US"/>
        </w:rPr>
      </w:pPr>
      <w:r>
        <w:rPr>
          <w:rFonts w:hint="eastAsia" w:ascii="宋体" w:hAnsi="宋体" w:eastAsia="宋体" w:cs="宋体"/>
          <w:b w:val="0"/>
          <w:color w:val="auto"/>
          <w:sz w:val="21"/>
          <w:szCs w:val="21"/>
          <w:highlight w:val="none"/>
          <w:u w:val="none"/>
        </w:rPr>
        <w:t>地址：</w:t>
      </w:r>
      <w:r>
        <w:rPr>
          <w:rFonts w:hint="eastAsia" w:ascii="宋体" w:hAnsi="宋体" w:eastAsia="宋体" w:cs="宋体"/>
          <w:b w:val="0"/>
          <w:color w:val="auto"/>
          <w:sz w:val="21"/>
          <w:szCs w:val="21"/>
          <w:highlight w:val="none"/>
          <w:u w:val="none"/>
          <w:lang w:val="en-US" w:eastAsia="zh-CN"/>
        </w:rPr>
        <w:t xml:space="preserve">              </w:t>
      </w:r>
      <w:r>
        <w:rPr>
          <w:rFonts w:hint="eastAsia" w:hAnsi="宋体" w:cs="宋体"/>
          <w:b w:val="0"/>
          <w:color w:val="auto"/>
          <w:sz w:val="21"/>
          <w:szCs w:val="21"/>
          <w:highlight w:val="none"/>
          <w:u w:val="none"/>
          <w:lang w:val="en-US" w:eastAsia="zh-CN"/>
        </w:rPr>
        <w:t xml:space="preserve">                        </w:t>
      </w:r>
      <w:r>
        <w:rPr>
          <w:rFonts w:hint="eastAsia" w:ascii="宋体" w:hAnsi="宋体" w:eastAsia="宋体" w:cs="宋体"/>
          <w:b w:val="0"/>
          <w:color w:val="auto"/>
          <w:sz w:val="21"/>
          <w:szCs w:val="21"/>
          <w:highlight w:val="none"/>
          <w:u w:val="none"/>
        </w:rPr>
        <w:t xml:space="preserve"> 地址：</w:t>
      </w:r>
      <w:r>
        <w:rPr>
          <w:rFonts w:hint="eastAsia" w:ascii="宋体" w:hAnsi="宋体" w:eastAsia="宋体" w:cs="宋体"/>
          <w:b w:val="0"/>
          <w:color w:val="auto"/>
          <w:sz w:val="21"/>
          <w:szCs w:val="21"/>
          <w:highlight w:val="none"/>
          <w:u w:val="none"/>
          <w:lang w:val="en-US" w:eastAsia="zh-CN"/>
        </w:rPr>
        <w:t xml:space="preserve">                          </w:t>
      </w:r>
    </w:p>
    <w:p w14:paraId="47B0EB4C">
      <w:pPr>
        <w:pStyle w:val="21"/>
        <w:keepNext w:val="0"/>
        <w:keepLines w:val="0"/>
        <w:pageBreakBefore w:val="0"/>
        <w:kinsoku/>
        <w:wordWrap/>
        <w:overflowPunct/>
        <w:topLinePunct w:val="0"/>
        <w:bidi w:val="0"/>
        <w:spacing w:line="360" w:lineRule="auto"/>
        <w:ind w:left="0" w:right="0"/>
        <w:jc w:val="left"/>
        <w:textAlignment w:val="auto"/>
        <w:outlineLvl w:val="9"/>
        <w:rPr>
          <w:rFonts w:hint="eastAsia" w:ascii="宋体" w:hAnsi="宋体" w:eastAsia="宋体" w:cs="宋体"/>
          <w:b w:val="0"/>
          <w:color w:val="auto"/>
          <w:sz w:val="21"/>
          <w:szCs w:val="21"/>
          <w:highlight w:val="none"/>
          <w:u w:val="none"/>
        </w:rPr>
      </w:pPr>
      <w:r>
        <w:rPr>
          <w:rFonts w:hint="eastAsia" w:ascii="宋体" w:hAnsi="宋体" w:eastAsia="宋体" w:cs="宋体"/>
          <w:b w:val="0"/>
          <w:color w:val="auto"/>
          <w:sz w:val="21"/>
          <w:szCs w:val="21"/>
          <w:highlight w:val="none"/>
          <w:u w:val="none"/>
        </w:rPr>
        <w:t>电话：</w:t>
      </w:r>
      <w:r>
        <w:rPr>
          <w:rFonts w:hint="eastAsia" w:hAnsi="宋体" w:cs="宋体"/>
          <w:b w:val="0"/>
          <w:color w:val="auto"/>
          <w:sz w:val="21"/>
          <w:szCs w:val="21"/>
          <w:highlight w:val="none"/>
          <w:u w:val="none"/>
          <w:lang w:val="en-US" w:eastAsia="zh-CN"/>
        </w:rPr>
        <w:t xml:space="preserve"> </w:t>
      </w:r>
      <w:r>
        <w:rPr>
          <w:rFonts w:hint="eastAsia" w:ascii="宋体" w:hAnsi="宋体" w:eastAsia="宋体" w:cs="宋体"/>
          <w:b w:val="0"/>
          <w:color w:val="auto"/>
          <w:sz w:val="21"/>
          <w:szCs w:val="21"/>
          <w:highlight w:val="none"/>
          <w:u w:val="none"/>
        </w:rPr>
        <w:tab/>
      </w:r>
      <w:r>
        <w:rPr>
          <w:rFonts w:hint="eastAsia" w:ascii="宋体" w:hAnsi="宋体" w:eastAsia="宋体" w:cs="宋体"/>
          <w:b w:val="0"/>
          <w:color w:val="auto"/>
          <w:sz w:val="21"/>
          <w:szCs w:val="21"/>
          <w:highlight w:val="none"/>
          <w:u w:val="none"/>
        </w:rPr>
        <w:t xml:space="preserve">                      </w:t>
      </w:r>
      <w:r>
        <w:rPr>
          <w:rFonts w:hint="eastAsia" w:hAnsi="宋体" w:cs="宋体"/>
          <w:b w:val="0"/>
          <w:color w:val="auto"/>
          <w:sz w:val="21"/>
          <w:szCs w:val="21"/>
          <w:highlight w:val="none"/>
          <w:u w:val="none"/>
          <w:lang w:val="en-US" w:eastAsia="zh-CN"/>
        </w:rPr>
        <w:t xml:space="preserve">       </w:t>
      </w:r>
      <w:r>
        <w:rPr>
          <w:rFonts w:hint="eastAsia" w:ascii="宋体" w:hAnsi="宋体" w:eastAsia="宋体" w:cs="宋体"/>
          <w:b w:val="0"/>
          <w:color w:val="auto"/>
          <w:sz w:val="21"/>
          <w:szCs w:val="21"/>
          <w:highlight w:val="none"/>
          <w:u w:val="none"/>
        </w:rPr>
        <w:t xml:space="preserve">  电话：</w:t>
      </w:r>
    </w:p>
    <w:p w14:paraId="1211214E">
      <w:pPr>
        <w:pStyle w:val="21"/>
        <w:keepNext w:val="0"/>
        <w:keepLines w:val="0"/>
        <w:pageBreakBefore w:val="0"/>
        <w:kinsoku/>
        <w:wordWrap/>
        <w:overflowPunct/>
        <w:topLinePunct w:val="0"/>
        <w:bidi w:val="0"/>
        <w:spacing w:line="360" w:lineRule="auto"/>
        <w:ind w:left="0" w:right="0"/>
        <w:jc w:val="left"/>
        <w:textAlignment w:val="auto"/>
        <w:outlineLvl w:val="9"/>
        <w:rPr>
          <w:rFonts w:hint="eastAsia" w:ascii="宋体" w:hAnsi="宋体" w:eastAsia="宋体" w:cs="宋体"/>
          <w:b w:val="0"/>
          <w:color w:val="auto"/>
          <w:sz w:val="21"/>
          <w:szCs w:val="21"/>
          <w:highlight w:val="none"/>
          <w:u w:val="none"/>
        </w:rPr>
      </w:pPr>
      <w:r>
        <w:rPr>
          <w:rFonts w:hint="eastAsia" w:ascii="宋体" w:hAnsi="宋体" w:eastAsia="宋体" w:cs="宋体"/>
          <w:b w:val="0"/>
          <w:color w:val="auto"/>
          <w:sz w:val="21"/>
          <w:szCs w:val="21"/>
          <w:highlight w:val="none"/>
          <w:u w:val="none"/>
        </w:rPr>
        <w:t>传真：</w:t>
      </w:r>
      <w:r>
        <w:rPr>
          <w:rFonts w:hint="eastAsia" w:ascii="宋体" w:hAnsi="宋体" w:eastAsia="宋体" w:cs="宋体"/>
          <w:b w:val="0"/>
          <w:color w:val="auto"/>
          <w:sz w:val="21"/>
          <w:szCs w:val="21"/>
          <w:highlight w:val="none"/>
          <w:u w:val="none"/>
        </w:rPr>
        <w:tab/>
      </w:r>
      <w:r>
        <w:rPr>
          <w:rFonts w:hint="eastAsia" w:ascii="宋体" w:hAnsi="宋体" w:eastAsia="宋体" w:cs="宋体"/>
          <w:b w:val="0"/>
          <w:color w:val="auto"/>
          <w:sz w:val="21"/>
          <w:szCs w:val="21"/>
          <w:highlight w:val="none"/>
          <w:u w:val="none"/>
        </w:rPr>
        <w:t xml:space="preserve">                              </w:t>
      </w:r>
      <w:r>
        <w:rPr>
          <w:rFonts w:hint="eastAsia" w:ascii="宋体" w:hAnsi="宋体" w:eastAsia="宋体" w:cs="宋体"/>
          <w:b w:val="0"/>
          <w:color w:val="auto"/>
          <w:sz w:val="21"/>
          <w:szCs w:val="21"/>
          <w:highlight w:val="none"/>
          <w:u w:val="none"/>
          <w:lang w:val="en-US" w:eastAsia="zh-CN"/>
        </w:rPr>
        <w:t xml:space="preserve">       </w:t>
      </w:r>
      <w:r>
        <w:rPr>
          <w:rFonts w:hint="eastAsia" w:ascii="宋体" w:hAnsi="宋体" w:eastAsia="宋体" w:cs="宋体"/>
          <w:b w:val="0"/>
          <w:color w:val="auto"/>
          <w:sz w:val="21"/>
          <w:szCs w:val="21"/>
          <w:highlight w:val="none"/>
          <w:u w:val="none"/>
        </w:rPr>
        <w:t xml:space="preserve"> 传真：</w:t>
      </w:r>
    </w:p>
    <w:p w14:paraId="33C2C289">
      <w:pPr>
        <w:keepNext w:val="0"/>
        <w:keepLines w:val="0"/>
        <w:pageBreakBefore w:val="0"/>
        <w:tabs>
          <w:tab w:val="left" w:pos="5190"/>
        </w:tabs>
        <w:kinsoku/>
        <w:wordWrap/>
        <w:overflowPunct/>
        <w:topLinePunct w:val="0"/>
        <w:bidi w:val="0"/>
        <w:spacing w:line="360" w:lineRule="auto"/>
        <w:ind w:firstLine="0" w:firstLineChars="0"/>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开户银行：</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开户银行：</w:t>
      </w:r>
    </w:p>
    <w:p w14:paraId="2F76140D">
      <w:pPr>
        <w:pStyle w:val="21"/>
        <w:keepNext w:val="0"/>
        <w:keepLines w:val="0"/>
        <w:pageBreakBefore w:val="0"/>
        <w:tabs>
          <w:tab w:val="left" w:pos="5190"/>
        </w:tabs>
        <w:kinsoku/>
        <w:wordWrap/>
        <w:overflowPunct/>
        <w:topLinePunct w:val="0"/>
        <w:bidi w:val="0"/>
        <w:spacing w:line="360" w:lineRule="auto"/>
        <w:ind w:left="0" w:right="0"/>
        <w:jc w:val="left"/>
        <w:textAlignment w:val="auto"/>
        <w:outlineLvl w:val="9"/>
        <w:rPr>
          <w:rFonts w:hint="eastAsia" w:ascii="宋体" w:hAnsi="宋体" w:eastAsia="宋体" w:cs="宋体"/>
          <w:b w:val="0"/>
          <w:color w:val="auto"/>
          <w:sz w:val="21"/>
          <w:szCs w:val="21"/>
          <w:highlight w:val="none"/>
          <w:u w:val="none"/>
        </w:rPr>
      </w:pPr>
      <w:r>
        <w:rPr>
          <w:rFonts w:hint="eastAsia" w:ascii="宋体" w:hAnsi="宋体" w:eastAsia="宋体" w:cs="宋体"/>
          <w:b w:val="0"/>
          <w:color w:val="auto"/>
          <w:sz w:val="21"/>
          <w:szCs w:val="21"/>
          <w:highlight w:val="none"/>
          <w:u w:val="none"/>
        </w:rPr>
        <w:t>账号：</w:t>
      </w:r>
      <w:r>
        <w:rPr>
          <w:rFonts w:hint="eastAsia" w:ascii="宋体" w:hAnsi="宋体" w:eastAsia="宋体" w:cs="宋体"/>
          <w:b w:val="0"/>
          <w:color w:val="auto"/>
          <w:sz w:val="21"/>
          <w:szCs w:val="21"/>
          <w:highlight w:val="none"/>
          <w:u w:val="none"/>
          <w:lang w:val="en-US" w:eastAsia="zh-CN"/>
        </w:rPr>
        <w:t xml:space="preserve">                                       </w:t>
      </w:r>
      <w:r>
        <w:rPr>
          <w:rFonts w:hint="eastAsia" w:ascii="宋体" w:hAnsi="宋体" w:eastAsia="宋体" w:cs="宋体"/>
          <w:b w:val="0"/>
          <w:color w:val="auto"/>
          <w:sz w:val="21"/>
          <w:szCs w:val="21"/>
          <w:highlight w:val="none"/>
          <w:u w:val="none"/>
        </w:rPr>
        <w:t>账号：</w:t>
      </w:r>
    </w:p>
    <w:p w14:paraId="3A968883">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p w14:paraId="10F6C63D">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p w14:paraId="5353DEFE">
      <w:pPr>
        <w:pStyle w:val="21"/>
        <w:keepNext w:val="0"/>
        <w:keepLines w:val="0"/>
        <w:pageBreakBefore w:val="0"/>
        <w:kinsoku/>
        <w:wordWrap/>
        <w:overflowPunct/>
        <w:topLinePunct w:val="0"/>
        <w:bidi w:val="0"/>
        <w:spacing w:before="9"/>
        <w:textAlignment w:val="auto"/>
        <w:outlineLvl w:val="9"/>
        <w:rPr>
          <w:rFonts w:hint="eastAsia" w:ascii="宋体" w:hAnsi="宋体" w:eastAsia="宋体" w:cs="宋体"/>
          <w:color w:val="auto"/>
          <w:sz w:val="21"/>
          <w:szCs w:val="21"/>
          <w:highlight w:val="none"/>
        </w:rPr>
      </w:pPr>
    </w:p>
    <w:p w14:paraId="37140145">
      <w:pPr>
        <w:pStyle w:val="21"/>
        <w:keepNext w:val="0"/>
        <w:keepLines w:val="0"/>
        <w:pageBreakBefore w:val="0"/>
        <w:tabs>
          <w:tab w:val="left" w:pos="2623"/>
          <w:tab w:val="left" w:pos="3251"/>
          <w:tab w:val="left" w:pos="3995"/>
        </w:tabs>
        <w:kinsoku/>
        <w:wordWrap/>
        <w:overflowPunct/>
        <w:topLinePunct w:val="0"/>
        <w:bidi w:val="0"/>
        <w:ind w:left="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签订地点：</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z w:val="21"/>
          <w:szCs w:val="21"/>
          <w:highlight w:val="none"/>
          <w:u w:val="single"/>
        </w:rPr>
        <w:t>东莞市</w:t>
      </w:r>
    </w:p>
    <w:p w14:paraId="79F5913A">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color w:val="auto"/>
          <w:sz w:val="21"/>
          <w:szCs w:val="21"/>
          <w:highlight w:val="none"/>
        </w:rPr>
      </w:pPr>
    </w:p>
    <w:p w14:paraId="78DC5CB0">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color w:val="auto"/>
          <w:sz w:val="21"/>
          <w:szCs w:val="21"/>
          <w:highlight w:val="none"/>
        </w:rPr>
      </w:pPr>
    </w:p>
    <w:p w14:paraId="279A8D78">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color w:val="auto"/>
          <w:sz w:val="21"/>
          <w:szCs w:val="21"/>
          <w:highlight w:val="none"/>
        </w:rPr>
      </w:pPr>
    </w:p>
    <w:p w14:paraId="0CDA0267">
      <w:pPr>
        <w:pStyle w:val="21"/>
        <w:keepNext w:val="0"/>
        <w:keepLines w:val="0"/>
        <w:pageBreakBefore w:val="0"/>
        <w:kinsoku/>
        <w:wordWrap/>
        <w:overflowPunct/>
        <w:topLinePunct w:val="0"/>
        <w:bidi w:val="0"/>
        <w:spacing w:before="8"/>
        <w:textAlignment w:val="auto"/>
        <w:outlineLvl w:val="9"/>
        <w:rPr>
          <w:rFonts w:hint="eastAsia" w:ascii="宋体" w:hAnsi="宋体" w:eastAsia="宋体" w:cs="宋体"/>
          <w:color w:val="auto"/>
          <w:sz w:val="19"/>
          <w:highlight w:val="none"/>
        </w:rPr>
      </w:pPr>
    </w:p>
    <w:p w14:paraId="549324C0">
      <w:pPr>
        <w:pStyle w:val="21"/>
        <w:keepNext w:val="0"/>
        <w:keepLines w:val="0"/>
        <w:pageBreakBefore w:val="0"/>
        <w:kinsoku/>
        <w:wordWrap/>
        <w:overflowPunct/>
        <w:topLinePunct w:val="0"/>
        <w:bidi w:val="0"/>
        <w:spacing w:before="8"/>
        <w:textAlignment w:val="auto"/>
        <w:outlineLvl w:val="9"/>
        <w:rPr>
          <w:rFonts w:hint="eastAsia" w:ascii="宋体" w:hAnsi="宋体" w:eastAsia="宋体" w:cs="宋体"/>
          <w:color w:val="auto"/>
          <w:sz w:val="19"/>
          <w:highlight w:val="none"/>
        </w:rPr>
      </w:pPr>
    </w:p>
    <w:p w14:paraId="4B6FDA0A">
      <w:pPr>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389FB4A">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bookmarkStart w:id="180" w:name="_Toc97557499"/>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：阳光合作协议</w:t>
      </w:r>
      <w:bookmarkEnd w:id="180"/>
    </w:p>
    <w:p w14:paraId="5CA05354">
      <w:pPr>
        <w:keepNext w:val="0"/>
        <w:keepLines w:val="0"/>
        <w:pageBreakBefore w:val="0"/>
        <w:widowControl/>
        <w:kinsoku/>
        <w:wordWrap/>
        <w:overflowPunct/>
        <w:topLinePunct w:val="0"/>
        <w:autoSpaceDE/>
        <w:autoSpaceDN/>
        <w:bidi w:val="0"/>
        <w:adjustRightInd/>
        <w:jc w:val="center"/>
        <w:textAlignment w:val="auto"/>
        <w:outlineLvl w:val="9"/>
        <w:rPr>
          <w:rFonts w:hint="eastAsia" w:ascii="宋体" w:hAnsi="宋体" w:eastAsia="宋体" w:cs="宋体"/>
          <w:b/>
          <w:bCs/>
          <w:color w:val="auto"/>
          <w:kern w:val="2"/>
          <w:sz w:val="36"/>
          <w:szCs w:val="36"/>
          <w:highlight w:val="none"/>
        </w:rPr>
      </w:pPr>
      <w:r>
        <w:rPr>
          <w:rFonts w:hint="eastAsia" w:ascii="宋体" w:hAnsi="宋体" w:eastAsia="宋体" w:cs="宋体"/>
          <w:b/>
          <w:bCs/>
          <w:color w:val="auto"/>
          <w:kern w:val="2"/>
          <w:sz w:val="36"/>
          <w:szCs w:val="36"/>
          <w:highlight w:val="none"/>
        </w:rPr>
        <w:t>阳光合作协议</w:t>
      </w:r>
    </w:p>
    <w:p w14:paraId="32301319">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b w:val="0"/>
          <w:bCs/>
          <w:color w:val="auto"/>
          <w:kern w:val="2"/>
          <w:sz w:val="21"/>
          <w:szCs w:val="21"/>
          <w:highlight w:val="none"/>
          <w:lang w:val="zh-CN" w:eastAsia="zh-CN" w:bidi="ar-SA"/>
        </w:rPr>
      </w:pPr>
    </w:p>
    <w:p w14:paraId="6BDF587D">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zh-CN" w:eastAsia="zh-CN" w:bidi="ar-SA"/>
        </w:rPr>
        <w:t>甲方：</w:t>
      </w:r>
      <w:r>
        <w:rPr>
          <w:rFonts w:hint="eastAsia" w:ascii="宋体" w:hAnsi="宋体" w:eastAsia="宋体" w:cs="宋体"/>
          <w:b w:val="0"/>
          <w:bCs/>
          <w:color w:val="auto"/>
          <w:kern w:val="2"/>
          <w:sz w:val="21"/>
          <w:szCs w:val="21"/>
          <w:highlight w:val="none"/>
          <w:lang w:val="en-US" w:eastAsia="zh-CN" w:bidi="ar-SA"/>
        </w:rPr>
        <w:t xml:space="preserve"> </w:t>
      </w:r>
      <w:r>
        <w:rPr>
          <w:rFonts w:hint="eastAsia" w:ascii="宋体" w:hAnsi="宋体" w:eastAsia="宋体" w:cs="宋体"/>
          <w:b w:val="0"/>
          <w:bCs/>
          <w:color w:val="auto"/>
          <w:kern w:val="2"/>
          <w:sz w:val="21"/>
          <w:szCs w:val="21"/>
          <w:highlight w:val="none"/>
          <w:u w:val="single"/>
          <w:lang w:val="en-US" w:eastAsia="zh-CN" w:bidi="ar-SA"/>
        </w:rPr>
        <w:t xml:space="preserve">东莞市旗创产业投资有限公司    </w:t>
      </w:r>
      <w:r>
        <w:rPr>
          <w:rFonts w:hint="eastAsia" w:ascii="宋体" w:hAnsi="宋体" w:eastAsia="宋体" w:cs="宋体"/>
          <w:b w:val="0"/>
          <w:bCs/>
          <w:color w:val="auto"/>
          <w:kern w:val="2"/>
          <w:sz w:val="21"/>
          <w:szCs w:val="21"/>
          <w:highlight w:val="none"/>
          <w:lang w:val="en-US" w:eastAsia="zh-CN" w:bidi="ar-SA"/>
        </w:rPr>
        <w:t xml:space="preserve">  </w:t>
      </w:r>
    </w:p>
    <w:p w14:paraId="39CC2E92">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乙方：</w:t>
      </w:r>
      <w:r>
        <w:rPr>
          <w:rFonts w:hint="eastAsia" w:ascii="宋体" w:hAnsi="宋体" w:eastAsia="宋体" w:cs="宋体"/>
          <w:b w:val="0"/>
          <w:bCs/>
          <w:color w:val="auto"/>
          <w:kern w:val="2"/>
          <w:sz w:val="21"/>
          <w:szCs w:val="21"/>
          <w:highlight w:val="none"/>
          <w:lang w:val="en-US" w:eastAsia="zh-CN" w:bidi="ar-SA"/>
        </w:rPr>
        <w:t xml:space="preserve"> </w:t>
      </w:r>
      <w:r>
        <w:rPr>
          <w:rFonts w:hint="eastAsia" w:ascii="宋体" w:hAnsi="宋体" w:eastAsia="宋体" w:cs="宋体"/>
          <w:b w:val="0"/>
          <w:bCs/>
          <w:color w:val="auto"/>
          <w:kern w:val="2"/>
          <w:sz w:val="21"/>
          <w:szCs w:val="21"/>
          <w:highlight w:val="none"/>
          <w:u w:val="single"/>
          <w:lang w:val="en-US" w:eastAsia="zh-CN" w:bidi="ar-SA"/>
        </w:rPr>
        <w:t xml:space="preserve">                                    </w:t>
      </w:r>
      <w:r>
        <w:rPr>
          <w:rFonts w:hint="eastAsia" w:ascii="宋体" w:hAnsi="宋体" w:eastAsia="宋体" w:cs="宋体"/>
          <w:b w:val="0"/>
          <w:bCs/>
          <w:color w:val="auto"/>
          <w:kern w:val="2"/>
          <w:sz w:val="21"/>
          <w:szCs w:val="21"/>
          <w:highlight w:val="none"/>
          <w:lang w:val="en-US" w:eastAsia="zh-CN" w:bidi="ar-SA"/>
        </w:rPr>
        <w:t xml:space="preserve"> </w:t>
      </w:r>
      <w:r>
        <w:rPr>
          <w:rFonts w:hint="eastAsia" w:ascii="宋体" w:hAnsi="宋体" w:eastAsia="宋体" w:cs="宋体"/>
          <w:b w:val="0"/>
          <w:bCs/>
          <w:color w:val="auto"/>
          <w:kern w:val="2"/>
          <w:sz w:val="21"/>
          <w:szCs w:val="21"/>
          <w:highlight w:val="none"/>
          <w:lang w:val="zh-CN" w:eastAsia="zh-CN" w:bidi="ar-SA"/>
        </w:rPr>
        <w:t xml:space="preserve"> </w:t>
      </w:r>
    </w:p>
    <w:p w14:paraId="1F6BBDB8">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甲乙双方于</w:t>
      </w:r>
      <w:r>
        <w:rPr>
          <w:rFonts w:hint="eastAsia" w:ascii="宋体" w:hAnsi="宋体" w:eastAsia="宋体" w:cs="宋体"/>
          <w:b w:val="0"/>
          <w:bCs/>
          <w:color w:val="auto"/>
          <w:kern w:val="2"/>
          <w:sz w:val="21"/>
          <w:szCs w:val="21"/>
          <w:highlight w:val="none"/>
          <w:lang w:val="en-US" w:eastAsia="zh-CN" w:bidi="ar-SA"/>
        </w:rPr>
        <w:t xml:space="preserve">      </w:t>
      </w:r>
      <w:r>
        <w:rPr>
          <w:rFonts w:hint="eastAsia" w:ascii="宋体" w:hAnsi="宋体" w:eastAsia="宋体" w:cs="宋体"/>
          <w:b w:val="0"/>
          <w:bCs/>
          <w:color w:val="auto"/>
          <w:kern w:val="2"/>
          <w:sz w:val="21"/>
          <w:szCs w:val="21"/>
          <w:highlight w:val="none"/>
          <w:lang w:val="zh-CN" w:eastAsia="zh-CN" w:bidi="ar-SA"/>
        </w:rPr>
        <w:t>年</w:t>
      </w:r>
      <w:r>
        <w:rPr>
          <w:rFonts w:hint="eastAsia" w:ascii="宋体" w:hAnsi="宋体" w:eastAsia="宋体" w:cs="宋体"/>
          <w:b w:val="0"/>
          <w:bCs/>
          <w:color w:val="auto"/>
          <w:kern w:val="2"/>
          <w:sz w:val="21"/>
          <w:szCs w:val="21"/>
          <w:highlight w:val="none"/>
          <w:lang w:val="en-US" w:eastAsia="zh-CN" w:bidi="ar-SA"/>
        </w:rPr>
        <w:t xml:space="preserve">      </w:t>
      </w:r>
      <w:r>
        <w:rPr>
          <w:rFonts w:hint="eastAsia" w:ascii="宋体" w:hAnsi="宋体" w:eastAsia="宋体" w:cs="宋体"/>
          <w:b w:val="0"/>
          <w:bCs/>
          <w:color w:val="auto"/>
          <w:kern w:val="2"/>
          <w:sz w:val="21"/>
          <w:szCs w:val="21"/>
          <w:highlight w:val="none"/>
          <w:lang w:val="zh-CN" w:eastAsia="zh-CN" w:bidi="ar-SA"/>
        </w:rPr>
        <w:t>月</w:t>
      </w:r>
      <w:r>
        <w:rPr>
          <w:rFonts w:hint="eastAsia" w:ascii="宋体" w:hAnsi="宋体" w:eastAsia="宋体" w:cs="宋体"/>
          <w:b w:val="0"/>
          <w:bCs/>
          <w:color w:val="auto"/>
          <w:kern w:val="2"/>
          <w:sz w:val="21"/>
          <w:szCs w:val="21"/>
          <w:highlight w:val="none"/>
          <w:lang w:val="en-US" w:eastAsia="zh-CN" w:bidi="ar-SA"/>
        </w:rPr>
        <w:t xml:space="preserve">      </w:t>
      </w:r>
      <w:r>
        <w:rPr>
          <w:rFonts w:hint="eastAsia" w:ascii="宋体" w:hAnsi="宋体" w:eastAsia="宋体" w:cs="宋体"/>
          <w:b w:val="0"/>
          <w:bCs/>
          <w:color w:val="auto"/>
          <w:kern w:val="2"/>
          <w:sz w:val="21"/>
          <w:szCs w:val="21"/>
          <w:highlight w:val="none"/>
          <w:lang w:val="zh-CN" w:eastAsia="zh-CN" w:bidi="ar-SA"/>
        </w:rPr>
        <w:t>日签署了《</w:t>
      </w:r>
      <w:r>
        <w:rPr>
          <w:rFonts w:hint="eastAsia" w:ascii="宋体" w:hAnsi="宋体" w:eastAsia="宋体" w:cs="宋体"/>
          <w:b w:val="0"/>
          <w:bCs w:val="0"/>
          <w:color w:val="auto"/>
          <w:sz w:val="21"/>
          <w:szCs w:val="21"/>
          <w:highlight w:val="none"/>
          <w:lang w:val="en-US" w:eastAsia="zh-CN"/>
        </w:rPr>
        <w:t>大岭山大塘村优质产业空间项目（南地块）一期</w:t>
      </w:r>
      <w:r>
        <w:rPr>
          <w:rFonts w:hint="eastAsia" w:ascii="宋体" w:hAnsi="宋体" w:eastAsia="宋体" w:cs="宋体"/>
          <w:b w:val="0"/>
          <w:bCs/>
          <w:color w:val="auto"/>
          <w:kern w:val="2"/>
          <w:sz w:val="21"/>
          <w:szCs w:val="21"/>
          <w:highlight w:val="none"/>
          <w:lang w:val="en-US" w:eastAsia="zh-CN" w:bidi="ar-SA"/>
        </w:rPr>
        <w:t>基础检测合同</w:t>
      </w:r>
      <w:r>
        <w:rPr>
          <w:rFonts w:hint="eastAsia" w:ascii="宋体" w:hAnsi="宋体" w:eastAsia="宋体" w:cs="宋体"/>
          <w:b w:val="0"/>
          <w:bCs/>
          <w:color w:val="auto"/>
          <w:kern w:val="2"/>
          <w:sz w:val="21"/>
          <w:szCs w:val="21"/>
          <w:highlight w:val="none"/>
          <w:lang w:val="zh-CN" w:eastAsia="zh-CN" w:bidi="ar-SA"/>
        </w:rPr>
        <w:t>》（以下简称原合同），为加强双方阳光合作，保证职员职业安全，甲乙双方经协商签订本协议并作为双方共同遵守的阳光合作行为准则。</w:t>
      </w:r>
    </w:p>
    <w:p w14:paraId="7039D665">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en-US" w:eastAsia="zh-CN" w:bidi="ar-SA"/>
        </w:rPr>
        <w:t>一、</w:t>
      </w:r>
      <w:r>
        <w:rPr>
          <w:rFonts w:hint="eastAsia" w:ascii="宋体" w:hAnsi="宋体" w:eastAsia="宋体" w:cs="宋体"/>
          <w:b w:val="0"/>
          <w:bCs/>
          <w:color w:val="auto"/>
          <w:kern w:val="2"/>
          <w:sz w:val="21"/>
          <w:szCs w:val="21"/>
          <w:highlight w:val="none"/>
          <w:lang w:val="zh-CN" w:eastAsia="zh-CN" w:bidi="ar-SA"/>
        </w:rPr>
        <w:t>甲方责任</w:t>
      </w:r>
    </w:p>
    <w:p w14:paraId="1BDEBA26">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1.甲方有责任向乙方介绍本单位有关采购管理通用原则和本协议的规定。</w:t>
      </w:r>
    </w:p>
    <w:p w14:paraId="7551FE78">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2.甲方有责任对本单位相关人员进行阳光合作教育。</w:t>
      </w:r>
    </w:p>
    <w:p w14:paraId="060EAEF5">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6F7011E0">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4.甲方人员如违反阳光合作管理制度及本协议规定，甲方视情节轻重、影响大小给予行政及经济处罚。</w:t>
      </w:r>
    </w:p>
    <w:p w14:paraId="14A27514">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5．对于乙方举报甲方人员违反阳光合作规定的情况，甲方应及时进行调查，根据调查情况进行处理，并将调查结果向乙方反馈。</w:t>
      </w:r>
    </w:p>
    <w:p w14:paraId="50A85BCC">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6.接受举报的一方应为举报方保密，不得对举报方进行报复，对举报属实和严格遵守《阳光合作协议》的合作方，在同等条件下给予后续合作的优先权。</w:t>
      </w:r>
    </w:p>
    <w:p w14:paraId="4F150593">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en-US" w:eastAsia="zh-CN" w:bidi="ar-SA"/>
        </w:rPr>
        <w:t>二、</w:t>
      </w:r>
      <w:r>
        <w:rPr>
          <w:rFonts w:hint="eastAsia" w:ascii="宋体" w:hAnsi="宋体" w:eastAsia="宋体" w:cs="宋体"/>
          <w:b w:val="0"/>
          <w:bCs/>
          <w:color w:val="auto"/>
          <w:kern w:val="2"/>
          <w:sz w:val="21"/>
          <w:szCs w:val="21"/>
          <w:highlight w:val="none"/>
          <w:lang w:val="zh-CN" w:eastAsia="zh-CN" w:bidi="ar-SA"/>
        </w:rPr>
        <w:t>乙方责任</w:t>
      </w:r>
    </w:p>
    <w:p w14:paraId="3FB4FB90">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1.乙方应保证乙方人员了解甲方有关采购管理通用原则和及本协议的规定，并遵照执行。</w:t>
      </w:r>
    </w:p>
    <w:p w14:paraId="2ABBA15C">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2.乙方不得以任何形式给予甲方人员回扣、赠送实物、现金、有价证券、礼券等有价物品或提供旅游等其他可能影响职务行为公正履行的活动（以下统称“财物”）。</w:t>
      </w:r>
    </w:p>
    <w:p w14:paraId="339D1B76">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3.乙方有责任接受甲方对乙方在合作期间阳光合作管理执行情况的监督，并对甲方相关调查工作主动配合。</w:t>
      </w:r>
    </w:p>
    <w:p w14:paraId="5F6B5A2C">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4.乙方有义务就甲方人员任何形式的索取或收受财物行为及时向甲方（直接联系人为东莞实业投资控股集团有限公司</w:t>
      </w:r>
      <w:r>
        <w:rPr>
          <w:rFonts w:hint="eastAsia" w:ascii="宋体" w:hAnsi="宋体" w:eastAsia="宋体" w:cs="宋体"/>
          <w:b w:val="0"/>
          <w:bCs/>
          <w:color w:val="auto"/>
          <w:kern w:val="2"/>
          <w:sz w:val="21"/>
          <w:szCs w:val="21"/>
          <w:highlight w:val="none"/>
          <w:lang w:val="en-US" w:eastAsia="zh-CN" w:bidi="ar-SA"/>
        </w:rPr>
        <w:t>法律合规</w:t>
      </w:r>
      <w:r>
        <w:rPr>
          <w:rFonts w:hint="eastAsia" w:ascii="宋体" w:hAnsi="宋体" w:eastAsia="宋体" w:cs="宋体"/>
          <w:b w:val="0"/>
          <w:bCs/>
          <w:color w:val="auto"/>
          <w:kern w:val="2"/>
          <w:sz w:val="21"/>
          <w:szCs w:val="21"/>
          <w:highlight w:val="none"/>
          <w:lang w:val="zh-CN" w:eastAsia="zh-CN" w:bidi="ar-SA"/>
        </w:rPr>
        <w:t>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3B2CDE76">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5．甲方接受乙方实名或匿名举报，保证为举报者的信息保密，常设举报部门及电</w:t>
      </w:r>
      <w:r>
        <w:rPr>
          <w:rFonts w:hint="eastAsia" w:ascii="宋体" w:hAnsi="宋体" w:eastAsia="宋体" w:cs="宋体"/>
          <w:b w:val="0"/>
          <w:bCs/>
          <w:color w:val="auto"/>
          <w:kern w:val="2"/>
          <w:sz w:val="21"/>
          <w:szCs w:val="21"/>
          <w:highlight w:val="none"/>
          <w:lang w:val="en-US" w:eastAsia="zh-CN" w:bidi="ar-SA"/>
        </w:rPr>
        <w:t>话</w:t>
      </w:r>
      <w:r>
        <w:rPr>
          <w:rFonts w:hint="eastAsia" w:ascii="宋体" w:hAnsi="宋体" w:eastAsia="宋体" w:cs="宋体"/>
          <w:b w:val="0"/>
          <w:bCs/>
          <w:color w:val="auto"/>
          <w:kern w:val="2"/>
          <w:sz w:val="21"/>
          <w:szCs w:val="21"/>
          <w:highlight w:val="none"/>
          <w:lang w:val="zh-CN" w:eastAsia="zh-CN" w:bidi="ar-SA"/>
        </w:rPr>
        <w:t xml:space="preserve">： </w:t>
      </w:r>
    </w:p>
    <w:p w14:paraId="608534E2">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举报受理部门：东莞实业投资控股集团有限公司</w:t>
      </w:r>
      <w:r>
        <w:rPr>
          <w:rFonts w:hint="eastAsia" w:ascii="宋体" w:hAnsi="宋体" w:eastAsia="宋体" w:cs="宋体"/>
          <w:b w:val="0"/>
          <w:bCs/>
          <w:color w:val="auto"/>
          <w:kern w:val="2"/>
          <w:sz w:val="21"/>
          <w:szCs w:val="21"/>
          <w:highlight w:val="none"/>
          <w:lang w:val="en-US" w:eastAsia="zh-CN" w:bidi="ar-SA"/>
        </w:rPr>
        <w:t>法律合规</w:t>
      </w:r>
      <w:r>
        <w:rPr>
          <w:rFonts w:hint="eastAsia" w:ascii="宋体" w:hAnsi="宋体" w:eastAsia="宋体" w:cs="宋体"/>
          <w:b w:val="0"/>
          <w:bCs/>
          <w:color w:val="auto"/>
          <w:kern w:val="2"/>
          <w:sz w:val="21"/>
          <w:szCs w:val="21"/>
          <w:highlight w:val="none"/>
          <w:lang w:val="zh-CN" w:eastAsia="zh-CN" w:bidi="ar-SA"/>
        </w:rPr>
        <w:t>部</w:t>
      </w:r>
    </w:p>
    <w:p w14:paraId="3FEDD1C6">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东实集团举报邮箱：dgsyxf@163.com</w:t>
      </w:r>
    </w:p>
    <w:p w14:paraId="3A6CA0A5">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东实集团举报电话：0769-28820703（周一至周五9:00-12:00和14:00-18:00）</w:t>
      </w:r>
    </w:p>
    <w:p w14:paraId="41144919">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邮寄地址：东莞市东城区八一路1号机关二号大院9号楼，东莞实业投资控股集团有限公司</w:t>
      </w:r>
      <w:r>
        <w:rPr>
          <w:rFonts w:hint="eastAsia" w:ascii="宋体" w:hAnsi="宋体" w:eastAsia="宋体" w:cs="宋体"/>
          <w:b w:val="0"/>
          <w:bCs/>
          <w:color w:val="auto"/>
          <w:kern w:val="2"/>
          <w:sz w:val="21"/>
          <w:szCs w:val="21"/>
          <w:highlight w:val="none"/>
          <w:lang w:val="en-US" w:eastAsia="zh-CN" w:bidi="ar-SA"/>
        </w:rPr>
        <w:t>法律合规</w:t>
      </w:r>
      <w:r>
        <w:rPr>
          <w:rFonts w:hint="eastAsia" w:ascii="宋体" w:hAnsi="宋体" w:eastAsia="宋体" w:cs="宋体"/>
          <w:b w:val="0"/>
          <w:bCs/>
          <w:color w:val="auto"/>
          <w:kern w:val="2"/>
          <w:sz w:val="21"/>
          <w:szCs w:val="21"/>
          <w:highlight w:val="none"/>
          <w:lang w:val="zh-CN" w:eastAsia="zh-CN" w:bidi="ar-SA"/>
        </w:rPr>
        <w:t>部收，邮编523000。</w:t>
      </w:r>
    </w:p>
    <w:p w14:paraId="1F299EDE">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en-US" w:eastAsia="zh-CN" w:bidi="ar-SA"/>
        </w:rPr>
        <w:t>三、</w:t>
      </w:r>
      <w:r>
        <w:rPr>
          <w:rFonts w:hint="eastAsia" w:ascii="宋体" w:hAnsi="宋体" w:eastAsia="宋体" w:cs="宋体"/>
          <w:b w:val="0"/>
          <w:bCs/>
          <w:color w:val="auto"/>
          <w:kern w:val="2"/>
          <w:sz w:val="21"/>
          <w:szCs w:val="21"/>
          <w:highlight w:val="none"/>
          <w:lang w:val="zh-CN" w:eastAsia="zh-CN" w:bidi="ar-SA"/>
        </w:rPr>
        <w:t>其他</w:t>
      </w:r>
    </w:p>
    <w:p w14:paraId="4CD59AB9">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1.本协议是原合同的补充协议，与原合同有同等法律效力。</w:t>
      </w:r>
    </w:p>
    <w:p w14:paraId="4E97DF28">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2.本协议一式</w:t>
      </w:r>
      <w:r>
        <w:rPr>
          <w:rFonts w:hint="eastAsia" w:hAnsi="宋体" w:cs="宋体"/>
          <w:b w:val="0"/>
          <w:bCs/>
          <w:color w:val="auto"/>
          <w:kern w:val="2"/>
          <w:sz w:val="21"/>
          <w:szCs w:val="21"/>
          <w:highlight w:val="none"/>
          <w:lang w:val="en-US" w:eastAsia="zh-CN" w:bidi="ar-SA"/>
        </w:rPr>
        <w:t>陆</w:t>
      </w:r>
      <w:r>
        <w:rPr>
          <w:rFonts w:hint="eastAsia" w:ascii="宋体" w:hAnsi="宋体" w:eastAsia="宋体" w:cs="宋体"/>
          <w:b w:val="0"/>
          <w:bCs/>
          <w:color w:val="auto"/>
          <w:kern w:val="2"/>
          <w:sz w:val="21"/>
          <w:szCs w:val="21"/>
          <w:highlight w:val="none"/>
          <w:lang w:val="zh-CN" w:eastAsia="zh-CN" w:bidi="ar-SA"/>
        </w:rPr>
        <w:t>份，甲方执</w:t>
      </w:r>
      <w:r>
        <w:rPr>
          <w:rFonts w:hint="eastAsia" w:hAnsi="宋体" w:cs="宋体"/>
          <w:b w:val="0"/>
          <w:bCs/>
          <w:color w:val="auto"/>
          <w:kern w:val="2"/>
          <w:sz w:val="21"/>
          <w:szCs w:val="21"/>
          <w:highlight w:val="none"/>
          <w:lang w:val="en-US" w:eastAsia="zh-CN" w:bidi="ar-SA"/>
        </w:rPr>
        <w:t>叁</w:t>
      </w:r>
      <w:r>
        <w:rPr>
          <w:rFonts w:hint="eastAsia" w:ascii="宋体" w:hAnsi="宋体" w:eastAsia="宋体" w:cs="宋体"/>
          <w:b w:val="0"/>
          <w:bCs/>
          <w:color w:val="auto"/>
          <w:kern w:val="2"/>
          <w:sz w:val="21"/>
          <w:szCs w:val="21"/>
          <w:highlight w:val="none"/>
          <w:lang w:val="zh-CN" w:eastAsia="zh-CN" w:bidi="ar-SA"/>
        </w:rPr>
        <w:t>份，乙方执</w:t>
      </w:r>
      <w:r>
        <w:rPr>
          <w:rFonts w:hint="eastAsia" w:hAnsi="宋体" w:cs="宋体"/>
          <w:b w:val="0"/>
          <w:bCs/>
          <w:color w:val="auto"/>
          <w:kern w:val="2"/>
          <w:sz w:val="21"/>
          <w:szCs w:val="21"/>
          <w:highlight w:val="none"/>
          <w:lang w:val="en-US" w:eastAsia="zh-CN" w:bidi="ar-SA"/>
        </w:rPr>
        <w:t>叁</w:t>
      </w:r>
      <w:r>
        <w:rPr>
          <w:rFonts w:hint="eastAsia" w:ascii="宋体" w:hAnsi="宋体" w:eastAsia="宋体" w:cs="宋体"/>
          <w:b w:val="0"/>
          <w:bCs/>
          <w:color w:val="auto"/>
          <w:kern w:val="2"/>
          <w:sz w:val="21"/>
          <w:szCs w:val="21"/>
          <w:highlight w:val="none"/>
          <w:lang w:val="zh-CN" w:eastAsia="zh-CN" w:bidi="ar-SA"/>
        </w:rPr>
        <w:t>份,具有同等法律效力。</w:t>
      </w:r>
    </w:p>
    <w:p w14:paraId="4C95916F">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3.本协议经双方签署后生效。</w:t>
      </w:r>
    </w:p>
    <w:p w14:paraId="3B43AA66">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p>
    <w:p w14:paraId="3126AC9D">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 xml:space="preserve">甲方（盖章）：                      乙方（盖章）： </w:t>
      </w:r>
    </w:p>
    <w:p w14:paraId="2283456F">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p>
    <w:p w14:paraId="7B8B0C32">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法定代表人（授权代表）：</w:t>
      </w:r>
      <w:r>
        <w:rPr>
          <w:rFonts w:hint="eastAsia" w:ascii="宋体" w:hAnsi="宋体" w:eastAsia="宋体" w:cs="宋体"/>
          <w:b w:val="0"/>
          <w:bCs/>
          <w:color w:val="auto"/>
          <w:kern w:val="2"/>
          <w:sz w:val="21"/>
          <w:szCs w:val="21"/>
          <w:highlight w:val="none"/>
          <w:lang w:val="zh-CN" w:eastAsia="zh-CN" w:bidi="ar-SA"/>
        </w:rPr>
        <w:tab/>
      </w:r>
      <w:r>
        <w:rPr>
          <w:rFonts w:hint="eastAsia" w:ascii="宋体" w:hAnsi="宋体" w:eastAsia="宋体" w:cs="宋体"/>
          <w:b w:val="0"/>
          <w:bCs/>
          <w:color w:val="auto"/>
          <w:kern w:val="2"/>
          <w:sz w:val="21"/>
          <w:szCs w:val="21"/>
          <w:highlight w:val="none"/>
          <w:lang w:val="zh-CN" w:eastAsia="zh-CN" w:bidi="ar-SA"/>
        </w:rPr>
        <w:tab/>
      </w:r>
      <w:r>
        <w:rPr>
          <w:rFonts w:hint="eastAsia" w:ascii="宋体" w:hAnsi="宋体" w:eastAsia="宋体" w:cs="宋体"/>
          <w:b w:val="0"/>
          <w:bCs/>
          <w:color w:val="auto"/>
          <w:kern w:val="2"/>
          <w:sz w:val="21"/>
          <w:szCs w:val="21"/>
          <w:highlight w:val="none"/>
          <w:lang w:val="zh-CN" w:eastAsia="zh-CN" w:bidi="ar-SA"/>
        </w:rPr>
        <w:t>法定代表人（授权代表）：</w:t>
      </w:r>
    </w:p>
    <w:p w14:paraId="524E4291">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outlineLvl w:val="9"/>
        <w:rPr>
          <w:rFonts w:hint="eastAsia" w:ascii="宋体" w:hAnsi="宋体" w:eastAsia="宋体" w:cs="宋体"/>
          <w:b w:val="0"/>
          <w:bCs/>
          <w:color w:val="auto"/>
          <w:kern w:val="2"/>
          <w:sz w:val="21"/>
          <w:szCs w:val="21"/>
          <w:highlight w:val="none"/>
          <w:lang w:val="zh-CN" w:eastAsia="zh-CN" w:bidi="ar-SA"/>
        </w:rPr>
      </w:pPr>
    </w:p>
    <w:p w14:paraId="759862D1">
      <w:pPr>
        <w:keepNext w:val="0"/>
        <w:keepLines w:val="0"/>
        <w:pageBreakBefore w:val="0"/>
        <w:kinsoku/>
        <w:wordWrap/>
        <w:overflowPunct/>
        <w:topLinePunct w:val="0"/>
        <w:autoSpaceDE/>
        <w:autoSpaceDN/>
        <w:bidi w:val="0"/>
        <w:adjustRightInd w:val="0"/>
        <w:snapToGrid w:val="0"/>
        <w:spacing w:before="0" w:beforeLines="0" w:after="0" w:afterLines="0" w:line="360" w:lineRule="auto"/>
        <w:ind w:firstLine="420" w:firstLineChars="200"/>
        <w:contextualSpacing/>
        <w:textAlignment w:val="auto"/>
        <w:outlineLvl w:val="9"/>
        <w:rPr>
          <w:rFonts w:hint="eastAsia" w:ascii="宋体" w:hAnsi="宋体" w:eastAsia="宋体" w:cs="宋体"/>
          <w:color w:val="auto"/>
          <w:highlight w:val="none"/>
        </w:rPr>
      </w:pPr>
      <w:r>
        <w:rPr>
          <w:rFonts w:hint="eastAsia" w:ascii="宋体" w:hAnsi="宋体" w:eastAsia="宋体" w:cs="宋体"/>
          <w:b w:val="0"/>
          <w:bCs/>
          <w:color w:val="auto"/>
          <w:kern w:val="2"/>
          <w:sz w:val="21"/>
          <w:szCs w:val="21"/>
          <w:highlight w:val="none"/>
          <w:lang w:val="zh-CN" w:eastAsia="zh-CN" w:bidi="ar-SA"/>
        </w:rPr>
        <w:t>签约日期：   年   月   日</w:t>
      </w:r>
      <w:r>
        <w:rPr>
          <w:rFonts w:hint="eastAsia" w:ascii="宋体" w:hAnsi="宋体" w:eastAsia="宋体" w:cs="宋体"/>
          <w:b w:val="0"/>
          <w:bCs/>
          <w:color w:val="auto"/>
          <w:kern w:val="2"/>
          <w:sz w:val="21"/>
          <w:szCs w:val="21"/>
          <w:highlight w:val="none"/>
          <w:lang w:val="zh-CN" w:eastAsia="zh-CN" w:bidi="ar-SA"/>
        </w:rPr>
        <w:tab/>
      </w:r>
      <w:r>
        <w:rPr>
          <w:rFonts w:hint="eastAsia" w:ascii="宋体" w:hAnsi="宋体" w:eastAsia="宋体" w:cs="宋体"/>
          <w:b w:val="0"/>
          <w:bCs/>
          <w:color w:val="auto"/>
          <w:kern w:val="2"/>
          <w:sz w:val="21"/>
          <w:szCs w:val="21"/>
          <w:highlight w:val="none"/>
          <w:lang w:val="zh-CN" w:eastAsia="zh-CN" w:bidi="ar-SA"/>
        </w:rPr>
        <w:t xml:space="preserve">       签约日期：   年   月  </w:t>
      </w:r>
      <w:r>
        <w:rPr>
          <w:rFonts w:hint="eastAsia" w:ascii="宋体" w:hAnsi="宋体" w:eastAsia="宋体" w:cs="宋体"/>
          <w:color w:val="auto"/>
          <w:highlight w:val="none"/>
        </w:rPr>
        <w:t xml:space="preserve"> 日</w:t>
      </w:r>
    </w:p>
    <w:p w14:paraId="282EF05C">
      <w:pPr>
        <w:keepNext w:val="0"/>
        <w:keepLines w:val="0"/>
        <w:pageBreakBefore w:val="0"/>
        <w:kinsoku/>
        <w:wordWrap/>
        <w:overflowPunct/>
        <w:topLinePunct w:val="0"/>
        <w:bidi w:val="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2C38C50">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left"/>
        <w:textAlignment w:val="auto"/>
        <w:outlineLvl w:val="9"/>
        <w:rPr>
          <w:rFonts w:hint="eastAsia" w:ascii="宋体" w:hAnsi="宋体" w:eastAsia="宋体" w:cs="宋体"/>
          <w:b/>
          <w:bCs w:val="0"/>
          <w:color w:val="auto"/>
          <w:szCs w:val="21"/>
          <w:highlight w:val="none"/>
          <w:lang w:val="en-US"/>
        </w:rPr>
      </w:pPr>
      <w:bookmarkStart w:id="181" w:name="_Toc97717198"/>
      <w:r>
        <w:rPr>
          <w:rFonts w:hint="eastAsia" w:hAnsi="宋体" w:cs="宋体"/>
          <w:b/>
          <w:bCs w:val="0"/>
          <w:color w:val="auto"/>
          <w:kern w:val="2"/>
          <w:sz w:val="21"/>
          <w:szCs w:val="21"/>
          <w:highlight w:val="none"/>
          <w:lang w:val="en-US" w:eastAsia="zh-CN" w:bidi="ar"/>
        </w:rPr>
        <w:t>附</w:t>
      </w:r>
      <w:r>
        <w:rPr>
          <w:rFonts w:hint="eastAsia" w:ascii="宋体" w:hAnsi="宋体" w:eastAsia="宋体" w:cs="宋体"/>
          <w:b/>
          <w:bCs w:val="0"/>
          <w:color w:val="auto"/>
          <w:kern w:val="2"/>
          <w:sz w:val="21"/>
          <w:szCs w:val="21"/>
          <w:highlight w:val="none"/>
          <w:lang w:val="en-US" w:eastAsia="zh-CN" w:bidi="ar"/>
        </w:rPr>
        <w:t>件4 ：安全生产协议书</w:t>
      </w:r>
      <w:bookmarkEnd w:id="181"/>
    </w:p>
    <w:p w14:paraId="0A64D9B3">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outlineLvl w:val="9"/>
        <w:rPr>
          <w:rFonts w:hint="eastAsia" w:ascii="宋体" w:hAnsi="宋体" w:eastAsia="宋体" w:cs="宋体"/>
          <w:b/>
          <w:bCs/>
          <w:color w:val="auto"/>
          <w:highlight w:val="none"/>
          <w:lang w:val="en-US"/>
        </w:rPr>
      </w:pPr>
    </w:p>
    <w:p w14:paraId="14CD89AC">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建筑施工安全生产协议书</w:t>
      </w:r>
    </w:p>
    <w:p w14:paraId="0742F098">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p w14:paraId="2CD8D510">
      <w:pPr>
        <w:pStyle w:val="29"/>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14:paraId="3A37FD15">
      <w:pPr>
        <w:pStyle w:val="29"/>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东莞市旗创产业投资有限公司</w:t>
      </w:r>
    </w:p>
    <w:p w14:paraId="2A362200">
      <w:pPr>
        <w:pStyle w:val="29"/>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14:paraId="70515C8B">
      <w:pPr>
        <w:pStyle w:val="29"/>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1274CC60">
      <w:pPr>
        <w:pStyle w:val="29"/>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14:paraId="4DC8D2AD">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乙双方为了全面履行双方已经签订的合同，明确双方在合同履行过程中各自应承担的安全责任，保护有关人员的人身安全，防止工伤事故的发生，依据《中华人民共和国安全生产法》等有关法律法规的规定，达成以下协议： </w:t>
      </w:r>
    </w:p>
    <w:p w14:paraId="673EAB67">
      <w:pPr>
        <w:keepNext w:val="0"/>
        <w:keepLines w:val="0"/>
        <w:pageBreakBefore w:val="0"/>
        <w:widowControl/>
        <w:kinsoku/>
        <w:wordWrap/>
        <w:overflowPunct/>
        <w:topLinePunct w:val="0"/>
        <w:bidi w:val="0"/>
        <w:adjustRightInd w:val="0"/>
        <w:snapToGrid w:val="0"/>
        <w:spacing w:line="600" w:lineRule="exact"/>
        <w:jc w:val="center"/>
        <w:textAlignment w:val="auto"/>
        <w:outlineLvl w:val="9"/>
        <w:rPr>
          <w:rFonts w:hint="eastAsia" w:ascii="宋体" w:hAnsi="宋体" w:eastAsia="宋体" w:cs="宋体"/>
          <w:color w:val="auto"/>
          <w:sz w:val="21"/>
          <w:szCs w:val="21"/>
          <w:highlight w:val="none"/>
        </w:rPr>
      </w:pPr>
      <w:bookmarkStart w:id="182" w:name="_Toc19061"/>
      <w:r>
        <w:rPr>
          <w:rFonts w:hint="eastAsia" w:ascii="宋体" w:hAnsi="宋体" w:eastAsia="宋体" w:cs="宋体"/>
          <w:color w:val="auto"/>
          <w:sz w:val="21"/>
          <w:szCs w:val="21"/>
          <w:highlight w:val="none"/>
        </w:rPr>
        <w:t>第一章 甲、乙双方的共同责任</w:t>
      </w:r>
      <w:bookmarkEnd w:id="182"/>
    </w:p>
    <w:p w14:paraId="0B8A8104">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一、甲、乙双方共同遵守国家有关安全生产的法律、法规和规定，认真执行国家、行业、公司安全生产规章制度。 </w:t>
      </w:r>
    </w:p>
    <w:p w14:paraId="5D76853C">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二、坚持“安全第一、预防为主、综合治理”的安全生产方针，不得违章指挥和违章作业。在开展工作、从事生产时应 </w:t>
      </w:r>
    </w:p>
    <w:p w14:paraId="02ACD656">
      <w:pPr>
        <w:keepNext w:val="0"/>
        <w:keepLines w:val="0"/>
        <w:pageBreakBefore w:val="0"/>
        <w:widowControl/>
        <w:kinsoku/>
        <w:wordWrap/>
        <w:overflowPunct/>
        <w:topLinePunct w:val="0"/>
        <w:bidi w:val="0"/>
        <w:adjustRightInd w:val="0"/>
        <w:snapToGrid w:val="0"/>
        <w:spacing w:line="60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当先落实安全保护措施，防止事故发生。 </w:t>
      </w:r>
    </w:p>
    <w:p w14:paraId="43DDFB59">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三、抓好安全教育，严肃劳动纪律，规范安全行为，净化作业环境。 </w:t>
      </w:r>
    </w:p>
    <w:p w14:paraId="3E5D3FC7">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发生事故立即采取措施抢救伤员，防止事故扩大，保护好现场，并应分别及时报告上级主管部门组织事故调查小组，查清事故原因，确定事故责任，按照“四不放过’’的原则拟定改进措施，提出对事故责任者的处理意见。 </w:t>
      </w:r>
    </w:p>
    <w:p w14:paraId="1543495D">
      <w:pPr>
        <w:keepNext w:val="0"/>
        <w:keepLines w:val="0"/>
        <w:pageBreakBefore w:val="0"/>
        <w:widowControl/>
        <w:kinsoku/>
        <w:wordWrap/>
        <w:overflowPunct/>
        <w:topLinePunct w:val="0"/>
        <w:bidi w:val="0"/>
        <w:adjustRightInd w:val="0"/>
        <w:snapToGrid w:val="0"/>
        <w:spacing w:line="6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 甲方的具体责任和权利</w:t>
      </w:r>
    </w:p>
    <w:p w14:paraId="7C2F2A9B">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一、向乙方公布甲方相关安全生产规章制度，检查乙方安全生产保证体系和规章制度，对乙方安全生产实施监督管理。 </w:t>
      </w:r>
    </w:p>
    <w:p w14:paraId="70A2D277">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二、监督乙方工作中涉及安全内容的安全操作、管理方案，安全技术措施等。 </w:t>
      </w:r>
    </w:p>
    <w:p w14:paraId="7C55B639">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按合同要求，须甲方提供的电气、机械等设施、设备、器具及安全防护用品等，甲方必须保证上述物品符合安全技术标准。物品经乙方检验合格后，双方办理书面交接验收手续，一式两份，未经乙方检验合格，乙方应拒绝使用。 </w:t>
      </w:r>
    </w:p>
    <w:p w14:paraId="12995283">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四、监督乙方对自带机具、设备、安全防护用品等进行技术指标、安全性能检验，合格者方可进入施工现场，并监督乙方正确安装、使用和拆除。 </w:t>
      </w:r>
    </w:p>
    <w:p w14:paraId="26403A93">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五、对乙方作业工序、操作岗位的安全操作进行日常监督检查，纠正违章指挥和违章作业。发现违章违规和事故隐患，立即责令停止作业，并向乙方发出《安全隐患整改通知》，要求乙方限期整改。乙方整改完成并经甲方确认后方可再进行作业。如果乙方拒不改正或者违章作业情况严重者，甲方有权立即终止有关合同，将乙方清退出场，由此所造成的一切经济损失由乙方承担。 </w:t>
      </w:r>
    </w:p>
    <w:p w14:paraId="75F2195B">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六、监督乙方对工作现场的各种安全设施和劳动保护用品定期监督检查，及时消除隐患，保证其安全有效。 </w:t>
      </w:r>
    </w:p>
    <w:p w14:paraId="22ABEC28">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七、对乙方工作人员进行上岗前安全生产培训和技术交底进行监查，监督乙方对用电人员进行有效的安全操作培训，并检查其培训文件、技术交底及培训记录。 </w:t>
      </w:r>
    </w:p>
    <w:p w14:paraId="0A06AB5D">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八、监督乙方建立设备检查记录，如各项用电设备的检测、使用情况等。 </w:t>
      </w:r>
    </w:p>
    <w:p w14:paraId="0F56DEE8">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九、监督乙方制定工作计划，包括用电工作、高空作业及工程维保（如使用升降车和棚架等）等工作计划。 </w:t>
      </w:r>
    </w:p>
    <w:p w14:paraId="3DFF87FA">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十、涉及人员安全、财产安全的各项工作（含且不限于第九项）甲方须进行现场监管，监管情况记录在相关专业的值班日志中。 </w:t>
      </w:r>
    </w:p>
    <w:p w14:paraId="4C57A690">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十一、发生伤亡事故按规定立即报告属地安全生产监督部门。 </w:t>
      </w:r>
    </w:p>
    <w:p w14:paraId="741E16BE">
      <w:pPr>
        <w:keepNext w:val="0"/>
        <w:keepLines w:val="0"/>
        <w:pageBreakBefore w:val="0"/>
        <w:widowControl/>
        <w:kinsoku/>
        <w:wordWrap/>
        <w:overflowPunct/>
        <w:topLinePunct w:val="0"/>
        <w:bidi w:val="0"/>
        <w:adjustRightInd w:val="0"/>
        <w:snapToGrid w:val="0"/>
        <w:spacing w:line="600" w:lineRule="exact"/>
        <w:jc w:val="center"/>
        <w:textAlignment w:val="auto"/>
        <w:outlineLvl w:val="9"/>
        <w:rPr>
          <w:rFonts w:hint="eastAsia" w:ascii="宋体" w:hAnsi="宋体" w:eastAsia="宋体" w:cs="宋体"/>
          <w:color w:val="auto"/>
          <w:sz w:val="21"/>
          <w:szCs w:val="21"/>
          <w:highlight w:val="none"/>
        </w:rPr>
      </w:pPr>
      <w:bookmarkStart w:id="183" w:name="_Toc6111"/>
      <w:r>
        <w:rPr>
          <w:rFonts w:hint="eastAsia" w:ascii="宋体" w:hAnsi="宋体" w:eastAsia="宋体" w:cs="宋体"/>
          <w:color w:val="auto"/>
          <w:sz w:val="21"/>
          <w:szCs w:val="21"/>
          <w:highlight w:val="none"/>
        </w:rPr>
        <w:t>第三章 乙方的责任</w:t>
      </w:r>
      <w:bookmarkEnd w:id="183"/>
    </w:p>
    <w:p w14:paraId="0AC405EB">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一、按照相关安全生产法规要求，设置安全管理机构，配备合格安全管理人员。 </w:t>
      </w:r>
    </w:p>
    <w:p w14:paraId="2EE36AFE">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二、制定本单位安全目标责任、管理规章制度及安全作业规程等，并向甲方备案。 </w:t>
      </w:r>
    </w:p>
    <w:p w14:paraId="0D53AC88">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三、编制作业范围内的安全施工方案和安全技术措施。 </w:t>
      </w:r>
    </w:p>
    <w:p w14:paraId="2E6D29AB">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四、向甲方申报自带的劳动保护用品及机具、设备，经甲 </w:t>
      </w:r>
    </w:p>
    <w:p w14:paraId="5109319E">
      <w:pPr>
        <w:keepNext w:val="0"/>
        <w:keepLines w:val="0"/>
        <w:pageBreakBefore w:val="0"/>
        <w:widowControl/>
        <w:kinsoku/>
        <w:wordWrap/>
        <w:overflowPunct/>
        <w:topLinePunct w:val="0"/>
        <w:bidi w:val="0"/>
        <w:adjustRightInd w:val="0"/>
        <w:snapToGrid w:val="0"/>
        <w:spacing w:line="60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乙双方验收合格后使用。禁止任何人私自拆除安全防护设备或 </w:t>
      </w:r>
    </w:p>
    <w:p w14:paraId="77128A79">
      <w:pPr>
        <w:keepNext w:val="0"/>
        <w:keepLines w:val="0"/>
        <w:pageBreakBefore w:val="0"/>
        <w:widowControl/>
        <w:kinsoku/>
        <w:wordWrap/>
        <w:overflowPunct/>
        <w:topLinePunct w:val="0"/>
        <w:bidi w:val="0"/>
        <w:adjustRightInd w:val="0"/>
        <w:snapToGrid w:val="0"/>
        <w:spacing w:line="60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设施。 </w:t>
      </w:r>
    </w:p>
    <w:p w14:paraId="33A7BFC1">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五、乙方人员登记造册，如实向甲方报告，由乙方进行入场前的安全教育。同时，还应提交现场《安全生产培训记录》给甲方审核并留存复印件。如有人员调整时，立即报告甲方，并进行安全教育，未经安全教育的，不得进入甲方现场。不得录用无身份证的人员和未满 16 岁的童工，不得安排 50 岁以上的人员从事高空、用电、农药施用等工作。 </w:t>
      </w:r>
    </w:p>
    <w:p w14:paraId="7F8B6031">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六、人员首次进场前须向甲方提交相关特种作业资质证明 （复印件盖乙方红章），无相关特种作业证明不得进入甲方现场从事特种作业工作。 </w:t>
      </w:r>
    </w:p>
    <w:p w14:paraId="5537D8EE">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七、乙方必须具有相应的有效从业资质，资质复印件盖红章交甲方备案。 </w:t>
      </w:r>
    </w:p>
    <w:p w14:paraId="332CFB83">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八、乙方每年至少一次对自用的用电设备进行绝缘测试，并提供绝缘测试的合格证据（可张贴于用电设备上）。 </w:t>
      </w:r>
    </w:p>
    <w:p w14:paraId="6C8C3DCB">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九、教育乙方职工遵章守纪，不违章指挥和违章操作。工作中如因乙方工作人员违章指挥、违章作业、违反安全纪律、违反安全技术操作规程而发生伤亡事故及财产损失的，由乙方承担全部责任。 </w:t>
      </w:r>
    </w:p>
    <w:p w14:paraId="0260E7BF">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十、储存、使用易燃易爆器材、物品时，应当采用有效的安全措施。 </w:t>
      </w:r>
    </w:p>
    <w:p w14:paraId="10632EE9">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十一、乙方必须严格遵守国家及乙方注册地、本合同履行地的有关劳动法律法规政策的规定，保证合法用工。  </w:t>
      </w:r>
    </w:p>
    <w:p w14:paraId="0034A8CC">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十二、乙方应为其派到甲方工作的人员办理合法的劳动用工手续。 </w:t>
      </w:r>
    </w:p>
    <w:p w14:paraId="37C780DC">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十三、乙方要在工作中采取必需的一切安全防护措施以保障乙方员工的劳动安全。 </w:t>
      </w:r>
    </w:p>
    <w:p w14:paraId="39C10236">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乙方必须保证所提供的全部资料和信息是真实可靠的，如果乙方提供虚假信息和资料，甲方有权单方解除合同，并要求乙方赔偿因此使甲方遭受的实际损失，损失无法确定的，乙方应向甲方支付违约金人民币（大写）</w:t>
      </w:r>
      <w:r>
        <w:rPr>
          <w:rFonts w:hint="eastAsia" w:ascii="宋体" w:hAnsi="宋体" w:eastAsia="宋体" w:cs="宋体"/>
          <w:color w:val="auto"/>
          <w:sz w:val="21"/>
          <w:szCs w:val="21"/>
          <w:highlight w:val="none"/>
          <w:lang w:val="en-US" w:eastAsia="zh-CN"/>
        </w:rPr>
        <w:t>5000</w:t>
      </w:r>
      <w:r>
        <w:rPr>
          <w:rFonts w:hint="eastAsia" w:ascii="宋体" w:hAnsi="宋体" w:eastAsia="宋体" w:cs="宋体"/>
          <w:color w:val="auto"/>
          <w:sz w:val="21"/>
          <w:szCs w:val="21"/>
          <w:highlight w:val="none"/>
        </w:rPr>
        <w:t xml:space="preserve"> 元。 </w:t>
      </w:r>
    </w:p>
    <w:p w14:paraId="4126A7A6">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十五、乙方在履行合同过程中，给甲方或第三方造成人身或财产损失的，由乙方承担全部的赔偿责任。 </w:t>
      </w:r>
    </w:p>
    <w:p w14:paraId="7A91C845">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六、因乙方员工工资、社会保险等纠纷导致乙方不能按约定履行本合同，影响甲方的正常经营管理，甲方有权解除本合同，并要求乙方赔偿因此使甲方遭受的实际损失，损失无法确定的，乙方应向甲方支付违约金人民币（大写）</w:t>
      </w:r>
      <w:r>
        <w:rPr>
          <w:rFonts w:hint="eastAsia" w:ascii="宋体" w:hAnsi="宋体" w:eastAsia="宋体" w:cs="宋体"/>
          <w:color w:val="auto"/>
          <w:sz w:val="21"/>
          <w:szCs w:val="21"/>
          <w:highlight w:val="none"/>
          <w:lang w:val="en-US" w:eastAsia="zh-CN"/>
        </w:rPr>
        <w:t>10000</w:t>
      </w:r>
      <w:r>
        <w:rPr>
          <w:rFonts w:hint="eastAsia" w:ascii="宋体" w:hAnsi="宋体" w:eastAsia="宋体" w:cs="宋体"/>
          <w:color w:val="auto"/>
          <w:sz w:val="21"/>
          <w:szCs w:val="21"/>
          <w:highlight w:val="none"/>
        </w:rPr>
        <w:t xml:space="preserve"> 元。 </w:t>
      </w:r>
    </w:p>
    <w:p w14:paraId="22B3F6AE">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十七、乙方不得转包合同业务，不得将合同的权利义务部分或全部转让给第三方。 </w:t>
      </w:r>
    </w:p>
    <w:p w14:paraId="352BC584">
      <w:pPr>
        <w:keepNext w:val="0"/>
        <w:keepLines w:val="0"/>
        <w:pageBreakBefore w:val="0"/>
        <w:widowControl/>
        <w:kinsoku/>
        <w:wordWrap/>
        <w:overflowPunct/>
        <w:topLinePunct w:val="0"/>
        <w:bidi w:val="0"/>
        <w:adjustRightInd w:val="0"/>
        <w:snapToGrid w:val="0"/>
        <w:spacing w:line="6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本协议一式二份，甲、乙方各执一份，具有同等法律效力，自双方签字盖章之日起生效。 </w:t>
      </w:r>
    </w:p>
    <w:p w14:paraId="2F42C92A">
      <w:pPr>
        <w:keepNext w:val="0"/>
        <w:keepLines w:val="0"/>
        <w:pageBreakBefore w:val="0"/>
        <w:widowControl/>
        <w:kinsoku/>
        <w:wordWrap/>
        <w:overflowPunct/>
        <w:topLinePunct w:val="0"/>
        <w:bidi w:val="0"/>
        <w:adjustRightInd w:val="0"/>
        <w:snapToGrid w:val="0"/>
        <w:spacing w:line="600" w:lineRule="exact"/>
        <w:jc w:val="left"/>
        <w:textAlignment w:val="auto"/>
        <w:outlineLvl w:val="9"/>
        <w:rPr>
          <w:rFonts w:hint="eastAsia" w:ascii="宋体" w:hAnsi="宋体" w:eastAsia="宋体" w:cs="宋体"/>
          <w:color w:val="auto"/>
          <w:sz w:val="21"/>
          <w:szCs w:val="21"/>
          <w:highlight w:val="none"/>
        </w:rPr>
      </w:pPr>
    </w:p>
    <w:p w14:paraId="0CC440F1">
      <w:pPr>
        <w:keepNext w:val="0"/>
        <w:keepLines w:val="0"/>
        <w:pageBreakBefore w:val="0"/>
        <w:widowControl/>
        <w:kinsoku/>
        <w:wordWrap/>
        <w:overflowPunct/>
        <w:topLinePunct w:val="0"/>
        <w:bidi w:val="0"/>
        <w:adjustRightInd w:val="0"/>
        <w:snapToGrid w:val="0"/>
        <w:spacing w:line="600" w:lineRule="exact"/>
        <w:jc w:val="left"/>
        <w:textAlignment w:val="auto"/>
        <w:outlineLvl w:val="9"/>
        <w:rPr>
          <w:rFonts w:hint="eastAsia" w:ascii="宋体" w:hAnsi="宋体" w:eastAsia="宋体" w:cs="宋体"/>
          <w:color w:val="auto"/>
          <w:sz w:val="21"/>
          <w:szCs w:val="21"/>
          <w:highlight w:val="none"/>
        </w:rPr>
      </w:pPr>
    </w:p>
    <w:p w14:paraId="27124EA3">
      <w:pPr>
        <w:keepNext w:val="0"/>
        <w:keepLines w:val="0"/>
        <w:pageBreakBefore w:val="0"/>
        <w:widowControl/>
        <w:kinsoku/>
        <w:wordWrap/>
        <w:overflowPunct/>
        <w:topLinePunct w:val="0"/>
        <w:bidi w:val="0"/>
        <w:adjustRightInd w:val="0"/>
        <w:snapToGrid w:val="0"/>
        <w:spacing w:line="600" w:lineRule="exact"/>
        <w:jc w:val="left"/>
        <w:textAlignment w:val="auto"/>
        <w:outlineLvl w:val="9"/>
        <w:rPr>
          <w:rFonts w:hint="eastAsia" w:ascii="宋体" w:hAnsi="宋体" w:eastAsia="宋体" w:cs="宋体"/>
          <w:color w:val="auto"/>
          <w:sz w:val="21"/>
          <w:szCs w:val="21"/>
          <w:highlight w:val="none"/>
        </w:rPr>
      </w:pPr>
    </w:p>
    <w:p w14:paraId="7FCDDF72">
      <w:pPr>
        <w:keepNext w:val="0"/>
        <w:keepLines w:val="0"/>
        <w:pageBreakBefore w:val="0"/>
        <w:widowControl/>
        <w:kinsoku/>
        <w:wordWrap/>
        <w:overflowPunct/>
        <w:topLinePunct w:val="0"/>
        <w:bidi w:val="0"/>
        <w:adjustRightInd w:val="0"/>
        <w:snapToGrid w:val="0"/>
        <w:spacing w:line="60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乙方： </w:t>
      </w:r>
    </w:p>
    <w:p w14:paraId="4C121324">
      <w:pPr>
        <w:keepNext w:val="0"/>
        <w:keepLines w:val="0"/>
        <w:pageBreakBefore w:val="0"/>
        <w:widowControl/>
        <w:kinsoku/>
        <w:wordWrap/>
        <w:overflowPunct/>
        <w:topLinePunct w:val="0"/>
        <w:bidi w:val="0"/>
        <w:adjustRightInd w:val="0"/>
        <w:snapToGrid w:val="0"/>
        <w:spacing w:line="60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甲方代表：                        乙方代表： </w:t>
      </w:r>
    </w:p>
    <w:p w14:paraId="5CBF86BA">
      <w:pPr>
        <w:keepNext w:val="0"/>
        <w:keepLines w:val="0"/>
        <w:pageBreakBefore w:val="0"/>
        <w:widowControl/>
        <w:kinsoku/>
        <w:wordWrap/>
        <w:overflowPunct/>
        <w:topLinePunct w:val="0"/>
        <w:bidi w:val="0"/>
        <w:adjustRightInd w:val="0"/>
        <w:snapToGrid w:val="0"/>
        <w:spacing w:line="60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  年   月   日         时 间：  年   月   日</w:t>
      </w:r>
    </w:p>
    <w:p w14:paraId="71405603">
      <w:pPr>
        <w:pStyle w:val="2"/>
        <w:ind w:left="0" w:leftChars="0" w:firstLine="0" w:firstLineChars="0"/>
        <w:rPr>
          <w:rFonts w:hint="eastAsia" w:ascii="宋体" w:hAnsi="宋体" w:eastAsia="宋体" w:cs="宋体"/>
          <w:color w:val="auto"/>
          <w:sz w:val="21"/>
          <w:szCs w:val="21"/>
          <w:highlight w:val="none"/>
        </w:rPr>
      </w:pPr>
    </w:p>
    <w:p w14:paraId="37CA5D04">
      <w:pPr>
        <w:pStyle w:val="2"/>
        <w:ind w:left="0" w:leftChars="0" w:firstLine="0" w:firstLineChars="0"/>
        <w:rPr>
          <w:rFonts w:hint="eastAsia" w:ascii="宋体" w:hAnsi="宋体" w:eastAsia="宋体" w:cs="宋体"/>
          <w:color w:val="auto"/>
          <w:sz w:val="21"/>
          <w:szCs w:val="21"/>
          <w:highlight w:val="none"/>
        </w:rPr>
      </w:pPr>
    </w:p>
    <w:p w14:paraId="0B86967F">
      <w:pPr>
        <w:pStyle w:val="2"/>
        <w:ind w:left="0" w:leftChars="0" w:firstLine="0" w:firstLineChars="0"/>
        <w:rPr>
          <w:rFonts w:hint="eastAsia" w:ascii="宋体" w:hAnsi="宋体" w:eastAsia="宋体" w:cs="宋体"/>
          <w:color w:val="auto"/>
          <w:sz w:val="21"/>
          <w:szCs w:val="21"/>
          <w:highlight w:val="none"/>
        </w:rPr>
      </w:pPr>
    </w:p>
    <w:p w14:paraId="724504A1">
      <w:pPr>
        <w:rPr>
          <w:rFonts w:hint="eastAsia" w:ascii="宋体" w:hAnsi="宋体" w:eastAsia="宋体" w:cs="宋体"/>
          <w:b/>
          <w:bCs/>
          <w:color w:val="auto"/>
          <w:kern w:val="44"/>
          <w:sz w:val="28"/>
          <w:szCs w:val="28"/>
          <w:highlight w:val="none"/>
          <w:lang w:val="zh-CN"/>
        </w:rPr>
      </w:pPr>
      <w:r>
        <w:rPr>
          <w:rFonts w:hint="eastAsia" w:ascii="宋体" w:hAnsi="宋体" w:eastAsia="宋体" w:cs="宋体"/>
          <w:b/>
          <w:bCs/>
          <w:color w:val="auto"/>
          <w:kern w:val="44"/>
          <w:sz w:val="28"/>
          <w:szCs w:val="28"/>
          <w:highlight w:val="none"/>
          <w:lang w:val="zh-CN"/>
        </w:rPr>
        <w:br w:type="page"/>
      </w:r>
    </w:p>
    <w:p w14:paraId="0831A7F4">
      <w:pPr>
        <w:pStyle w:val="4"/>
        <w:keepNext/>
        <w:keepLines/>
        <w:pageBreakBefore/>
        <w:shd w:val="clear"/>
        <w:spacing w:line="360" w:lineRule="auto"/>
        <w:jc w:val="center"/>
        <w:rPr>
          <w:rFonts w:hint="eastAsia" w:ascii="宋体" w:hAnsi="宋体" w:eastAsia="宋体" w:cs="宋体"/>
          <w:b/>
          <w:bCs/>
          <w:color w:val="auto"/>
          <w:kern w:val="44"/>
          <w:sz w:val="28"/>
          <w:szCs w:val="28"/>
          <w:highlight w:val="none"/>
          <w:lang w:val="zh-CN"/>
        </w:rPr>
      </w:pPr>
      <w:r>
        <w:rPr>
          <w:rFonts w:hint="eastAsia" w:ascii="宋体" w:hAnsi="宋体" w:eastAsia="宋体" w:cs="宋体"/>
          <w:b/>
          <w:bCs/>
          <w:color w:val="auto"/>
          <w:kern w:val="44"/>
          <w:sz w:val="28"/>
          <w:szCs w:val="28"/>
          <w:highlight w:val="none"/>
          <w:lang w:val="zh-CN"/>
        </w:rPr>
        <w:t>第六篇磋商响应文件格式</w:t>
      </w:r>
      <w:bookmarkEnd w:id="177"/>
      <w:bookmarkEnd w:id="178"/>
      <w:bookmarkEnd w:id="179"/>
    </w:p>
    <w:p w14:paraId="68FDAA32">
      <w:pPr>
        <w:shd w:val="clear"/>
        <w:ind w:firstLine="1800" w:firstLineChars="750"/>
        <w:rPr>
          <w:rFonts w:hint="eastAsia" w:ascii="宋体" w:hAnsi="宋体" w:eastAsia="宋体" w:cs="宋体"/>
          <w:color w:val="auto"/>
          <w:highlight w:val="none"/>
        </w:rPr>
      </w:pPr>
    </w:p>
    <w:p w14:paraId="1D219C70">
      <w:pPr>
        <w:pStyle w:val="5"/>
        <w:jc w:val="center"/>
        <w:rPr>
          <w:rFonts w:hint="eastAsia" w:ascii="宋体" w:hAnsi="宋体" w:eastAsia="宋体" w:cs="宋体"/>
          <w:color w:val="auto"/>
          <w:highlight w:val="none"/>
        </w:rPr>
      </w:pPr>
      <w:bookmarkStart w:id="184" w:name="_Toc9566"/>
      <w:bookmarkStart w:id="185" w:name="_Toc19311"/>
      <w:r>
        <w:rPr>
          <w:rFonts w:hint="eastAsia" w:ascii="宋体" w:hAnsi="宋体" w:eastAsia="宋体" w:cs="宋体"/>
          <w:color w:val="auto"/>
          <w:sz w:val="28"/>
          <w:szCs w:val="28"/>
          <w:highlight w:val="none"/>
        </w:rPr>
        <w:t>第一部分 价格文件（单独编制装订成册）</w:t>
      </w:r>
      <w:bookmarkEnd w:id="184"/>
      <w:bookmarkEnd w:id="185"/>
    </w:p>
    <w:p w14:paraId="60AC5CBA">
      <w:pPr>
        <w:pStyle w:val="5"/>
        <w:numPr>
          <w:ilvl w:val="0"/>
          <w:numId w:val="15"/>
        </w:numPr>
        <w:jc w:val="center"/>
        <w:rPr>
          <w:rFonts w:hint="eastAsia" w:ascii="宋体" w:hAnsi="宋体" w:eastAsia="宋体" w:cs="宋体"/>
          <w:color w:val="auto"/>
          <w:sz w:val="21"/>
          <w:szCs w:val="21"/>
          <w:highlight w:val="none"/>
        </w:rPr>
      </w:pPr>
      <w:bookmarkStart w:id="186" w:name="_Toc7897888"/>
      <w:bookmarkStart w:id="187" w:name="_Toc12373"/>
      <w:bookmarkStart w:id="188" w:name="_Toc21786"/>
      <w:bookmarkStart w:id="189" w:name="_Toc20730"/>
      <w:bookmarkStart w:id="190" w:name="_Toc454701406"/>
      <w:bookmarkStart w:id="191" w:name="_Toc32736"/>
      <w:bookmarkStart w:id="192" w:name="_Toc32405"/>
      <w:bookmarkStart w:id="193" w:name="_Toc476976201"/>
      <w:bookmarkStart w:id="194" w:name="_Toc30637"/>
      <w:bookmarkStart w:id="195" w:name="_Toc29841"/>
      <w:bookmarkStart w:id="196" w:name="_Toc2544"/>
      <w:bookmarkStart w:id="197" w:name="_Toc12383"/>
      <w:bookmarkStart w:id="198" w:name="_Toc396137244"/>
      <w:bookmarkStart w:id="199" w:name="_Toc19671"/>
      <w:bookmarkStart w:id="200" w:name="_Toc9348"/>
      <w:bookmarkStart w:id="201" w:name="_Toc28095"/>
      <w:bookmarkStart w:id="202" w:name="_Toc15960"/>
      <w:bookmarkStart w:id="203" w:name="_Toc18848"/>
      <w:bookmarkStart w:id="204" w:name="_Toc458262639"/>
      <w:bookmarkStart w:id="205" w:name="_Toc32273"/>
      <w:bookmarkStart w:id="206" w:name="_Toc486671573"/>
      <w:bookmarkStart w:id="207" w:name="_Toc467236769"/>
      <w:r>
        <w:rPr>
          <w:rFonts w:hint="eastAsia" w:ascii="宋体" w:hAnsi="宋体" w:eastAsia="宋体" w:cs="宋体"/>
          <w:color w:val="auto"/>
          <w:sz w:val="28"/>
          <w:szCs w:val="28"/>
          <w:highlight w:val="none"/>
        </w:rPr>
        <w:t>报价一览表</w:t>
      </w:r>
      <w:bookmarkEnd w:id="186"/>
      <w:bookmarkEnd w:id="187"/>
      <w:bookmarkEnd w:id="188"/>
      <w:bookmarkEnd w:id="189"/>
    </w:p>
    <w:p w14:paraId="574189B9">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p>
    <w:p w14:paraId="4E1DA1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采购项目编号：</w:t>
      </w:r>
    </w:p>
    <w:p w14:paraId="647CCED0">
      <w:pPr>
        <w:pStyle w:val="2"/>
        <w:rPr>
          <w:rFonts w:hint="eastAsia" w:ascii="宋体" w:hAnsi="宋体" w:eastAsia="宋体" w:cs="宋体"/>
          <w:color w:val="auto"/>
          <w:highlight w:val="none"/>
        </w:rPr>
      </w:pPr>
    </w:p>
    <w:tbl>
      <w:tblPr>
        <w:tblStyle w:val="5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4"/>
        <w:gridCol w:w="2907"/>
        <w:gridCol w:w="1500"/>
        <w:gridCol w:w="1660"/>
      </w:tblGrid>
      <w:tr w14:paraId="625D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20" w:type="pct"/>
            <w:vAlign w:val="center"/>
          </w:tcPr>
          <w:p w14:paraId="519C9E9B">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szCs w:val="21"/>
                <w:highlight w:val="none"/>
              </w:rPr>
              <w:t>项目名称</w:t>
            </w:r>
          </w:p>
        </w:tc>
        <w:tc>
          <w:tcPr>
            <w:tcW w:w="1475" w:type="pct"/>
            <w:vAlign w:val="center"/>
          </w:tcPr>
          <w:p w14:paraId="7EADBDAE">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基础检测服务费系数</w:t>
            </w:r>
          </w:p>
        </w:tc>
        <w:tc>
          <w:tcPr>
            <w:tcW w:w="761" w:type="pct"/>
            <w:vAlign w:val="center"/>
          </w:tcPr>
          <w:p w14:paraId="2F8BB1BD">
            <w:pPr>
              <w:spacing w:line="240" w:lineRule="auto"/>
              <w:jc w:val="center"/>
              <w:rPr>
                <w:rFonts w:hint="eastAsia" w:ascii="宋体" w:hAnsi="宋体" w:eastAsia="宋体" w:cs="宋体"/>
                <w:color w:val="auto"/>
                <w:kern w:val="28"/>
                <w:szCs w:val="21"/>
                <w:highlight w:val="none"/>
                <w:lang w:val="en-US" w:eastAsia="zh-CN"/>
              </w:rPr>
            </w:pPr>
            <w:r>
              <w:rPr>
                <w:rFonts w:hint="eastAsia" w:ascii="宋体" w:hAnsi="宋体" w:eastAsia="宋体" w:cs="宋体"/>
                <w:color w:val="auto"/>
                <w:kern w:val="28"/>
                <w:szCs w:val="21"/>
                <w:highlight w:val="none"/>
                <w:lang w:val="en-US" w:eastAsia="zh-CN"/>
              </w:rPr>
              <w:t>税率</w:t>
            </w:r>
          </w:p>
        </w:tc>
        <w:tc>
          <w:tcPr>
            <w:tcW w:w="842" w:type="pct"/>
            <w:vAlign w:val="center"/>
          </w:tcPr>
          <w:p w14:paraId="1694AFA5">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备注</w:t>
            </w:r>
          </w:p>
        </w:tc>
      </w:tr>
      <w:tr w14:paraId="48EF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920" w:type="pct"/>
            <w:vAlign w:val="center"/>
          </w:tcPr>
          <w:p w14:paraId="1D7A5C48">
            <w:pPr>
              <w:spacing w:line="240" w:lineRule="auto"/>
              <w:jc w:val="center"/>
              <w:rPr>
                <w:rFonts w:hint="eastAsia" w:ascii="宋体" w:hAnsi="宋体" w:eastAsia="宋体" w:cs="宋体"/>
                <w:color w:val="auto"/>
                <w:szCs w:val="21"/>
                <w:highlight w:val="none"/>
              </w:rPr>
            </w:pPr>
          </w:p>
        </w:tc>
        <w:tc>
          <w:tcPr>
            <w:tcW w:w="1475" w:type="pct"/>
            <w:vAlign w:val="center"/>
          </w:tcPr>
          <w:p w14:paraId="17EC67D8">
            <w:pPr>
              <w:spacing w:line="240" w:lineRule="auto"/>
              <w:jc w:val="center"/>
              <w:rPr>
                <w:rFonts w:hint="eastAsia" w:ascii="宋体" w:hAnsi="宋体" w:eastAsia="宋体" w:cs="宋体"/>
                <w:color w:val="auto"/>
                <w:szCs w:val="21"/>
                <w:highlight w:val="none"/>
              </w:rPr>
            </w:pPr>
          </w:p>
        </w:tc>
        <w:tc>
          <w:tcPr>
            <w:tcW w:w="761" w:type="pct"/>
            <w:vAlign w:val="center"/>
          </w:tcPr>
          <w:p w14:paraId="49E215A2">
            <w:pPr>
              <w:pStyle w:val="64"/>
              <w:jc w:val="center"/>
              <w:rPr>
                <w:rFonts w:hint="eastAsia" w:ascii="宋体" w:hAnsi="宋体" w:eastAsia="宋体" w:cs="宋体"/>
                <w:color w:val="auto"/>
                <w:sz w:val="21"/>
                <w:szCs w:val="21"/>
                <w:highlight w:val="none"/>
              </w:rPr>
            </w:pPr>
          </w:p>
        </w:tc>
        <w:tc>
          <w:tcPr>
            <w:tcW w:w="842" w:type="pct"/>
            <w:vAlign w:val="center"/>
          </w:tcPr>
          <w:p w14:paraId="4C464FFF">
            <w:pPr>
              <w:pStyle w:val="64"/>
              <w:jc w:val="center"/>
              <w:rPr>
                <w:rFonts w:hint="eastAsia" w:ascii="宋体" w:hAnsi="宋体" w:eastAsia="宋体" w:cs="宋体"/>
                <w:color w:val="auto"/>
                <w:sz w:val="21"/>
                <w:szCs w:val="21"/>
                <w:highlight w:val="none"/>
              </w:rPr>
            </w:pPr>
          </w:p>
        </w:tc>
      </w:tr>
    </w:tbl>
    <w:p w14:paraId="4E6EB3CA">
      <w:pPr>
        <w:rPr>
          <w:rFonts w:hint="eastAsia" w:ascii="宋体" w:hAnsi="宋体" w:eastAsia="宋体" w:cs="宋体"/>
          <w:color w:val="auto"/>
          <w:szCs w:val="21"/>
          <w:highlight w:val="none"/>
        </w:rPr>
      </w:pPr>
    </w:p>
    <w:p w14:paraId="37D5D80B">
      <w:pPr>
        <w:ind w:firstLine="410" w:firstLineChars="171"/>
        <w:rPr>
          <w:rFonts w:hint="eastAsia" w:ascii="宋体" w:hAnsi="宋体" w:eastAsia="宋体" w:cs="宋体"/>
          <w:color w:val="auto"/>
          <w:szCs w:val="21"/>
          <w:highlight w:val="none"/>
        </w:rPr>
      </w:pPr>
    </w:p>
    <w:p w14:paraId="05EE85CC">
      <w:pPr>
        <w:ind w:firstLine="410"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代表签字：</w:t>
      </w:r>
    </w:p>
    <w:p w14:paraId="473C7812">
      <w:pPr>
        <w:ind w:firstLine="410"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盖章：</w:t>
      </w:r>
    </w:p>
    <w:p w14:paraId="0F8D0BC0">
      <w:pPr>
        <w:ind w:firstLine="410"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460BA2C1">
      <w:pPr>
        <w:ind w:firstLine="410" w:firstLineChars="171"/>
        <w:rPr>
          <w:rFonts w:hint="eastAsia" w:ascii="宋体" w:hAnsi="宋体" w:eastAsia="宋体" w:cs="宋体"/>
          <w:color w:val="auto"/>
          <w:szCs w:val="21"/>
          <w:highlight w:val="none"/>
        </w:rPr>
      </w:pPr>
    </w:p>
    <w:p w14:paraId="1218C30E">
      <w:pPr>
        <w:ind w:left="391" w:hanging="446" w:hangingChars="18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w:t>
      </w:r>
    </w:p>
    <w:p w14:paraId="07773EFA">
      <w:pPr>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lang w:val="en-US" w:eastAsia="zh-CN"/>
        </w:rPr>
        <w:t>系数</w:t>
      </w:r>
      <w:r>
        <w:rPr>
          <w:rFonts w:hint="eastAsia" w:ascii="宋体" w:hAnsi="宋体" w:eastAsia="宋体" w:cs="宋体"/>
          <w:color w:val="auto"/>
          <w:szCs w:val="21"/>
          <w:highlight w:val="none"/>
        </w:rPr>
        <w:t>栏须用大写金额和小写金额两种方式表示的投标</w:t>
      </w:r>
      <w:r>
        <w:rPr>
          <w:rFonts w:hint="eastAsia" w:ascii="宋体" w:hAnsi="宋体" w:eastAsia="宋体" w:cs="宋体"/>
          <w:color w:val="auto"/>
          <w:szCs w:val="21"/>
          <w:highlight w:val="none"/>
          <w:lang w:val="en-US" w:eastAsia="zh-CN"/>
        </w:rPr>
        <w:t>系数</w:t>
      </w:r>
      <w:r>
        <w:rPr>
          <w:rFonts w:hint="eastAsia" w:ascii="宋体" w:hAnsi="宋体" w:eastAsia="宋体" w:cs="宋体"/>
          <w:color w:val="auto"/>
          <w:szCs w:val="21"/>
          <w:highlight w:val="none"/>
        </w:rPr>
        <w:t>，报价保留小数点后两位。投标</w:t>
      </w:r>
      <w:r>
        <w:rPr>
          <w:rFonts w:hint="eastAsia" w:ascii="宋体" w:hAnsi="宋体" w:eastAsia="宋体" w:cs="宋体"/>
          <w:color w:val="auto"/>
          <w:szCs w:val="21"/>
          <w:highlight w:val="none"/>
          <w:lang w:val="en-US" w:eastAsia="zh-CN"/>
        </w:rPr>
        <w:t>系数</w:t>
      </w:r>
      <w:r>
        <w:rPr>
          <w:rFonts w:hint="eastAsia" w:ascii="宋体" w:hAnsi="宋体" w:eastAsia="宋体" w:cs="宋体"/>
          <w:color w:val="auto"/>
          <w:szCs w:val="21"/>
          <w:highlight w:val="none"/>
        </w:rPr>
        <w:t>大小写不一致，以大写为准。</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lang w:val="en-US" w:eastAsia="zh-CN"/>
        </w:rPr>
        <w:t>系数</w:t>
      </w:r>
      <w:r>
        <w:rPr>
          <w:rFonts w:hint="eastAsia" w:ascii="宋体" w:hAnsi="宋体" w:eastAsia="宋体" w:cs="宋体"/>
          <w:color w:val="auto"/>
          <w:szCs w:val="21"/>
          <w:highlight w:val="none"/>
        </w:rPr>
        <w:t>必须准确唯一且应包含采购文件要求的所有费用。</w:t>
      </w:r>
    </w:p>
    <w:p w14:paraId="0B3A80C9">
      <w:pPr>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2、温馨提示：未按采购文件要求报价、填写开标一览表是导致</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废标的常见问题，请</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仔细填写，认真核对。</w:t>
      </w:r>
    </w:p>
    <w:p w14:paraId="1DAFA6E2">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14:paraId="16ED2B1D">
      <w:pPr>
        <w:pStyle w:val="5"/>
        <w:shd w:val="clear"/>
        <w:jc w:val="center"/>
        <w:rPr>
          <w:rFonts w:hint="eastAsia" w:ascii="宋体" w:hAnsi="宋体" w:eastAsia="宋体" w:cs="宋体"/>
          <w:color w:val="auto"/>
          <w:sz w:val="28"/>
          <w:szCs w:val="28"/>
          <w:highlight w:val="none"/>
        </w:rPr>
      </w:pPr>
      <w:bookmarkStart w:id="208" w:name="_Toc12158"/>
      <w:bookmarkStart w:id="209" w:name="_Toc18450"/>
      <w:bookmarkStart w:id="210" w:name="_Toc454701405"/>
      <w:bookmarkStart w:id="211" w:name="_Toc486671572"/>
      <w:bookmarkStart w:id="212" w:name="_Toc458262638"/>
      <w:bookmarkStart w:id="213" w:name="_Toc467236768"/>
      <w:bookmarkStart w:id="214" w:name="_Toc7897890"/>
      <w:bookmarkStart w:id="215" w:name="_Toc27849"/>
      <w:bookmarkStart w:id="216" w:name="_Toc476976200"/>
      <w:bookmarkStart w:id="217" w:name="_Toc110953866"/>
      <w:bookmarkStart w:id="218" w:name="_Toc468157569"/>
      <w:bookmarkStart w:id="219" w:name="_Toc480021085"/>
      <w:bookmarkStart w:id="220" w:name="_Toc480020289"/>
      <w:bookmarkStart w:id="221" w:name="_Toc480010742"/>
      <w:bookmarkStart w:id="222" w:name="_Toc467987856"/>
      <w:bookmarkStart w:id="223" w:name="_Toc468606064"/>
      <w:bookmarkStart w:id="224" w:name="_Toc479991616"/>
      <w:r>
        <w:rPr>
          <w:rFonts w:hint="eastAsia" w:ascii="宋体" w:hAnsi="宋体" w:eastAsia="宋体" w:cs="宋体"/>
          <w:color w:val="auto"/>
          <w:sz w:val="28"/>
          <w:szCs w:val="28"/>
          <w:highlight w:val="none"/>
        </w:rPr>
        <w:t>第二部分  商务文件</w:t>
      </w:r>
      <w:bookmarkEnd w:id="208"/>
      <w:bookmarkEnd w:id="209"/>
      <w:bookmarkStart w:id="225" w:name="_Hlt10456397"/>
      <w:bookmarkEnd w:id="225"/>
      <w:bookmarkStart w:id="226" w:name="_Hlt10519799"/>
      <w:bookmarkEnd w:id="226"/>
    </w:p>
    <w:p w14:paraId="4D59E2FD">
      <w:pPr>
        <w:shd w:val="clear"/>
        <w:rPr>
          <w:rFonts w:hint="eastAsia" w:ascii="宋体" w:hAnsi="宋体" w:eastAsia="宋体" w:cs="宋体"/>
          <w:color w:val="auto"/>
          <w:highlight w:val="none"/>
        </w:rPr>
      </w:pPr>
    </w:p>
    <w:p w14:paraId="0D2BFB86">
      <w:pPr>
        <w:pStyle w:val="5"/>
        <w:numPr>
          <w:ilvl w:val="0"/>
          <w:numId w:val="16"/>
        </w:numPr>
        <w:shd w:val="clear"/>
        <w:jc w:val="center"/>
        <w:rPr>
          <w:rFonts w:hint="eastAsia" w:ascii="宋体" w:hAnsi="宋体" w:eastAsia="宋体" w:cs="宋体"/>
          <w:b w:val="0"/>
          <w:color w:val="auto"/>
          <w:sz w:val="28"/>
          <w:szCs w:val="28"/>
          <w:highlight w:val="none"/>
        </w:rPr>
      </w:pPr>
      <w:bookmarkStart w:id="227" w:name="_Toc18728"/>
      <w:bookmarkStart w:id="228" w:name="_Toc8815"/>
      <w:r>
        <w:rPr>
          <w:rFonts w:hint="eastAsia" w:ascii="宋体" w:hAnsi="宋体" w:eastAsia="宋体" w:cs="宋体"/>
          <w:color w:val="auto"/>
          <w:sz w:val="28"/>
          <w:szCs w:val="28"/>
          <w:highlight w:val="none"/>
        </w:rPr>
        <w:t>响应书</w:t>
      </w:r>
      <w:bookmarkEnd w:id="210"/>
      <w:bookmarkEnd w:id="211"/>
      <w:bookmarkEnd w:id="212"/>
      <w:bookmarkEnd w:id="213"/>
      <w:bookmarkEnd w:id="214"/>
      <w:bookmarkEnd w:id="215"/>
      <w:bookmarkEnd w:id="216"/>
      <w:bookmarkEnd w:id="227"/>
      <w:bookmarkEnd w:id="228"/>
    </w:p>
    <w:p w14:paraId="3205499D">
      <w:pPr>
        <w:pStyle w:val="31"/>
        <w:shd w:val="clear"/>
        <w:autoSpaceDE/>
        <w:autoSpaceDN/>
        <w:adjustRightInd/>
        <w:spacing w:line="480" w:lineRule="exact"/>
        <w:ind w:left="6000"/>
        <w:rPr>
          <w:rFonts w:hint="eastAsia" w:ascii="宋体" w:hAnsi="宋体" w:eastAsia="宋体" w:cs="宋体"/>
          <w:color w:val="auto"/>
          <w:sz w:val="24"/>
          <w:highlight w:val="none"/>
        </w:rPr>
      </w:pPr>
    </w:p>
    <w:p w14:paraId="5FB5F8D0">
      <w:pPr>
        <w:pStyle w:val="31"/>
        <w:shd w:val="clear"/>
        <w:autoSpaceDE/>
        <w:autoSpaceDN/>
        <w:adjustRightInd/>
        <w:spacing w:line="480" w:lineRule="exact"/>
        <w:ind w:left="0" w:leftChars="0"/>
        <w:rPr>
          <w:rFonts w:hint="eastAsia" w:ascii="宋体" w:hAnsi="宋体" w:eastAsia="宋体" w:cs="宋体"/>
          <w:color w:val="auto"/>
          <w:highlight w:val="none"/>
          <w:lang w:eastAsia="zh-CN"/>
        </w:rPr>
      </w:pPr>
      <w:r>
        <w:rPr>
          <w:rFonts w:hint="eastAsia" w:ascii="宋体" w:hAnsi="宋体" w:eastAsia="宋体" w:cs="宋体"/>
          <w:color w:val="auto"/>
          <w:highlight w:val="none"/>
        </w:rPr>
        <w:t>致：</w:t>
      </w:r>
      <w:r>
        <w:rPr>
          <w:rFonts w:hint="eastAsia" w:ascii="宋体" w:hAnsi="宋体" w:eastAsia="宋体" w:cs="宋体"/>
          <w:color w:val="auto"/>
          <w:highlight w:val="none"/>
          <w:lang w:eastAsia="zh-CN"/>
        </w:rPr>
        <w:t>广东志合项目管理有限公司</w:t>
      </w:r>
    </w:p>
    <w:p w14:paraId="28F8398D">
      <w:pPr>
        <w:shd w:val="clea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根据贵方（采购编号：）的采购邀请和磋商文件，供应商承诺如下：</w:t>
      </w:r>
    </w:p>
    <w:p w14:paraId="0959A871">
      <w:pPr>
        <w:shd w:val="clea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1.签字代表</w:t>
      </w:r>
      <w:r>
        <w:rPr>
          <w:rFonts w:hint="eastAsia" w:ascii="宋体" w:hAnsi="宋体" w:eastAsia="宋体" w:cs="宋体"/>
          <w:color w:val="auto"/>
          <w:sz w:val="21"/>
          <w:szCs w:val="21"/>
          <w:highlight w:val="none"/>
          <w:u w:val="single"/>
        </w:rPr>
        <w:t>（姓名、职务）</w:t>
      </w:r>
      <w:r>
        <w:rPr>
          <w:rFonts w:hint="eastAsia" w:ascii="宋体" w:hAnsi="宋体" w:eastAsia="宋体" w:cs="宋体"/>
          <w:color w:val="auto"/>
          <w:sz w:val="21"/>
          <w:szCs w:val="21"/>
          <w:highlight w:val="none"/>
        </w:rPr>
        <w:t>经正式授权并代表供应商</w:t>
      </w:r>
      <w:r>
        <w:rPr>
          <w:rFonts w:hint="eastAsia" w:ascii="宋体" w:hAnsi="宋体" w:eastAsia="宋体" w:cs="宋体"/>
          <w:color w:val="auto"/>
          <w:sz w:val="21"/>
          <w:szCs w:val="21"/>
          <w:highlight w:val="none"/>
          <w:u w:val="single"/>
        </w:rPr>
        <w:t>（供应商名称、地址）</w:t>
      </w:r>
      <w:r>
        <w:rPr>
          <w:rFonts w:hint="eastAsia" w:ascii="宋体" w:hAnsi="宋体" w:eastAsia="宋体" w:cs="宋体"/>
          <w:color w:val="auto"/>
          <w:sz w:val="21"/>
          <w:szCs w:val="21"/>
          <w:highlight w:val="none"/>
        </w:rPr>
        <w:t>提交响应文件正本份和副本份。</w:t>
      </w:r>
    </w:p>
    <w:p w14:paraId="2CAD04C8">
      <w:pPr>
        <w:shd w:val="clea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2.供应商愿意参加响应并在成交后按磋商文件规定履行义务。</w:t>
      </w:r>
    </w:p>
    <w:p w14:paraId="4FEC2A7D">
      <w:pPr>
        <w:shd w:val="clea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3.供应商已详细审查全部磋商文件，包括澄清或修改文件（如有的话）等全部资料。供应商完全理解磋商文件的内容，不存在对磋商文件不明白和误解。</w:t>
      </w:r>
    </w:p>
    <w:p w14:paraId="64BA7FF2">
      <w:pPr>
        <w:shd w:val="clea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4.响应文件中所提交的所有资料均是准确的和真实的，否则，我单位愿意放弃成交的权利和接受采购监督管理部门的处罚。</w:t>
      </w:r>
    </w:p>
    <w:p w14:paraId="7AC2BDCE">
      <w:pPr>
        <w:shd w:val="clea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5.参加本项目采购活动前3年内，在经营活动中没有重大违法记录。</w:t>
      </w:r>
    </w:p>
    <w:p w14:paraId="41F63FC3">
      <w:pPr>
        <w:shd w:val="clea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6.响应有效期为90个工作日，自开启响应文件之日起算。</w:t>
      </w:r>
    </w:p>
    <w:p w14:paraId="42AA6C22">
      <w:pPr>
        <w:shd w:val="clea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7.同意在成交后按照磋商文件的规定缴纳</w:t>
      </w:r>
      <w:r>
        <w:rPr>
          <w:rFonts w:hint="eastAsia" w:ascii="宋体" w:hAnsi="宋体" w:eastAsia="宋体" w:cs="宋体"/>
          <w:color w:val="auto"/>
          <w:sz w:val="21"/>
          <w:szCs w:val="21"/>
          <w:highlight w:val="none"/>
          <w:lang w:eastAsia="zh-CN"/>
        </w:rPr>
        <w:t>采购代理服务费</w:t>
      </w:r>
      <w:r>
        <w:rPr>
          <w:rFonts w:hint="eastAsia" w:ascii="宋体" w:hAnsi="宋体" w:eastAsia="宋体" w:cs="宋体"/>
          <w:color w:val="auto"/>
          <w:sz w:val="21"/>
          <w:szCs w:val="21"/>
          <w:highlight w:val="none"/>
        </w:rPr>
        <w:t>。</w:t>
      </w:r>
    </w:p>
    <w:p w14:paraId="2E2F49FF">
      <w:pPr>
        <w:shd w:val="clea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8.如果开启响应文件后，在响应有效期内撤回文件的，我单位愿意承担贵单位由此而产生的损失。</w:t>
      </w:r>
    </w:p>
    <w:p w14:paraId="6D031C98">
      <w:pPr>
        <w:shd w:val="clea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9.供应商同意提供按照贵方可能要求的有关的一切资料，理解贵单位不一定要接受最低价的响应或收到的任何响应。</w:t>
      </w:r>
    </w:p>
    <w:p w14:paraId="0AF3CC0B">
      <w:pPr>
        <w:shd w:val="clea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10.与本响应有关的一切正式往来通讯请寄：</w:t>
      </w:r>
    </w:p>
    <w:p w14:paraId="45A18713">
      <w:pPr>
        <w:shd w:val="clear"/>
        <w:spacing w:line="480" w:lineRule="exact"/>
        <w:ind w:firstLine="420" w:firstLineChars="200"/>
        <w:rPr>
          <w:rFonts w:hint="eastAsia" w:ascii="宋体" w:hAnsi="宋体" w:eastAsia="宋体" w:cs="宋体"/>
          <w:color w:val="auto"/>
          <w:sz w:val="21"/>
          <w:szCs w:val="21"/>
          <w:highlight w:val="none"/>
        </w:rPr>
      </w:pPr>
    </w:p>
    <w:p w14:paraId="4B8CA38A">
      <w:pPr>
        <w:shd w:val="clea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（盖公章）                   </w:t>
      </w:r>
    </w:p>
    <w:p w14:paraId="607DE14F">
      <w:pPr>
        <w:shd w:val="clear"/>
        <w:spacing w:line="4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供应商代表姓名、职务（印刷体）：</w:t>
      </w:r>
    </w:p>
    <w:p w14:paraId="24D7099A">
      <w:pPr>
        <w:shd w:val="clea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供应商联系电话、传真：</w:t>
      </w:r>
    </w:p>
    <w:p w14:paraId="16D5F506">
      <w:pPr>
        <w:shd w:val="clea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日期：年月日</w:t>
      </w:r>
    </w:p>
    <w:p w14:paraId="2C896391">
      <w:pPr>
        <w:pStyle w:val="5"/>
        <w:numPr>
          <w:ilvl w:val="0"/>
          <w:numId w:val="16"/>
        </w:numPr>
        <w:shd w:val="clear"/>
        <w:jc w:val="center"/>
        <w:rPr>
          <w:rFonts w:hint="eastAsia" w:ascii="宋体" w:hAnsi="宋体" w:eastAsia="宋体" w:cs="宋体"/>
          <w:bCs/>
          <w:color w:val="auto"/>
          <w:sz w:val="28"/>
          <w:szCs w:val="28"/>
          <w:highlight w:val="none"/>
        </w:rPr>
      </w:pPr>
      <w:r>
        <w:rPr>
          <w:rFonts w:hint="eastAsia" w:ascii="宋体" w:hAnsi="宋体" w:eastAsia="宋体" w:cs="宋体"/>
          <w:color w:val="auto"/>
          <w:sz w:val="22"/>
          <w:szCs w:val="22"/>
          <w:highlight w:val="none"/>
        </w:rPr>
        <w:br w:type="page"/>
      </w:r>
      <w:bookmarkStart w:id="229" w:name="_Toc31943"/>
      <w:bookmarkStart w:id="230" w:name="_Toc10808"/>
      <w:bookmarkStart w:id="231" w:name="_Toc24748"/>
      <w:bookmarkStart w:id="232" w:name="_Toc7897891"/>
      <w:r>
        <w:rPr>
          <w:rFonts w:hint="eastAsia" w:ascii="宋体" w:hAnsi="宋体" w:eastAsia="宋体" w:cs="宋体"/>
          <w:bCs/>
          <w:color w:val="auto"/>
          <w:sz w:val="28"/>
          <w:szCs w:val="28"/>
          <w:highlight w:val="none"/>
        </w:rPr>
        <w:t>法定代表人证明书</w:t>
      </w:r>
      <w:bookmarkEnd w:id="229"/>
      <w:bookmarkEnd w:id="230"/>
      <w:bookmarkEnd w:id="231"/>
      <w:bookmarkEnd w:id="232"/>
    </w:p>
    <w:p w14:paraId="4D8E31E0">
      <w:pPr>
        <w:shd w:val="clear"/>
        <w:jc w:val="center"/>
        <w:rPr>
          <w:rFonts w:hint="eastAsia" w:ascii="宋体" w:hAnsi="宋体" w:eastAsia="宋体" w:cs="宋体"/>
          <w:color w:val="auto"/>
          <w:sz w:val="28"/>
          <w:szCs w:val="28"/>
          <w:highlight w:val="none"/>
        </w:rPr>
      </w:pPr>
    </w:p>
    <w:p w14:paraId="72B43B00">
      <w:pPr>
        <w:shd w:val="clear"/>
        <w:spacing w:line="4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广东志合项目管理有限公司</w:t>
      </w:r>
    </w:p>
    <w:p w14:paraId="75BD488A">
      <w:pPr>
        <w:pStyle w:val="78"/>
        <w:shd w:val="clear"/>
        <w:spacing w:line="420" w:lineRule="atLeast"/>
        <w:ind w:firstLine="433"/>
        <w:rPr>
          <w:rFonts w:hint="eastAsia" w:ascii="宋体" w:hAnsi="宋体" w:eastAsia="宋体" w:cs="宋体"/>
          <w:color w:val="auto"/>
          <w:sz w:val="21"/>
          <w:szCs w:val="21"/>
          <w:highlight w:val="none"/>
        </w:rPr>
      </w:pPr>
    </w:p>
    <w:p w14:paraId="5612D69A">
      <w:pPr>
        <w:pStyle w:val="78"/>
        <w:shd w:val="clear"/>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供应商名称: </w:t>
      </w:r>
    </w:p>
    <w:p w14:paraId="58FB97E9">
      <w:pPr>
        <w:pStyle w:val="78"/>
        <w:shd w:val="clear"/>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位 性质：</w:t>
      </w:r>
    </w:p>
    <w:p w14:paraId="16489B98">
      <w:pPr>
        <w:pStyle w:val="78"/>
        <w:shd w:val="clear"/>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p>
    <w:p w14:paraId="61B98FE8">
      <w:pPr>
        <w:pStyle w:val="78"/>
        <w:shd w:val="clear"/>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 立 时间：年月日</w:t>
      </w:r>
    </w:p>
    <w:p w14:paraId="3FC8717C">
      <w:pPr>
        <w:pStyle w:val="78"/>
        <w:shd w:val="clear"/>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 营 期限：</w:t>
      </w:r>
    </w:p>
    <w:p w14:paraId="2910C124">
      <w:pPr>
        <w:pStyle w:val="78"/>
        <w:shd w:val="clear"/>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姓名：性别：年龄：职务：</w:t>
      </w:r>
    </w:p>
    <w:p w14:paraId="77ACB565">
      <w:pPr>
        <w:pStyle w:val="78"/>
        <w:shd w:val="clear"/>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系（供应商名称）的法定代表人。</w:t>
      </w:r>
    </w:p>
    <w:p w14:paraId="26658257">
      <w:pPr>
        <w:shd w:val="clear"/>
        <w:spacing w:line="42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351D692E">
      <w:pPr>
        <w:pStyle w:val="78"/>
        <w:shd w:val="clear"/>
        <w:spacing w:line="500" w:lineRule="atLeast"/>
        <w:ind w:firstLine="3517" w:firstLineChars="1675"/>
        <w:rPr>
          <w:rFonts w:hint="eastAsia" w:ascii="宋体" w:hAnsi="宋体" w:eastAsia="宋体" w:cs="宋体"/>
          <w:color w:val="auto"/>
          <w:sz w:val="21"/>
          <w:szCs w:val="21"/>
          <w:highlight w:val="none"/>
        </w:rPr>
      </w:pPr>
    </w:p>
    <w:p w14:paraId="0C30A776">
      <w:pPr>
        <w:pStyle w:val="78"/>
        <w:shd w:val="clear"/>
        <w:spacing w:line="500" w:lineRule="atLeast"/>
        <w:ind w:firstLine="3517" w:firstLineChars="167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供应商名称（加盖公章）</w:t>
      </w:r>
      <w:r>
        <w:rPr>
          <w:rFonts w:hint="eastAsia" w:ascii="宋体" w:hAnsi="宋体" w:eastAsia="宋体" w:cs="宋体"/>
          <w:color w:val="auto"/>
          <w:sz w:val="21"/>
          <w:szCs w:val="21"/>
          <w:highlight w:val="none"/>
          <w:lang w:eastAsia="zh-CN"/>
        </w:rPr>
        <w:t>：</w:t>
      </w:r>
    </w:p>
    <w:p w14:paraId="41490DC0">
      <w:pPr>
        <w:pStyle w:val="78"/>
        <w:shd w:val="clear"/>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法定代表人（签名或盖私章）：</w:t>
      </w:r>
    </w:p>
    <w:p w14:paraId="0C5993D7">
      <w:pPr>
        <w:pStyle w:val="78"/>
        <w:shd w:val="clear"/>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p>
    <w:p w14:paraId="3146CB6A">
      <w:pPr>
        <w:pStyle w:val="78"/>
        <w:shd w:val="clear"/>
        <w:spacing w:line="500" w:lineRule="atLeast"/>
        <w:ind w:firstLine="3507" w:firstLineChars="16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期：年月日</w:t>
      </w:r>
    </w:p>
    <w:p w14:paraId="4A2B950E">
      <w:pPr>
        <w:pStyle w:val="78"/>
        <w:shd w:val="clear"/>
        <w:spacing w:line="460" w:lineRule="exact"/>
        <w:ind w:firstLine="433"/>
        <w:rPr>
          <w:rFonts w:hint="eastAsia" w:ascii="宋体" w:hAnsi="宋体" w:eastAsia="宋体" w:cs="宋体"/>
          <w:color w:val="auto"/>
          <w:sz w:val="21"/>
          <w:szCs w:val="21"/>
          <w:highlight w:val="none"/>
        </w:rPr>
      </w:pPr>
    </w:p>
    <w:p w14:paraId="5D8CC515">
      <w:pPr>
        <w:shd w:val="clear"/>
        <w:spacing w:line="420" w:lineRule="atLeast"/>
        <w:ind w:firstLine="422" w:firstLineChars="200"/>
        <w:rPr>
          <w:rFonts w:hint="eastAsia" w:ascii="宋体" w:hAnsi="宋体" w:eastAsia="宋体" w:cs="宋体"/>
          <w:b/>
          <w:color w:val="auto"/>
          <w:sz w:val="21"/>
          <w:szCs w:val="21"/>
          <w:highlight w:val="none"/>
        </w:rPr>
      </w:pPr>
    </w:p>
    <w:p w14:paraId="78F9FB5B">
      <w:pPr>
        <w:shd w:val="clear"/>
        <w:spacing w:line="42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须附：法定代表人身份证复印件</w:t>
      </w:r>
    </w:p>
    <w:p w14:paraId="49B8C835">
      <w:pPr>
        <w:shd w:val="clear"/>
        <w:spacing w:line="420" w:lineRule="atLeast"/>
        <w:ind w:firstLine="422" w:firstLineChars="200"/>
        <w:rPr>
          <w:rFonts w:hint="eastAsia" w:ascii="宋体" w:hAnsi="宋体" w:eastAsia="宋体" w:cs="宋体"/>
          <w:b/>
          <w:color w:val="auto"/>
          <w:sz w:val="21"/>
          <w:szCs w:val="21"/>
          <w:highlight w:val="none"/>
        </w:rPr>
      </w:pPr>
    </w:p>
    <w:tbl>
      <w:tblPr>
        <w:tblStyle w:val="54"/>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6F2B4D6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17" w:hRule="atLeast"/>
          <w:jc w:val="center"/>
        </w:trPr>
        <w:tc>
          <w:tcPr>
            <w:tcW w:w="4182" w:type="dxa"/>
            <w:vAlign w:val="center"/>
          </w:tcPr>
          <w:p w14:paraId="4B76ABD1">
            <w:pPr>
              <w:pStyle w:val="78"/>
              <w:shd w:val="clear"/>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4182" w:type="dxa"/>
            <w:vAlign w:val="center"/>
          </w:tcPr>
          <w:p w14:paraId="20B4C163">
            <w:pPr>
              <w:pStyle w:val="78"/>
              <w:shd w:val="clear"/>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14:paraId="101299D6">
      <w:pPr>
        <w:shd w:val="clear"/>
        <w:rPr>
          <w:rFonts w:hint="eastAsia" w:ascii="宋体" w:hAnsi="宋体" w:eastAsia="宋体" w:cs="宋体"/>
          <w:color w:val="auto"/>
          <w:highlight w:val="none"/>
        </w:rPr>
      </w:pPr>
    </w:p>
    <w:p w14:paraId="214CFEEF">
      <w:pPr>
        <w:pStyle w:val="5"/>
        <w:numPr>
          <w:ilvl w:val="0"/>
          <w:numId w:val="16"/>
        </w:numPr>
        <w:shd w:val="clear"/>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bookmarkStart w:id="233" w:name="_Toc19634"/>
      <w:bookmarkStart w:id="234" w:name="_Toc28882"/>
      <w:bookmarkStart w:id="235" w:name="_Toc18590"/>
      <w:bookmarkStart w:id="236" w:name="_Toc7897892"/>
      <w:r>
        <w:rPr>
          <w:rFonts w:hint="eastAsia" w:ascii="宋体" w:hAnsi="宋体" w:eastAsia="宋体" w:cs="宋体"/>
          <w:bCs/>
          <w:color w:val="auto"/>
          <w:sz w:val="28"/>
          <w:szCs w:val="28"/>
          <w:highlight w:val="none"/>
        </w:rPr>
        <w:t>授权委托书（加法人证明书）</w:t>
      </w:r>
      <w:bookmarkEnd w:id="233"/>
      <w:bookmarkEnd w:id="234"/>
      <w:bookmarkEnd w:id="235"/>
      <w:bookmarkEnd w:id="236"/>
    </w:p>
    <w:p w14:paraId="240B634B">
      <w:pPr>
        <w:pStyle w:val="3"/>
        <w:shd w:val="clear"/>
        <w:ind w:firstLine="400"/>
        <w:rPr>
          <w:rFonts w:hint="eastAsia" w:ascii="宋体" w:hAnsi="宋体" w:eastAsia="宋体" w:cs="宋体"/>
          <w:color w:val="auto"/>
          <w:highlight w:val="none"/>
        </w:rPr>
      </w:pPr>
    </w:p>
    <w:p w14:paraId="0DDCCA71">
      <w:pPr>
        <w:shd w:val="clear"/>
        <w:spacing w:line="420" w:lineRule="exact"/>
        <w:rPr>
          <w:rFonts w:hint="eastAsia" w:ascii="宋体" w:hAnsi="宋体" w:eastAsia="宋体" w:cs="宋体"/>
          <w:color w:val="auto"/>
          <w:sz w:val="22"/>
          <w:szCs w:val="22"/>
          <w:highlight w:val="none"/>
        </w:rPr>
      </w:pPr>
    </w:p>
    <w:p w14:paraId="46656EED">
      <w:pPr>
        <w:shd w:val="clear"/>
        <w:spacing w:line="4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广东志合项目管理有限公司</w:t>
      </w:r>
    </w:p>
    <w:p w14:paraId="4BB2CDBE">
      <w:pPr>
        <w:pStyle w:val="78"/>
        <w:shd w:val="clear"/>
        <w:spacing w:line="420" w:lineRule="exact"/>
        <w:ind w:firstLine="45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（供应商名称）        </w:t>
      </w:r>
      <w:r>
        <w:rPr>
          <w:rFonts w:hint="eastAsia" w:ascii="宋体" w:hAnsi="宋体" w:eastAsia="宋体" w:cs="宋体"/>
          <w:color w:val="auto"/>
          <w:sz w:val="21"/>
          <w:szCs w:val="21"/>
          <w:highlight w:val="none"/>
        </w:rPr>
        <w:t>的法定代表人，现委托</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为我方合法代理人。代理人根据授权，以我方名义签署、澄清、说明、补正、递交、撤回、修改</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[采购编号：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]磋商响应文件、签订合同和处理有关事宜，其法律后果由我方承担。</w:t>
      </w:r>
    </w:p>
    <w:p w14:paraId="02919C0C">
      <w:pPr>
        <w:pStyle w:val="78"/>
        <w:shd w:val="clear"/>
        <w:spacing w:line="420" w:lineRule="exact"/>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日签字生效，特此证明。</w:t>
      </w:r>
    </w:p>
    <w:p w14:paraId="4C2487B2">
      <w:pPr>
        <w:pStyle w:val="78"/>
        <w:shd w:val="clear"/>
        <w:spacing w:line="420" w:lineRule="exact"/>
        <w:ind w:firstLine="45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31B14AF">
      <w:pPr>
        <w:pStyle w:val="78"/>
        <w:shd w:val="clear"/>
        <w:spacing w:line="420" w:lineRule="exact"/>
        <w:ind w:firstLine="450" w:firstLineChars="0"/>
        <w:rPr>
          <w:rFonts w:hint="eastAsia" w:ascii="宋体" w:hAnsi="宋体" w:eastAsia="宋体" w:cs="宋体"/>
          <w:color w:val="auto"/>
          <w:sz w:val="21"/>
          <w:szCs w:val="21"/>
          <w:highlight w:val="none"/>
        </w:rPr>
      </w:pPr>
    </w:p>
    <w:p w14:paraId="257EBA7A">
      <w:pPr>
        <w:pStyle w:val="78"/>
        <w:shd w:val="clear"/>
        <w:spacing w:line="420" w:lineRule="exact"/>
        <w:ind w:firstLine="428" w:firstLineChars="204"/>
        <w:rPr>
          <w:rFonts w:hint="eastAsia" w:ascii="宋体" w:hAnsi="宋体" w:eastAsia="宋体" w:cs="宋体"/>
          <w:color w:val="auto"/>
          <w:sz w:val="21"/>
          <w:szCs w:val="21"/>
          <w:highlight w:val="none"/>
        </w:rPr>
      </w:pPr>
    </w:p>
    <w:p w14:paraId="667AE8BF">
      <w:pPr>
        <w:pStyle w:val="78"/>
        <w:shd w:val="clear"/>
        <w:spacing w:line="420" w:lineRule="exact"/>
        <w:ind w:firstLine="3517" w:firstLineChars="167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供应商名称（加盖公章）</w:t>
      </w:r>
      <w:r>
        <w:rPr>
          <w:rFonts w:hint="eastAsia" w:ascii="宋体" w:hAnsi="宋体" w:eastAsia="宋体" w:cs="宋体"/>
          <w:color w:val="auto"/>
          <w:sz w:val="21"/>
          <w:szCs w:val="21"/>
          <w:highlight w:val="none"/>
          <w:lang w:eastAsia="zh-CN"/>
        </w:rPr>
        <w:t>：</w:t>
      </w:r>
    </w:p>
    <w:p w14:paraId="1109D2CD">
      <w:pPr>
        <w:pStyle w:val="78"/>
        <w:shd w:val="clear"/>
        <w:spacing w:line="420" w:lineRule="exac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法定代表人（签名或盖私章）：</w:t>
      </w:r>
    </w:p>
    <w:p w14:paraId="65CF841B">
      <w:pPr>
        <w:pStyle w:val="78"/>
        <w:shd w:val="clear"/>
        <w:spacing w:line="420" w:lineRule="exac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p w14:paraId="29E067B7">
      <w:pPr>
        <w:pStyle w:val="78"/>
        <w:shd w:val="clear"/>
        <w:spacing w:line="420" w:lineRule="exact"/>
        <w:ind w:firstLine="3517" w:firstLineChars="1675"/>
        <w:rPr>
          <w:rFonts w:hint="eastAsia" w:ascii="宋体" w:hAnsi="宋体" w:eastAsia="宋体" w:cs="宋体"/>
          <w:color w:val="auto"/>
          <w:sz w:val="21"/>
          <w:szCs w:val="21"/>
          <w:highlight w:val="none"/>
        </w:rPr>
      </w:pPr>
    </w:p>
    <w:p w14:paraId="3110D2EB">
      <w:pPr>
        <w:pStyle w:val="78"/>
        <w:shd w:val="clear"/>
        <w:spacing w:line="420" w:lineRule="exac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受托代理人（签名或盖私章）：</w:t>
      </w:r>
    </w:p>
    <w:p w14:paraId="6A66038C">
      <w:pPr>
        <w:pStyle w:val="78"/>
        <w:shd w:val="clear"/>
        <w:spacing w:line="420" w:lineRule="exac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p>
    <w:p w14:paraId="607678BE">
      <w:pPr>
        <w:pStyle w:val="78"/>
        <w:shd w:val="clear"/>
        <w:spacing w:line="460" w:lineRule="exact"/>
        <w:ind w:firstLine="3507" w:firstLineChars="16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期：年月日</w:t>
      </w:r>
    </w:p>
    <w:p w14:paraId="7FE1E5FC">
      <w:pPr>
        <w:shd w:val="clear"/>
        <w:spacing w:line="420" w:lineRule="atLeast"/>
        <w:ind w:firstLine="422" w:firstLineChars="200"/>
        <w:rPr>
          <w:rFonts w:hint="eastAsia" w:ascii="宋体" w:hAnsi="宋体" w:eastAsia="宋体" w:cs="宋体"/>
          <w:b/>
          <w:color w:val="auto"/>
          <w:sz w:val="21"/>
          <w:szCs w:val="21"/>
          <w:highlight w:val="none"/>
        </w:rPr>
      </w:pPr>
    </w:p>
    <w:p w14:paraId="4AD182AF">
      <w:pPr>
        <w:shd w:val="clear"/>
        <w:spacing w:line="420" w:lineRule="atLeast"/>
        <w:ind w:firstLine="422" w:firstLineChars="200"/>
        <w:rPr>
          <w:rFonts w:hint="eastAsia" w:ascii="宋体" w:hAnsi="宋体" w:eastAsia="宋体" w:cs="宋体"/>
          <w:b/>
          <w:color w:val="auto"/>
          <w:sz w:val="21"/>
          <w:szCs w:val="21"/>
          <w:highlight w:val="none"/>
        </w:rPr>
      </w:pPr>
    </w:p>
    <w:p w14:paraId="6B510AB1">
      <w:pPr>
        <w:shd w:val="clear"/>
        <w:spacing w:line="42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须附：授权代理人身份证复印件</w:t>
      </w:r>
    </w:p>
    <w:p w14:paraId="19B356CA">
      <w:pPr>
        <w:shd w:val="clear"/>
        <w:spacing w:line="420" w:lineRule="atLeast"/>
        <w:ind w:firstLine="420" w:firstLineChars="200"/>
        <w:rPr>
          <w:rFonts w:hint="eastAsia" w:ascii="宋体" w:hAnsi="宋体" w:eastAsia="宋体" w:cs="宋体"/>
          <w:color w:val="auto"/>
          <w:sz w:val="21"/>
          <w:szCs w:val="21"/>
          <w:highlight w:val="none"/>
        </w:rPr>
      </w:pPr>
    </w:p>
    <w:tbl>
      <w:tblPr>
        <w:tblStyle w:val="54"/>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04395E8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661" w:hRule="atLeast"/>
          <w:jc w:val="center"/>
        </w:trPr>
        <w:tc>
          <w:tcPr>
            <w:tcW w:w="4232" w:type="dxa"/>
            <w:vAlign w:val="center"/>
          </w:tcPr>
          <w:p w14:paraId="7B94ED73">
            <w:pPr>
              <w:pStyle w:val="78"/>
              <w:shd w:val="clear"/>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4232" w:type="dxa"/>
            <w:vAlign w:val="center"/>
          </w:tcPr>
          <w:p w14:paraId="1A927CC1">
            <w:pPr>
              <w:pStyle w:val="78"/>
              <w:shd w:val="clear"/>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14:paraId="694A6A4C">
      <w:pPr>
        <w:pStyle w:val="3"/>
        <w:shd w:val="clear"/>
        <w:ind w:firstLine="482"/>
        <w:rPr>
          <w:rFonts w:hint="eastAsia" w:ascii="宋体" w:hAnsi="宋体" w:eastAsia="宋体" w:cs="宋体"/>
          <w:b/>
          <w:color w:val="auto"/>
          <w:sz w:val="24"/>
          <w:szCs w:val="24"/>
          <w:highlight w:val="none"/>
        </w:rPr>
      </w:pPr>
    </w:p>
    <w:p w14:paraId="2C825C2B">
      <w:pPr>
        <w:rPr>
          <w:rFonts w:hint="eastAsia" w:ascii="宋体" w:hAnsi="宋体" w:eastAsia="宋体" w:cs="宋体"/>
          <w:color w:val="auto"/>
          <w:sz w:val="21"/>
          <w:szCs w:val="21"/>
          <w:highlight w:val="none"/>
        </w:rPr>
      </w:pPr>
      <w:bookmarkStart w:id="237" w:name="_Toc4592"/>
      <w:bookmarkStart w:id="238" w:name="_Toc7897893"/>
      <w:r>
        <w:rPr>
          <w:rFonts w:hint="eastAsia" w:ascii="宋体" w:hAnsi="宋体" w:eastAsia="宋体" w:cs="宋体"/>
          <w:color w:val="auto"/>
          <w:sz w:val="21"/>
          <w:szCs w:val="21"/>
          <w:highlight w:val="none"/>
        </w:rPr>
        <w:br w:type="page"/>
      </w:r>
    </w:p>
    <w:p w14:paraId="165B9DF3">
      <w:pPr>
        <w:pStyle w:val="5"/>
        <w:numPr>
          <w:ilvl w:val="0"/>
          <w:numId w:val="16"/>
        </w:numPr>
        <w:shd w:val="clear"/>
        <w:jc w:val="center"/>
        <w:rPr>
          <w:rFonts w:hint="eastAsia" w:ascii="宋体" w:hAnsi="宋体" w:eastAsia="宋体" w:cs="宋体"/>
          <w:color w:val="auto"/>
          <w:sz w:val="28"/>
          <w:szCs w:val="28"/>
          <w:highlight w:val="none"/>
        </w:rPr>
      </w:pPr>
      <w:bookmarkStart w:id="239" w:name="_Toc1276"/>
      <w:bookmarkStart w:id="240" w:name="_Toc17363"/>
      <w:r>
        <w:rPr>
          <w:rFonts w:hint="eastAsia" w:ascii="宋体" w:hAnsi="宋体" w:eastAsia="宋体" w:cs="宋体"/>
          <w:color w:val="auto"/>
          <w:sz w:val="28"/>
          <w:szCs w:val="28"/>
          <w:highlight w:val="none"/>
        </w:rPr>
        <w:t>供应商基本情况说明</w:t>
      </w:r>
      <w:bookmarkEnd w:id="237"/>
      <w:bookmarkEnd w:id="238"/>
      <w:bookmarkEnd w:id="239"/>
      <w:bookmarkEnd w:id="240"/>
    </w:p>
    <w:p w14:paraId="7067BB5A">
      <w:pPr>
        <w:shd w:val="clear"/>
        <w:spacing w:line="360" w:lineRule="auto"/>
        <w:rPr>
          <w:rFonts w:hint="eastAsia" w:ascii="宋体" w:hAnsi="宋体" w:eastAsia="宋体" w:cs="宋体"/>
          <w:color w:val="auto"/>
          <w:sz w:val="22"/>
          <w:szCs w:val="22"/>
          <w:highlight w:val="none"/>
        </w:rPr>
      </w:pPr>
    </w:p>
    <w:p w14:paraId="579D3C8B">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一、公司基本情况</w:t>
      </w:r>
    </w:p>
    <w:p w14:paraId="43E40911">
      <w:pPr>
        <w:shd w:val="clear"/>
        <w:tabs>
          <w:tab w:val="left" w:pos="4678"/>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1、公司名称： 电话号码：</w:t>
      </w:r>
    </w:p>
    <w:p w14:paraId="0F76FE62">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  址： 传  真：</w:t>
      </w:r>
    </w:p>
    <w:p w14:paraId="08168BAB">
      <w:pPr>
        <w:shd w:val="clea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3、注册资金： 经济性质：</w:t>
      </w:r>
    </w:p>
    <w:p w14:paraId="55525643">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4、公司开户银行名称及账号：      </w:t>
      </w:r>
    </w:p>
    <w:p w14:paraId="7708283E">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5、营业注册执照号：  </w:t>
      </w:r>
    </w:p>
    <w:p w14:paraId="30169F95">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6、公司简介:</w:t>
      </w:r>
    </w:p>
    <w:p w14:paraId="64E4B4D0">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7、公司财务情况：</w:t>
      </w:r>
    </w:p>
    <w:p w14:paraId="6057CD8B">
      <w:pPr>
        <w:shd w:val="clea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【价格单位：（人民币）元】</w:t>
      </w:r>
    </w:p>
    <w:tbl>
      <w:tblPr>
        <w:tblStyle w:val="54"/>
        <w:tblW w:w="89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9"/>
        <w:gridCol w:w="1809"/>
        <w:gridCol w:w="1809"/>
        <w:gridCol w:w="1839"/>
        <w:gridCol w:w="1851"/>
      </w:tblGrid>
      <w:tr w14:paraId="5645C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629" w:type="dxa"/>
            <w:vAlign w:val="center"/>
          </w:tcPr>
          <w:p w14:paraId="01EA32A2">
            <w:pPr>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度</w:t>
            </w:r>
          </w:p>
        </w:tc>
        <w:tc>
          <w:tcPr>
            <w:tcW w:w="1809" w:type="dxa"/>
            <w:vAlign w:val="center"/>
          </w:tcPr>
          <w:p w14:paraId="0E7C0A71">
            <w:pPr>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总资产（元）</w:t>
            </w:r>
          </w:p>
        </w:tc>
        <w:tc>
          <w:tcPr>
            <w:tcW w:w="1809" w:type="dxa"/>
            <w:vAlign w:val="center"/>
          </w:tcPr>
          <w:p w14:paraId="01178B8F">
            <w:pPr>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资产负债率（%）</w:t>
            </w:r>
          </w:p>
        </w:tc>
        <w:tc>
          <w:tcPr>
            <w:tcW w:w="1839" w:type="dxa"/>
            <w:vAlign w:val="center"/>
          </w:tcPr>
          <w:p w14:paraId="1234496E">
            <w:pPr>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年营业额（元）</w:t>
            </w:r>
          </w:p>
        </w:tc>
        <w:tc>
          <w:tcPr>
            <w:tcW w:w="1851" w:type="dxa"/>
            <w:vAlign w:val="center"/>
          </w:tcPr>
          <w:p w14:paraId="107CD6A3">
            <w:pPr>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年净利润（元）</w:t>
            </w:r>
          </w:p>
        </w:tc>
      </w:tr>
      <w:tr w14:paraId="745A8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629" w:type="dxa"/>
            <w:vAlign w:val="center"/>
          </w:tcPr>
          <w:p w14:paraId="7C86D1B2">
            <w:pPr>
              <w:shd w:val="clear"/>
              <w:spacing w:line="360" w:lineRule="auto"/>
              <w:jc w:val="center"/>
              <w:rPr>
                <w:rFonts w:hint="eastAsia" w:ascii="宋体" w:hAnsi="宋体" w:eastAsia="宋体" w:cs="宋体"/>
                <w:color w:val="auto"/>
                <w:sz w:val="21"/>
                <w:szCs w:val="21"/>
                <w:highlight w:val="none"/>
              </w:rPr>
            </w:pPr>
          </w:p>
        </w:tc>
        <w:tc>
          <w:tcPr>
            <w:tcW w:w="1809" w:type="dxa"/>
            <w:vAlign w:val="center"/>
          </w:tcPr>
          <w:p w14:paraId="6269D0CC">
            <w:pPr>
              <w:shd w:val="clear"/>
              <w:spacing w:line="360" w:lineRule="auto"/>
              <w:jc w:val="center"/>
              <w:rPr>
                <w:rFonts w:hint="eastAsia" w:ascii="宋体" w:hAnsi="宋体" w:eastAsia="宋体" w:cs="宋体"/>
                <w:color w:val="auto"/>
                <w:sz w:val="21"/>
                <w:szCs w:val="21"/>
                <w:highlight w:val="none"/>
              </w:rPr>
            </w:pPr>
          </w:p>
        </w:tc>
        <w:tc>
          <w:tcPr>
            <w:tcW w:w="1809" w:type="dxa"/>
            <w:vAlign w:val="center"/>
          </w:tcPr>
          <w:p w14:paraId="33802A45">
            <w:pPr>
              <w:shd w:val="clear"/>
              <w:spacing w:line="360" w:lineRule="auto"/>
              <w:jc w:val="center"/>
              <w:rPr>
                <w:rFonts w:hint="eastAsia" w:ascii="宋体" w:hAnsi="宋体" w:eastAsia="宋体" w:cs="宋体"/>
                <w:color w:val="auto"/>
                <w:sz w:val="21"/>
                <w:szCs w:val="21"/>
                <w:highlight w:val="none"/>
              </w:rPr>
            </w:pPr>
          </w:p>
        </w:tc>
        <w:tc>
          <w:tcPr>
            <w:tcW w:w="1839" w:type="dxa"/>
            <w:vAlign w:val="center"/>
          </w:tcPr>
          <w:p w14:paraId="5A90048F">
            <w:pPr>
              <w:shd w:val="clear"/>
              <w:spacing w:line="360" w:lineRule="auto"/>
              <w:jc w:val="center"/>
              <w:rPr>
                <w:rFonts w:hint="eastAsia" w:ascii="宋体" w:hAnsi="宋体" w:eastAsia="宋体" w:cs="宋体"/>
                <w:color w:val="auto"/>
                <w:sz w:val="21"/>
                <w:szCs w:val="21"/>
                <w:highlight w:val="none"/>
              </w:rPr>
            </w:pPr>
          </w:p>
        </w:tc>
        <w:tc>
          <w:tcPr>
            <w:tcW w:w="1851" w:type="dxa"/>
            <w:vAlign w:val="center"/>
          </w:tcPr>
          <w:p w14:paraId="12452F82">
            <w:pPr>
              <w:shd w:val="clear"/>
              <w:spacing w:line="360" w:lineRule="auto"/>
              <w:jc w:val="center"/>
              <w:rPr>
                <w:rFonts w:hint="eastAsia" w:ascii="宋体" w:hAnsi="宋体" w:eastAsia="宋体" w:cs="宋体"/>
                <w:color w:val="auto"/>
                <w:sz w:val="21"/>
                <w:szCs w:val="21"/>
                <w:highlight w:val="none"/>
              </w:rPr>
            </w:pPr>
          </w:p>
        </w:tc>
      </w:tr>
      <w:tr w14:paraId="3CE95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629" w:type="dxa"/>
            <w:vAlign w:val="center"/>
          </w:tcPr>
          <w:p w14:paraId="7854DB94">
            <w:pPr>
              <w:shd w:val="clear"/>
              <w:spacing w:line="360" w:lineRule="auto"/>
              <w:jc w:val="center"/>
              <w:rPr>
                <w:rFonts w:hint="eastAsia" w:ascii="宋体" w:hAnsi="宋体" w:eastAsia="宋体" w:cs="宋体"/>
                <w:color w:val="auto"/>
                <w:sz w:val="21"/>
                <w:szCs w:val="21"/>
                <w:highlight w:val="none"/>
              </w:rPr>
            </w:pPr>
          </w:p>
        </w:tc>
        <w:tc>
          <w:tcPr>
            <w:tcW w:w="1809" w:type="dxa"/>
            <w:vAlign w:val="center"/>
          </w:tcPr>
          <w:p w14:paraId="6528C56D">
            <w:pPr>
              <w:shd w:val="clear"/>
              <w:spacing w:line="360" w:lineRule="auto"/>
              <w:jc w:val="center"/>
              <w:rPr>
                <w:rFonts w:hint="eastAsia" w:ascii="宋体" w:hAnsi="宋体" w:eastAsia="宋体" w:cs="宋体"/>
                <w:color w:val="auto"/>
                <w:sz w:val="21"/>
                <w:szCs w:val="21"/>
                <w:highlight w:val="none"/>
              </w:rPr>
            </w:pPr>
          </w:p>
        </w:tc>
        <w:tc>
          <w:tcPr>
            <w:tcW w:w="1809" w:type="dxa"/>
            <w:vAlign w:val="center"/>
          </w:tcPr>
          <w:p w14:paraId="7969E378">
            <w:pPr>
              <w:shd w:val="clear"/>
              <w:spacing w:line="360" w:lineRule="auto"/>
              <w:jc w:val="center"/>
              <w:rPr>
                <w:rFonts w:hint="eastAsia" w:ascii="宋体" w:hAnsi="宋体" w:eastAsia="宋体" w:cs="宋体"/>
                <w:color w:val="auto"/>
                <w:sz w:val="21"/>
                <w:szCs w:val="21"/>
                <w:highlight w:val="none"/>
              </w:rPr>
            </w:pPr>
          </w:p>
        </w:tc>
        <w:tc>
          <w:tcPr>
            <w:tcW w:w="1839" w:type="dxa"/>
            <w:vAlign w:val="center"/>
          </w:tcPr>
          <w:p w14:paraId="32F08667">
            <w:pPr>
              <w:shd w:val="clear"/>
              <w:spacing w:line="360" w:lineRule="auto"/>
              <w:jc w:val="center"/>
              <w:rPr>
                <w:rFonts w:hint="eastAsia" w:ascii="宋体" w:hAnsi="宋体" w:eastAsia="宋体" w:cs="宋体"/>
                <w:color w:val="auto"/>
                <w:sz w:val="21"/>
                <w:szCs w:val="21"/>
                <w:highlight w:val="none"/>
              </w:rPr>
            </w:pPr>
          </w:p>
        </w:tc>
        <w:tc>
          <w:tcPr>
            <w:tcW w:w="1851" w:type="dxa"/>
            <w:vAlign w:val="center"/>
          </w:tcPr>
          <w:p w14:paraId="79383062">
            <w:pPr>
              <w:shd w:val="clear"/>
              <w:spacing w:line="360" w:lineRule="auto"/>
              <w:jc w:val="center"/>
              <w:rPr>
                <w:rFonts w:hint="eastAsia" w:ascii="宋体" w:hAnsi="宋体" w:eastAsia="宋体" w:cs="宋体"/>
                <w:color w:val="auto"/>
                <w:sz w:val="21"/>
                <w:szCs w:val="21"/>
                <w:highlight w:val="none"/>
              </w:rPr>
            </w:pPr>
          </w:p>
        </w:tc>
      </w:tr>
      <w:tr w14:paraId="1D61E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1629" w:type="dxa"/>
            <w:vAlign w:val="center"/>
          </w:tcPr>
          <w:p w14:paraId="309C86A8">
            <w:pPr>
              <w:shd w:val="clear"/>
              <w:spacing w:line="360" w:lineRule="auto"/>
              <w:jc w:val="center"/>
              <w:rPr>
                <w:rFonts w:hint="eastAsia" w:ascii="宋体" w:hAnsi="宋体" w:eastAsia="宋体" w:cs="宋体"/>
                <w:color w:val="auto"/>
                <w:sz w:val="21"/>
                <w:szCs w:val="21"/>
                <w:highlight w:val="none"/>
              </w:rPr>
            </w:pPr>
          </w:p>
        </w:tc>
        <w:tc>
          <w:tcPr>
            <w:tcW w:w="1809" w:type="dxa"/>
            <w:vAlign w:val="center"/>
          </w:tcPr>
          <w:p w14:paraId="7073E941">
            <w:pPr>
              <w:shd w:val="clear"/>
              <w:spacing w:line="360" w:lineRule="auto"/>
              <w:jc w:val="center"/>
              <w:rPr>
                <w:rFonts w:hint="eastAsia" w:ascii="宋体" w:hAnsi="宋体" w:eastAsia="宋体" w:cs="宋体"/>
                <w:color w:val="auto"/>
                <w:sz w:val="21"/>
                <w:szCs w:val="21"/>
                <w:highlight w:val="none"/>
              </w:rPr>
            </w:pPr>
          </w:p>
        </w:tc>
        <w:tc>
          <w:tcPr>
            <w:tcW w:w="1809" w:type="dxa"/>
            <w:vAlign w:val="center"/>
          </w:tcPr>
          <w:p w14:paraId="7CA308E4">
            <w:pPr>
              <w:shd w:val="clear"/>
              <w:spacing w:line="360" w:lineRule="auto"/>
              <w:jc w:val="center"/>
              <w:rPr>
                <w:rFonts w:hint="eastAsia" w:ascii="宋体" w:hAnsi="宋体" w:eastAsia="宋体" w:cs="宋体"/>
                <w:color w:val="auto"/>
                <w:sz w:val="21"/>
                <w:szCs w:val="21"/>
                <w:highlight w:val="none"/>
              </w:rPr>
            </w:pPr>
          </w:p>
        </w:tc>
        <w:tc>
          <w:tcPr>
            <w:tcW w:w="1839" w:type="dxa"/>
            <w:vAlign w:val="center"/>
          </w:tcPr>
          <w:p w14:paraId="45C2BAA6">
            <w:pPr>
              <w:shd w:val="clear"/>
              <w:spacing w:line="360" w:lineRule="auto"/>
              <w:jc w:val="center"/>
              <w:rPr>
                <w:rFonts w:hint="eastAsia" w:ascii="宋体" w:hAnsi="宋体" w:eastAsia="宋体" w:cs="宋体"/>
                <w:color w:val="auto"/>
                <w:sz w:val="21"/>
                <w:szCs w:val="21"/>
                <w:highlight w:val="none"/>
              </w:rPr>
            </w:pPr>
          </w:p>
        </w:tc>
        <w:tc>
          <w:tcPr>
            <w:tcW w:w="1851" w:type="dxa"/>
            <w:vAlign w:val="center"/>
          </w:tcPr>
          <w:p w14:paraId="12ED1DAF">
            <w:pPr>
              <w:shd w:val="clear"/>
              <w:spacing w:line="360" w:lineRule="auto"/>
              <w:jc w:val="center"/>
              <w:rPr>
                <w:rFonts w:hint="eastAsia" w:ascii="宋体" w:hAnsi="宋体" w:eastAsia="宋体" w:cs="宋体"/>
                <w:color w:val="auto"/>
                <w:sz w:val="21"/>
                <w:szCs w:val="21"/>
                <w:highlight w:val="none"/>
              </w:rPr>
            </w:pPr>
          </w:p>
        </w:tc>
      </w:tr>
    </w:tbl>
    <w:p w14:paraId="5BC769BC">
      <w:pPr>
        <w:shd w:val="clear"/>
        <w:tabs>
          <w:tab w:val="left" w:pos="420"/>
          <w:tab w:val="left" w:pos="1485"/>
        </w:tabs>
        <w:spacing w:line="360" w:lineRule="auto"/>
        <w:rPr>
          <w:rFonts w:hint="eastAsia" w:ascii="宋体" w:hAnsi="宋体" w:eastAsia="宋体" w:cs="宋体"/>
          <w:color w:val="auto"/>
          <w:sz w:val="21"/>
          <w:szCs w:val="21"/>
          <w:highlight w:val="none"/>
        </w:rPr>
      </w:pPr>
      <w:bookmarkStart w:id="241" w:name="_Toc7860"/>
      <w:r>
        <w:rPr>
          <w:rFonts w:hint="eastAsia" w:ascii="宋体" w:hAnsi="宋体" w:eastAsia="宋体" w:cs="宋体"/>
          <w:color w:val="auto"/>
          <w:sz w:val="21"/>
          <w:szCs w:val="21"/>
          <w:highlight w:val="none"/>
        </w:rPr>
        <w:t>二、供应商获得国家有关部门颁发的资质证明或荣誉：（如有）</w:t>
      </w:r>
      <w:bookmarkEnd w:id="241"/>
    </w:p>
    <w:tbl>
      <w:tblPr>
        <w:tblStyle w:val="54"/>
        <w:tblW w:w="88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1800"/>
        <w:gridCol w:w="1800"/>
        <w:gridCol w:w="1830"/>
        <w:gridCol w:w="1842"/>
      </w:tblGrid>
      <w:tr w14:paraId="495134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620" w:type="dxa"/>
            <w:vAlign w:val="center"/>
          </w:tcPr>
          <w:p w14:paraId="73ED8C97">
            <w:pPr>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1800" w:type="dxa"/>
            <w:vAlign w:val="center"/>
          </w:tcPr>
          <w:p w14:paraId="452A333D">
            <w:pPr>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发证单位</w:t>
            </w:r>
          </w:p>
        </w:tc>
        <w:tc>
          <w:tcPr>
            <w:tcW w:w="1800" w:type="dxa"/>
            <w:vAlign w:val="center"/>
          </w:tcPr>
          <w:p w14:paraId="584C73A0">
            <w:pPr>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证书等级</w:t>
            </w:r>
          </w:p>
        </w:tc>
        <w:tc>
          <w:tcPr>
            <w:tcW w:w="1830" w:type="dxa"/>
            <w:vAlign w:val="center"/>
          </w:tcPr>
          <w:p w14:paraId="0F540D03">
            <w:pPr>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证书有效期</w:t>
            </w:r>
          </w:p>
        </w:tc>
        <w:tc>
          <w:tcPr>
            <w:tcW w:w="1842" w:type="dxa"/>
            <w:vAlign w:val="center"/>
          </w:tcPr>
          <w:p w14:paraId="6FCA4984">
            <w:pPr>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95C1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620" w:type="dxa"/>
            <w:vAlign w:val="center"/>
          </w:tcPr>
          <w:p w14:paraId="70AACD30">
            <w:pPr>
              <w:shd w:val="clear"/>
              <w:spacing w:line="360" w:lineRule="auto"/>
              <w:jc w:val="center"/>
              <w:rPr>
                <w:rFonts w:hint="eastAsia" w:ascii="宋体" w:hAnsi="宋体" w:eastAsia="宋体" w:cs="宋体"/>
                <w:color w:val="auto"/>
                <w:sz w:val="21"/>
                <w:szCs w:val="21"/>
                <w:highlight w:val="none"/>
              </w:rPr>
            </w:pPr>
          </w:p>
        </w:tc>
        <w:tc>
          <w:tcPr>
            <w:tcW w:w="1800" w:type="dxa"/>
            <w:vAlign w:val="center"/>
          </w:tcPr>
          <w:p w14:paraId="694D0ACF">
            <w:pPr>
              <w:shd w:val="clear"/>
              <w:spacing w:line="360" w:lineRule="auto"/>
              <w:jc w:val="center"/>
              <w:rPr>
                <w:rFonts w:hint="eastAsia" w:ascii="宋体" w:hAnsi="宋体" w:eastAsia="宋体" w:cs="宋体"/>
                <w:color w:val="auto"/>
                <w:sz w:val="21"/>
                <w:szCs w:val="21"/>
                <w:highlight w:val="none"/>
              </w:rPr>
            </w:pPr>
          </w:p>
        </w:tc>
        <w:tc>
          <w:tcPr>
            <w:tcW w:w="1800" w:type="dxa"/>
            <w:vAlign w:val="center"/>
          </w:tcPr>
          <w:p w14:paraId="29ED2261">
            <w:pPr>
              <w:shd w:val="clear"/>
              <w:spacing w:line="360" w:lineRule="auto"/>
              <w:jc w:val="center"/>
              <w:rPr>
                <w:rFonts w:hint="eastAsia" w:ascii="宋体" w:hAnsi="宋体" w:eastAsia="宋体" w:cs="宋体"/>
                <w:color w:val="auto"/>
                <w:sz w:val="21"/>
                <w:szCs w:val="21"/>
                <w:highlight w:val="none"/>
              </w:rPr>
            </w:pPr>
          </w:p>
        </w:tc>
        <w:tc>
          <w:tcPr>
            <w:tcW w:w="1830" w:type="dxa"/>
            <w:vAlign w:val="center"/>
          </w:tcPr>
          <w:p w14:paraId="35E58824">
            <w:pPr>
              <w:shd w:val="clear"/>
              <w:spacing w:line="360" w:lineRule="auto"/>
              <w:jc w:val="center"/>
              <w:rPr>
                <w:rFonts w:hint="eastAsia" w:ascii="宋体" w:hAnsi="宋体" w:eastAsia="宋体" w:cs="宋体"/>
                <w:color w:val="auto"/>
                <w:sz w:val="21"/>
                <w:szCs w:val="21"/>
                <w:highlight w:val="none"/>
              </w:rPr>
            </w:pPr>
          </w:p>
        </w:tc>
        <w:tc>
          <w:tcPr>
            <w:tcW w:w="1842" w:type="dxa"/>
            <w:vAlign w:val="center"/>
          </w:tcPr>
          <w:p w14:paraId="563A0117">
            <w:pPr>
              <w:shd w:val="clear"/>
              <w:spacing w:line="360" w:lineRule="auto"/>
              <w:jc w:val="center"/>
              <w:rPr>
                <w:rFonts w:hint="eastAsia" w:ascii="宋体" w:hAnsi="宋体" w:eastAsia="宋体" w:cs="宋体"/>
                <w:color w:val="auto"/>
                <w:sz w:val="21"/>
                <w:szCs w:val="21"/>
                <w:highlight w:val="none"/>
              </w:rPr>
            </w:pPr>
          </w:p>
        </w:tc>
      </w:tr>
      <w:tr w14:paraId="30A81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620" w:type="dxa"/>
            <w:vAlign w:val="center"/>
          </w:tcPr>
          <w:p w14:paraId="28AF9C5E">
            <w:pPr>
              <w:shd w:val="clear"/>
              <w:spacing w:line="360" w:lineRule="auto"/>
              <w:jc w:val="center"/>
              <w:rPr>
                <w:rFonts w:hint="eastAsia" w:ascii="宋体" w:hAnsi="宋体" w:eastAsia="宋体" w:cs="宋体"/>
                <w:color w:val="auto"/>
                <w:sz w:val="21"/>
                <w:szCs w:val="21"/>
                <w:highlight w:val="none"/>
              </w:rPr>
            </w:pPr>
          </w:p>
        </w:tc>
        <w:tc>
          <w:tcPr>
            <w:tcW w:w="1800" w:type="dxa"/>
            <w:vAlign w:val="center"/>
          </w:tcPr>
          <w:p w14:paraId="711F9FA6">
            <w:pPr>
              <w:shd w:val="clear"/>
              <w:spacing w:line="360" w:lineRule="auto"/>
              <w:jc w:val="center"/>
              <w:rPr>
                <w:rFonts w:hint="eastAsia" w:ascii="宋体" w:hAnsi="宋体" w:eastAsia="宋体" w:cs="宋体"/>
                <w:color w:val="auto"/>
                <w:sz w:val="21"/>
                <w:szCs w:val="21"/>
                <w:highlight w:val="none"/>
              </w:rPr>
            </w:pPr>
          </w:p>
        </w:tc>
        <w:tc>
          <w:tcPr>
            <w:tcW w:w="1800" w:type="dxa"/>
            <w:vAlign w:val="center"/>
          </w:tcPr>
          <w:p w14:paraId="1860B9EE">
            <w:pPr>
              <w:shd w:val="clear"/>
              <w:spacing w:line="360" w:lineRule="auto"/>
              <w:jc w:val="center"/>
              <w:rPr>
                <w:rFonts w:hint="eastAsia" w:ascii="宋体" w:hAnsi="宋体" w:eastAsia="宋体" w:cs="宋体"/>
                <w:color w:val="auto"/>
                <w:sz w:val="21"/>
                <w:szCs w:val="21"/>
                <w:highlight w:val="none"/>
              </w:rPr>
            </w:pPr>
          </w:p>
        </w:tc>
        <w:tc>
          <w:tcPr>
            <w:tcW w:w="1830" w:type="dxa"/>
            <w:vAlign w:val="center"/>
          </w:tcPr>
          <w:p w14:paraId="29106344">
            <w:pPr>
              <w:shd w:val="clear"/>
              <w:spacing w:line="360" w:lineRule="auto"/>
              <w:jc w:val="center"/>
              <w:rPr>
                <w:rFonts w:hint="eastAsia" w:ascii="宋体" w:hAnsi="宋体" w:eastAsia="宋体" w:cs="宋体"/>
                <w:color w:val="auto"/>
                <w:sz w:val="21"/>
                <w:szCs w:val="21"/>
                <w:highlight w:val="none"/>
              </w:rPr>
            </w:pPr>
          </w:p>
        </w:tc>
        <w:tc>
          <w:tcPr>
            <w:tcW w:w="1842" w:type="dxa"/>
            <w:vAlign w:val="center"/>
          </w:tcPr>
          <w:p w14:paraId="6C44E0A5">
            <w:pPr>
              <w:shd w:val="clear"/>
              <w:spacing w:line="360" w:lineRule="auto"/>
              <w:jc w:val="center"/>
              <w:rPr>
                <w:rFonts w:hint="eastAsia" w:ascii="宋体" w:hAnsi="宋体" w:eastAsia="宋体" w:cs="宋体"/>
                <w:color w:val="auto"/>
                <w:sz w:val="21"/>
                <w:szCs w:val="21"/>
                <w:highlight w:val="none"/>
              </w:rPr>
            </w:pPr>
          </w:p>
        </w:tc>
      </w:tr>
    </w:tbl>
    <w:p w14:paraId="59F26406">
      <w:pPr>
        <w:shd w:val="clear"/>
        <w:spacing w:line="4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备注：以上资质或荣誉必须提供相关证明材料。</w:t>
      </w:r>
    </w:p>
    <w:p w14:paraId="1C22312D">
      <w:pPr>
        <w:shd w:val="clear"/>
        <w:spacing w:line="4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兹证明上述声明是真实、正确的，并提供了全部能提供的资料和数据，我方同意遵照贵方要求出示有关证明文件。</w:t>
      </w:r>
    </w:p>
    <w:p w14:paraId="6D2B35AB">
      <w:pPr>
        <w:shd w:val="clear"/>
        <w:overflowPunct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14:paraId="785ADAB4">
      <w:pPr>
        <w:shd w:val="clear"/>
        <w:overflowPunct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供应商法定代表人或受委托人（签名或盖私章）：</w:t>
      </w:r>
    </w:p>
    <w:p w14:paraId="1837EF20">
      <w:pPr>
        <w:shd w:val="clear"/>
        <w:overflowPunct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日期：年月日 </w:t>
      </w:r>
    </w:p>
    <w:p w14:paraId="791D20A4">
      <w:pPr>
        <w:pStyle w:val="5"/>
        <w:numPr>
          <w:ilvl w:val="0"/>
          <w:numId w:val="16"/>
        </w:numPr>
        <w:shd w:val="clear"/>
        <w:jc w:val="center"/>
        <w:rPr>
          <w:rFonts w:hint="eastAsia" w:ascii="宋体" w:hAnsi="宋体" w:eastAsia="宋体" w:cs="宋体"/>
          <w:b w:val="0"/>
          <w:color w:val="auto"/>
          <w:sz w:val="28"/>
          <w:szCs w:val="28"/>
          <w:highlight w:val="none"/>
          <w:u w:val="single"/>
        </w:rPr>
      </w:pPr>
      <w:r>
        <w:rPr>
          <w:rFonts w:hint="eastAsia" w:ascii="宋体" w:hAnsi="宋体" w:eastAsia="宋体" w:cs="宋体"/>
          <w:color w:val="auto"/>
          <w:sz w:val="22"/>
          <w:szCs w:val="22"/>
          <w:highlight w:val="none"/>
        </w:rPr>
        <w:br w:type="page"/>
      </w:r>
      <w:bookmarkStart w:id="242" w:name="_Toc27094"/>
      <w:bookmarkStart w:id="243" w:name="_Toc8896"/>
      <w:bookmarkStart w:id="244" w:name="_Toc7897894"/>
      <w:bookmarkStart w:id="245" w:name="_Toc17704"/>
      <w:r>
        <w:rPr>
          <w:rFonts w:hint="eastAsia" w:ascii="宋体" w:hAnsi="宋体" w:eastAsia="宋体" w:cs="宋体"/>
          <w:b/>
          <w:bCs/>
          <w:color w:val="auto"/>
          <w:sz w:val="28"/>
          <w:szCs w:val="28"/>
          <w:highlight w:val="none"/>
        </w:rPr>
        <w:t>偏离表</w:t>
      </w:r>
      <w:bookmarkEnd w:id="217"/>
      <w:bookmarkEnd w:id="242"/>
      <w:bookmarkEnd w:id="243"/>
      <w:bookmarkEnd w:id="244"/>
      <w:bookmarkEnd w:id="245"/>
    </w:p>
    <w:p w14:paraId="7CE894E0">
      <w:pPr>
        <w:pStyle w:val="3"/>
        <w:shd w:val="clear"/>
        <w:ind w:firstLine="480"/>
        <w:rPr>
          <w:rFonts w:hint="eastAsia" w:ascii="宋体" w:hAnsi="宋体" w:eastAsia="宋体" w:cs="宋体"/>
          <w:color w:val="auto"/>
          <w:sz w:val="24"/>
          <w:szCs w:val="21"/>
          <w:highlight w:val="none"/>
        </w:rPr>
      </w:pPr>
    </w:p>
    <w:p w14:paraId="778BBC4F">
      <w:pPr>
        <w:shd w:val="clea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int="eastAsia" w:ascii="宋体" w:hAnsi="宋体" w:eastAsia="宋体" w:cs="宋体"/>
          <w:color w:val="auto"/>
          <w:szCs w:val="21"/>
          <w:highlight w:val="none"/>
        </w:rPr>
      </w:pPr>
    </w:p>
    <w:tbl>
      <w:tblPr>
        <w:tblStyle w:val="5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61"/>
        <w:gridCol w:w="1241"/>
        <w:gridCol w:w="1984"/>
        <w:gridCol w:w="1276"/>
        <w:gridCol w:w="1594"/>
      </w:tblGrid>
      <w:tr w14:paraId="4D75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17" w:type="dxa"/>
            <w:vAlign w:val="center"/>
          </w:tcPr>
          <w:p w14:paraId="23EE129D">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161" w:type="dxa"/>
            <w:vAlign w:val="center"/>
          </w:tcPr>
          <w:p w14:paraId="75A8EF17">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 目</w:t>
            </w:r>
          </w:p>
        </w:tc>
        <w:tc>
          <w:tcPr>
            <w:tcW w:w="1241" w:type="dxa"/>
            <w:vAlign w:val="center"/>
          </w:tcPr>
          <w:p w14:paraId="1BA00783">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磋商文件要求</w:t>
            </w:r>
          </w:p>
        </w:tc>
        <w:tc>
          <w:tcPr>
            <w:tcW w:w="1984" w:type="dxa"/>
            <w:vAlign w:val="center"/>
          </w:tcPr>
          <w:p w14:paraId="7942CFBB">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w:t>
            </w:r>
          </w:p>
          <w:p w14:paraId="627C8725">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响应情况</w:t>
            </w:r>
          </w:p>
        </w:tc>
        <w:tc>
          <w:tcPr>
            <w:tcW w:w="1276" w:type="dxa"/>
            <w:vAlign w:val="center"/>
          </w:tcPr>
          <w:p w14:paraId="7AF04F85">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偏离情况</w:t>
            </w:r>
          </w:p>
        </w:tc>
        <w:tc>
          <w:tcPr>
            <w:tcW w:w="1594" w:type="dxa"/>
            <w:vAlign w:val="center"/>
          </w:tcPr>
          <w:p w14:paraId="73977C30">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偏离情况</w:t>
            </w:r>
          </w:p>
          <w:p w14:paraId="2527BC96">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14:paraId="6962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2C38F521">
            <w:pPr>
              <w:shd w:val="clea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2161" w:type="dxa"/>
            <w:vAlign w:val="center"/>
          </w:tcPr>
          <w:p w14:paraId="1B69EB88">
            <w:pPr>
              <w:shd w:val="clear"/>
              <w:rPr>
                <w:rFonts w:hint="eastAsia" w:ascii="宋体" w:hAnsi="宋体" w:eastAsia="宋体" w:cs="宋体"/>
                <w:bCs/>
                <w:color w:val="auto"/>
                <w:sz w:val="21"/>
                <w:szCs w:val="21"/>
                <w:highlight w:val="none"/>
              </w:rPr>
            </w:pPr>
          </w:p>
        </w:tc>
        <w:tc>
          <w:tcPr>
            <w:tcW w:w="1241" w:type="dxa"/>
            <w:vAlign w:val="center"/>
          </w:tcPr>
          <w:p w14:paraId="522D8B3B">
            <w:pPr>
              <w:shd w:val="clear"/>
              <w:jc w:val="center"/>
              <w:rPr>
                <w:rFonts w:hint="eastAsia" w:ascii="宋体" w:hAnsi="宋体" w:eastAsia="宋体" w:cs="宋体"/>
                <w:color w:val="auto"/>
                <w:sz w:val="21"/>
                <w:szCs w:val="21"/>
                <w:highlight w:val="none"/>
              </w:rPr>
            </w:pPr>
          </w:p>
        </w:tc>
        <w:tc>
          <w:tcPr>
            <w:tcW w:w="1984" w:type="dxa"/>
            <w:vAlign w:val="center"/>
          </w:tcPr>
          <w:p w14:paraId="1FDC6218">
            <w:pPr>
              <w:shd w:val="clear"/>
              <w:jc w:val="center"/>
              <w:rPr>
                <w:rFonts w:hint="eastAsia" w:ascii="宋体" w:hAnsi="宋体" w:eastAsia="宋体" w:cs="宋体"/>
                <w:color w:val="auto"/>
                <w:sz w:val="21"/>
                <w:szCs w:val="21"/>
                <w:highlight w:val="none"/>
              </w:rPr>
            </w:pPr>
          </w:p>
        </w:tc>
        <w:tc>
          <w:tcPr>
            <w:tcW w:w="1276" w:type="dxa"/>
            <w:vAlign w:val="center"/>
          </w:tcPr>
          <w:p w14:paraId="11E8F915">
            <w:pPr>
              <w:shd w:val="clear"/>
              <w:ind w:left="-446" w:leftChars="-186" w:firstLine="390" w:firstLineChars="186"/>
              <w:jc w:val="center"/>
              <w:rPr>
                <w:rFonts w:hint="eastAsia" w:ascii="宋体" w:hAnsi="宋体" w:eastAsia="宋体" w:cs="宋体"/>
                <w:color w:val="auto"/>
                <w:sz w:val="21"/>
                <w:szCs w:val="21"/>
                <w:highlight w:val="none"/>
              </w:rPr>
            </w:pPr>
          </w:p>
        </w:tc>
        <w:tc>
          <w:tcPr>
            <w:tcW w:w="1594" w:type="dxa"/>
            <w:vAlign w:val="center"/>
          </w:tcPr>
          <w:p w14:paraId="09D7E8D1">
            <w:pPr>
              <w:shd w:val="clear"/>
              <w:ind w:left="-446" w:leftChars="-186" w:firstLine="390" w:firstLineChars="186"/>
              <w:jc w:val="center"/>
              <w:rPr>
                <w:rFonts w:hint="eastAsia" w:ascii="宋体" w:hAnsi="宋体" w:eastAsia="宋体" w:cs="宋体"/>
                <w:color w:val="auto"/>
                <w:sz w:val="21"/>
                <w:szCs w:val="21"/>
                <w:highlight w:val="none"/>
              </w:rPr>
            </w:pPr>
          </w:p>
        </w:tc>
      </w:tr>
      <w:tr w14:paraId="7B7B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1AC434B3">
            <w:pPr>
              <w:shd w:val="clea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2161" w:type="dxa"/>
            <w:vAlign w:val="center"/>
          </w:tcPr>
          <w:p w14:paraId="44CAA63C">
            <w:pPr>
              <w:shd w:val="clear"/>
              <w:rPr>
                <w:rFonts w:hint="eastAsia" w:ascii="宋体" w:hAnsi="宋体" w:eastAsia="宋体" w:cs="宋体"/>
                <w:bCs/>
                <w:color w:val="auto"/>
                <w:sz w:val="21"/>
                <w:szCs w:val="21"/>
                <w:highlight w:val="none"/>
              </w:rPr>
            </w:pPr>
          </w:p>
        </w:tc>
        <w:tc>
          <w:tcPr>
            <w:tcW w:w="1241" w:type="dxa"/>
            <w:vAlign w:val="center"/>
          </w:tcPr>
          <w:p w14:paraId="28ECDE64">
            <w:pPr>
              <w:shd w:val="clear"/>
              <w:jc w:val="center"/>
              <w:rPr>
                <w:rFonts w:hint="eastAsia" w:ascii="宋体" w:hAnsi="宋体" w:eastAsia="宋体" w:cs="宋体"/>
                <w:color w:val="auto"/>
                <w:sz w:val="21"/>
                <w:szCs w:val="21"/>
                <w:highlight w:val="none"/>
              </w:rPr>
            </w:pPr>
          </w:p>
        </w:tc>
        <w:tc>
          <w:tcPr>
            <w:tcW w:w="1984" w:type="dxa"/>
            <w:vAlign w:val="center"/>
          </w:tcPr>
          <w:p w14:paraId="2D967E7B">
            <w:pPr>
              <w:shd w:val="clear"/>
              <w:jc w:val="center"/>
              <w:rPr>
                <w:rFonts w:hint="eastAsia" w:ascii="宋体" w:hAnsi="宋体" w:eastAsia="宋体" w:cs="宋体"/>
                <w:color w:val="auto"/>
                <w:sz w:val="21"/>
                <w:szCs w:val="21"/>
                <w:highlight w:val="none"/>
              </w:rPr>
            </w:pPr>
          </w:p>
        </w:tc>
        <w:tc>
          <w:tcPr>
            <w:tcW w:w="1276" w:type="dxa"/>
            <w:vAlign w:val="center"/>
          </w:tcPr>
          <w:p w14:paraId="3D690AA9">
            <w:pPr>
              <w:shd w:val="clear"/>
              <w:jc w:val="center"/>
              <w:rPr>
                <w:rFonts w:hint="eastAsia" w:ascii="宋体" w:hAnsi="宋体" w:eastAsia="宋体" w:cs="宋体"/>
                <w:color w:val="auto"/>
                <w:sz w:val="21"/>
                <w:szCs w:val="21"/>
                <w:highlight w:val="none"/>
              </w:rPr>
            </w:pPr>
          </w:p>
        </w:tc>
        <w:tc>
          <w:tcPr>
            <w:tcW w:w="1594" w:type="dxa"/>
            <w:vAlign w:val="center"/>
          </w:tcPr>
          <w:p w14:paraId="2480C5BA">
            <w:pPr>
              <w:shd w:val="clear"/>
              <w:jc w:val="center"/>
              <w:rPr>
                <w:rFonts w:hint="eastAsia" w:ascii="宋体" w:hAnsi="宋体" w:eastAsia="宋体" w:cs="宋体"/>
                <w:color w:val="auto"/>
                <w:sz w:val="21"/>
                <w:szCs w:val="21"/>
                <w:highlight w:val="none"/>
              </w:rPr>
            </w:pPr>
          </w:p>
        </w:tc>
      </w:tr>
      <w:tr w14:paraId="600D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2F5B756F">
            <w:pPr>
              <w:shd w:val="clea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2161" w:type="dxa"/>
            <w:vAlign w:val="center"/>
          </w:tcPr>
          <w:p w14:paraId="033C2097">
            <w:pPr>
              <w:shd w:val="clear"/>
              <w:rPr>
                <w:rFonts w:hint="eastAsia" w:ascii="宋体" w:hAnsi="宋体" w:eastAsia="宋体" w:cs="宋体"/>
                <w:bCs/>
                <w:color w:val="auto"/>
                <w:sz w:val="21"/>
                <w:szCs w:val="21"/>
                <w:highlight w:val="none"/>
              </w:rPr>
            </w:pPr>
          </w:p>
        </w:tc>
        <w:tc>
          <w:tcPr>
            <w:tcW w:w="1241" w:type="dxa"/>
            <w:vAlign w:val="center"/>
          </w:tcPr>
          <w:p w14:paraId="1FBE8608">
            <w:pPr>
              <w:shd w:val="clear"/>
              <w:jc w:val="center"/>
              <w:rPr>
                <w:rFonts w:hint="eastAsia" w:ascii="宋体" w:hAnsi="宋体" w:eastAsia="宋体" w:cs="宋体"/>
                <w:color w:val="auto"/>
                <w:sz w:val="21"/>
                <w:szCs w:val="21"/>
                <w:highlight w:val="none"/>
              </w:rPr>
            </w:pPr>
          </w:p>
        </w:tc>
        <w:tc>
          <w:tcPr>
            <w:tcW w:w="1984" w:type="dxa"/>
            <w:vAlign w:val="center"/>
          </w:tcPr>
          <w:p w14:paraId="54532F1A">
            <w:pPr>
              <w:shd w:val="clear"/>
              <w:jc w:val="center"/>
              <w:rPr>
                <w:rFonts w:hint="eastAsia" w:ascii="宋体" w:hAnsi="宋体" w:eastAsia="宋体" w:cs="宋体"/>
                <w:color w:val="auto"/>
                <w:sz w:val="21"/>
                <w:szCs w:val="21"/>
                <w:highlight w:val="none"/>
              </w:rPr>
            </w:pPr>
          </w:p>
        </w:tc>
        <w:tc>
          <w:tcPr>
            <w:tcW w:w="1276" w:type="dxa"/>
            <w:vAlign w:val="center"/>
          </w:tcPr>
          <w:p w14:paraId="00A4A939">
            <w:pPr>
              <w:shd w:val="clear"/>
              <w:jc w:val="center"/>
              <w:rPr>
                <w:rFonts w:hint="eastAsia" w:ascii="宋体" w:hAnsi="宋体" w:eastAsia="宋体" w:cs="宋体"/>
                <w:color w:val="auto"/>
                <w:sz w:val="21"/>
                <w:szCs w:val="21"/>
                <w:highlight w:val="none"/>
              </w:rPr>
            </w:pPr>
          </w:p>
        </w:tc>
        <w:tc>
          <w:tcPr>
            <w:tcW w:w="1594" w:type="dxa"/>
            <w:vAlign w:val="center"/>
          </w:tcPr>
          <w:p w14:paraId="48CECE28">
            <w:pPr>
              <w:shd w:val="clear"/>
              <w:jc w:val="center"/>
              <w:rPr>
                <w:rFonts w:hint="eastAsia" w:ascii="宋体" w:hAnsi="宋体" w:eastAsia="宋体" w:cs="宋体"/>
                <w:color w:val="auto"/>
                <w:sz w:val="21"/>
                <w:szCs w:val="21"/>
                <w:highlight w:val="none"/>
              </w:rPr>
            </w:pPr>
          </w:p>
        </w:tc>
      </w:tr>
      <w:tr w14:paraId="2E11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2A0BADC5">
            <w:pPr>
              <w:shd w:val="clea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c>
          <w:tcPr>
            <w:tcW w:w="2161" w:type="dxa"/>
            <w:vAlign w:val="center"/>
          </w:tcPr>
          <w:p w14:paraId="6A5B3929">
            <w:pPr>
              <w:shd w:val="clear"/>
              <w:rPr>
                <w:rFonts w:hint="eastAsia" w:ascii="宋体" w:hAnsi="宋体" w:eastAsia="宋体" w:cs="宋体"/>
                <w:bCs/>
                <w:color w:val="auto"/>
                <w:sz w:val="21"/>
                <w:szCs w:val="21"/>
                <w:highlight w:val="none"/>
              </w:rPr>
            </w:pPr>
          </w:p>
        </w:tc>
        <w:tc>
          <w:tcPr>
            <w:tcW w:w="1241" w:type="dxa"/>
            <w:vAlign w:val="center"/>
          </w:tcPr>
          <w:p w14:paraId="21C200E0">
            <w:pPr>
              <w:shd w:val="clear"/>
              <w:jc w:val="center"/>
              <w:rPr>
                <w:rFonts w:hint="eastAsia" w:ascii="宋体" w:hAnsi="宋体" w:eastAsia="宋体" w:cs="宋体"/>
                <w:color w:val="auto"/>
                <w:sz w:val="21"/>
                <w:szCs w:val="21"/>
                <w:highlight w:val="none"/>
              </w:rPr>
            </w:pPr>
          </w:p>
        </w:tc>
        <w:tc>
          <w:tcPr>
            <w:tcW w:w="1984" w:type="dxa"/>
            <w:vAlign w:val="center"/>
          </w:tcPr>
          <w:p w14:paraId="0AA1F487">
            <w:pPr>
              <w:shd w:val="clear"/>
              <w:jc w:val="center"/>
              <w:rPr>
                <w:rFonts w:hint="eastAsia" w:ascii="宋体" w:hAnsi="宋体" w:eastAsia="宋体" w:cs="宋体"/>
                <w:color w:val="auto"/>
                <w:sz w:val="21"/>
                <w:szCs w:val="21"/>
                <w:highlight w:val="none"/>
              </w:rPr>
            </w:pPr>
          </w:p>
        </w:tc>
        <w:tc>
          <w:tcPr>
            <w:tcW w:w="1276" w:type="dxa"/>
            <w:vAlign w:val="center"/>
          </w:tcPr>
          <w:p w14:paraId="48F3892F">
            <w:pPr>
              <w:shd w:val="clear"/>
              <w:jc w:val="center"/>
              <w:rPr>
                <w:rFonts w:hint="eastAsia" w:ascii="宋体" w:hAnsi="宋体" w:eastAsia="宋体" w:cs="宋体"/>
                <w:color w:val="auto"/>
                <w:sz w:val="21"/>
                <w:szCs w:val="21"/>
                <w:highlight w:val="none"/>
              </w:rPr>
            </w:pPr>
          </w:p>
        </w:tc>
        <w:tc>
          <w:tcPr>
            <w:tcW w:w="1594" w:type="dxa"/>
            <w:vAlign w:val="center"/>
          </w:tcPr>
          <w:p w14:paraId="5F4CA3C7">
            <w:pPr>
              <w:shd w:val="clear"/>
              <w:jc w:val="center"/>
              <w:rPr>
                <w:rFonts w:hint="eastAsia" w:ascii="宋体" w:hAnsi="宋体" w:eastAsia="宋体" w:cs="宋体"/>
                <w:color w:val="auto"/>
                <w:sz w:val="21"/>
                <w:szCs w:val="21"/>
                <w:highlight w:val="none"/>
              </w:rPr>
            </w:pPr>
          </w:p>
        </w:tc>
      </w:tr>
      <w:tr w14:paraId="70DC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7F6036B9">
            <w:pPr>
              <w:shd w:val="clear"/>
              <w:jc w:val="center"/>
              <w:rPr>
                <w:rFonts w:hint="eastAsia" w:ascii="宋体" w:hAnsi="宋体" w:eastAsia="宋体" w:cs="宋体"/>
                <w:b/>
                <w:color w:val="auto"/>
                <w:sz w:val="21"/>
                <w:szCs w:val="21"/>
                <w:highlight w:val="none"/>
              </w:rPr>
            </w:pPr>
          </w:p>
        </w:tc>
        <w:tc>
          <w:tcPr>
            <w:tcW w:w="2161" w:type="dxa"/>
            <w:vAlign w:val="center"/>
          </w:tcPr>
          <w:p w14:paraId="3BD9E049">
            <w:pPr>
              <w:shd w:val="clear"/>
              <w:rPr>
                <w:rFonts w:hint="eastAsia" w:ascii="宋体" w:hAnsi="宋体" w:eastAsia="宋体" w:cs="宋体"/>
                <w:bCs/>
                <w:color w:val="auto"/>
                <w:sz w:val="21"/>
                <w:szCs w:val="21"/>
                <w:highlight w:val="none"/>
              </w:rPr>
            </w:pPr>
          </w:p>
        </w:tc>
        <w:tc>
          <w:tcPr>
            <w:tcW w:w="1241" w:type="dxa"/>
            <w:vAlign w:val="center"/>
          </w:tcPr>
          <w:p w14:paraId="6BEAEC45">
            <w:pPr>
              <w:shd w:val="clear"/>
              <w:jc w:val="center"/>
              <w:rPr>
                <w:rFonts w:hint="eastAsia" w:ascii="宋体" w:hAnsi="宋体" w:eastAsia="宋体" w:cs="宋体"/>
                <w:color w:val="auto"/>
                <w:sz w:val="21"/>
                <w:szCs w:val="21"/>
                <w:highlight w:val="none"/>
              </w:rPr>
            </w:pPr>
          </w:p>
        </w:tc>
        <w:tc>
          <w:tcPr>
            <w:tcW w:w="1984" w:type="dxa"/>
            <w:vAlign w:val="center"/>
          </w:tcPr>
          <w:p w14:paraId="1C60F2C2">
            <w:pPr>
              <w:shd w:val="clear"/>
              <w:jc w:val="center"/>
              <w:rPr>
                <w:rFonts w:hint="eastAsia" w:ascii="宋体" w:hAnsi="宋体" w:eastAsia="宋体" w:cs="宋体"/>
                <w:color w:val="auto"/>
                <w:sz w:val="21"/>
                <w:szCs w:val="21"/>
                <w:highlight w:val="none"/>
              </w:rPr>
            </w:pPr>
          </w:p>
        </w:tc>
        <w:tc>
          <w:tcPr>
            <w:tcW w:w="1276" w:type="dxa"/>
            <w:vAlign w:val="center"/>
          </w:tcPr>
          <w:p w14:paraId="20FF0934">
            <w:pPr>
              <w:shd w:val="clear"/>
              <w:jc w:val="center"/>
              <w:rPr>
                <w:rFonts w:hint="eastAsia" w:ascii="宋体" w:hAnsi="宋体" w:eastAsia="宋体" w:cs="宋体"/>
                <w:color w:val="auto"/>
                <w:sz w:val="21"/>
                <w:szCs w:val="21"/>
                <w:highlight w:val="none"/>
              </w:rPr>
            </w:pPr>
          </w:p>
        </w:tc>
        <w:tc>
          <w:tcPr>
            <w:tcW w:w="1594" w:type="dxa"/>
            <w:vAlign w:val="center"/>
          </w:tcPr>
          <w:p w14:paraId="29FCFC14">
            <w:pPr>
              <w:shd w:val="clear"/>
              <w:jc w:val="center"/>
              <w:rPr>
                <w:rFonts w:hint="eastAsia" w:ascii="宋体" w:hAnsi="宋体" w:eastAsia="宋体" w:cs="宋体"/>
                <w:color w:val="auto"/>
                <w:sz w:val="21"/>
                <w:szCs w:val="21"/>
                <w:highlight w:val="none"/>
              </w:rPr>
            </w:pPr>
          </w:p>
        </w:tc>
      </w:tr>
      <w:tr w14:paraId="7D88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126A4179">
            <w:pPr>
              <w:shd w:val="clear"/>
              <w:jc w:val="center"/>
              <w:rPr>
                <w:rFonts w:hint="eastAsia" w:ascii="宋体" w:hAnsi="宋体" w:eastAsia="宋体" w:cs="宋体"/>
                <w:b/>
                <w:color w:val="auto"/>
                <w:sz w:val="21"/>
                <w:szCs w:val="21"/>
                <w:highlight w:val="none"/>
              </w:rPr>
            </w:pPr>
          </w:p>
        </w:tc>
        <w:tc>
          <w:tcPr>
            <w:tcW w:w="2161" w:type="dxa"/>
            <w:vAlign w:val="center"/>
          </w:tcPr>
          <w:p w14:paraId="23F06B8B">
            <w:pPr>
              <w:shd w:val="clear"/>
              <w:rPr>
                <w:rFonts w:hint="eastAsia" w:ascii="宋体" w:hAnsi="宋体" w:eastAsia="宋体" w:cs="宋体"/>
                <w:bCs/>
                <w:color w:val="auto"/>
                <w:sz w:val="21"/>
                <w:szCs w:val="21"/>
                <w:highlight w:val="none"/>
              </w:rPr>
            </w:pPr>
          </w:p>
        </w:tc>
        <w:tc>
          <w:tcPr>
            <w:tcW w:w="1241" w:type="dxa"/>
            <w:vAlign w:val="center"/>
          </w:tcPr>
          <w:p w14:paraId="37C5036C">
            <w:pPr>
              <w:shd w:val="clear"/>
              <w:jc w:val="center"/>
              <w:rPr>
                <w:rFonts w:hint="eastAsia" w:ascii="宋体" w:hAnsi="宋体" w:eastAsia="宋体" w:cs="宋体"/>
                <w:color w:val="auto"/>
                <w:sz w:val="21"/>
                <w:szCs w:val="21"/>
                <w:highlight w:val="none"/>
              </w:rPr>
            </w:pPr>
          </w:p>
        </w:tc>
        <w:tc>
          <w:tcPr>
            <w:tcW w:w="1984" w:type="dxa"/>
            <w:vAlign w:val="center"/>
          </w:tcPr>
          <w:p w14:paraId="4EC28DB5">
            <w:pPr>
              <w:shd w:val="clear"/>
              <w:jc w:val="center"/>
              <w:rPr>
                <w:rFonts w:hint="eastAsia" w:ascii="宋体" w:hAnsi="宋体" w:eastAsia="宋体" w:cs="宋体"/>
                <w:color w:val="auto"/>
                <w:sz w:val="21"/>
                <w:szCs w:val="21"/>
                <w:highlight w:val="none"/>
              </w:rPr>
            </w:pPr>
          </w:p>
        </w:tc>
        <w:tc>
          <w:tcPr>
            <w:tcW w:w="1276" w:type="dxa"/>
            <w:vAlign w:val="center"/>
          </w:tcPr>
          <w:p w14:paraId="1ACFE8F4">
            <w:pPr>
              <w:shd w:val="clear"/>
              <w:jc w:val="center"/>
              <w:rPr>
                <w:rFonts w:hint="eastAsia" w:ascii="宋体" w:hAnsi="宋体" w:eastAsia="宋体" w:cs="宋体"/>
                <w:color w:val="auto"/>
                <w:sz w:val="21"/>
                <w:szCs w:val="21"/>
                <w:highlight w:val="none"/>
              </w:rPr>
            </w:pPr>
          </w:p>
        </w:tc>
        <w:tc>
          <w:tcPr>
            <w:tcW w:w="1594" w:type="dxa"/>
            <w:vAlign w:val="center"/>
          </w:tcPr>
          <w:p w14:paraId="3EA1E3A9">
            <w:pPr>
              <w:shd w:val="clear"/>
              <w:jc w:val="center"/>
              <w:rPr>
                <w:rFonts w:hint="eastAsia" w:ascii="宋体" w:hAnsi="宋体" w:eastAsia="宋体" w:cs="宋体"/>
                <w:color w:val="auto"/>
                <w:sz w:val="21"/>
                <w:szCs w:val="21"/>
                <w:highlight w:val="none"/>
              </w:rPr>
            </w:pPr>
          </w:p>
        </w:tc>
      </w:tr>
      <w:tr w14:paraId="07A7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3734150B">
            <w:pPr>
              <w:shd w:val="clear"/>
              <w:jc w:val="center"/>
              <w:rPr>
                <w:rFonts w:hint="eastAsia" w:ascii="宋体" w:hAnsi="宋体" w:eastAsia="宋体" w:cs="宋体"/>
                <w:b/>
                <w:color w:val="auto"/>
                <w:sz w:val="21"/>
                <w:szCs w:val="21"/>
                <w:highlight w:val="none"/>
              </w:rPr>
            </w:pPr>
          </w:p>
        </w:tc>
        <w:tc>
          <w:tcPr>
            <w:tcW w:w="2161" w:type="dxa"/>
            <w:vAlign w:val="center"/>
          </w:tcPr>
          <w:p w14:paraId="30559A6B">
            <w:pPr>
              <w:shd w:val="clea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w:t>
            </w:r>
          </w:p>
        </w:tc>
        <w:tc>
          <w:tcPr>
            <w:tcW w:w="1241" w:type="dxa"/>
            <w:vAlign w:val="center"/>
          </w:tcPr>
          <w:p w14:paraId="338CDB1A">
            <w:pPr>
              <w:shd w:val="clear"/>
              <w:jc w:val="center"/>
              <w:rPr>
                <w:rFonts w:hint="eastAsia" w:ascii="宋体" w:hAnsi="宋体" w:eastAsia="宋体" w:cs="宋体"/>
                <w:color w:val="auto"/>
                <w:sz w:val="21"/>
                <w:szCs w:val="21"/>
                <w:highlight w:val="none"/>
              </w:rPr>
            </w:pPr>
          </w:p>
        </w:tc>
        <w:tc>
          <w:tcPr>
            <w:tcW w:w="1984" w:type="dxa"/>
            <w:vAlign w:val="center"/>
          </w:tcPr>
          <w:p w14:paraId="21124708">
            <w:pPr>
              <w:shd w:val="clear"/>
              <w:jc w:val="center"/>
              <w:rPr>
                <w:rFonts w:hint="eastAsia" w:ascii="宋体" w:hAnsi="宋体" w:eastAsia="宋体" w:cs="宋体"/>
                <w:color w:val="auto"/>
                <w:sz w:val="21"/>
                <w:szCs w:val="21"/>
                <w:highlight w:val="none"/>
              </w:rPr>
            </w:pPr>
          </w:p>
        </w:tc>
        <w:tc>
          <w:tcPr>
            <w:tcW w:w="1276" w:type="dxa"/>
            <w:vAlign w:val="center"/>
          </w:tcPr>
          <w:p w14:paraId="7F86487C">
            <w:pPr>
              <w:shd w:val="clear"/>
              <w:jc w:val="center"/>
              <w:rPr>
                <w:rFonts w:hint="eastAsia" w:ascii="宋体" w:hAnsi="宋体" w:eastAsia="宋体" w:cs="宋体"/>
                <w:color w:val="auto"/>
                <w:sz w:val="21"/>
                <w:szCs w:val="21"/>
                <w:highlight w:val="none"/>
              </w:rPr>
            </w:pPr>
          </w:p>
        </w:tc>
        <w:tc>
          <w:tcPr>
            <w:tcW w:w="1594" w:type="dxa"/>
            <w:vAlign w:val="center"/>
          </w:tcPr>
          <w:p w14:paraId="41A4431F">
            <w:pPr>
              <w:shd w:val="clear"/>
              <w:jc w:val="center"/>
              <w:rPr>
                <w:rFonts w:hint="eastAsia" w:ascii="宋体" w:hAnsi="宋体" w:eastAsia="宋体" w:cs="宋体"/>
                <w:color w:val="auto"/>
                <w:sz w:val="21"/>
                <w:szCs w:val="21"/>
                <w:highlight w:val="none"/>
              </w:rPr>
            </w:pPr>
          </w:p>
        </w:tc>
      </w:tr>
    </w:tbl>
    <w:p w14:paraId="3D8A303F">
      <w:pPr>
        <w:shd w:val="clea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int="eastAsia" w:ascii="宋体" w:hAnsi="宋体" w:eastAsia="宋体" w:cs="宋体"/>
          <w:b/>
          <w:bCs/>
          <w:color w:val="auto"/>
          <w:sz w:val="21"/>
          <w:szCs w:val="21"/>
          <w:highlight w:val="none"/>
        </w:rPr>
      </w:pPr>
    </w:p>
    <w:p w14:paraId="09B30A31">
      <w:pPr>
        <w:shd w:val="clear"/>
        <w:tabs>
          <w:tab w:val="left" w:pos="654"/>
          <w:tab w:val="left" w:pos="1734"/>
          <w:tab w:val="left" w:pos="2814"/>
          <w:tab w:val="left" w:pos="3894"/>
          <w:tab w:val="left" w:pos="5334"/>
          <w:tab w:val="left" w:pos="6414"/>
          <w:tab w:val="left" w:pos="7254"/>
          <w:tab w:val="left" w:pos="8574"/>
          <w:tab w:val="left" w:pos="9654"/>
        </w:tabs>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p w14:paraId="2BEBCDCA">
      <w:pPr>
        <w:shd w:val="clea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1.“磋商文件要求”见磋商文件“用户需求书”，“响应文件响应情况”是指供应商的投报情况。</w:t>
      </w:r>
    </w:p>
    <w:p w14:paraId="4BFDF8D6">
      <w:pPr>
        <w:shd w:val="clea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sz w:val="21"/>
          <w:szCs w:val="21"/>
          <w:highlight w:val="none"/>
        </w:rPr>
        <w:t>偏离情况</w:t>
      </w:r>
      <w:r>
        <w:rPr>
          <w:rFonts w:hint="eastAsia" w:ascii="宋体" w:hAnsi="宋体" w:eastAsia="宋体" w:cs="宋体"/>
          <w:color w:val="auto"/>
          <w:sz w:val="21"/>
          <w:szCs w:val="21"/>
          <w:highlight w:val="none"/>
        </w:rPr>
        <w:t>”包括“完全响应”、“正偏离”、“负偏离”。</w:t>
      </w:r>
    </w:p>
    <w:p w14:paraId="31F2B2E2">
      <w:pPr>
        <w:shd w:val="clea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int="eastAsia" w:ascii="宋体" w:hAnsi="宋体" w:eastAsia="宋体" w:cs="宋体"/>
          <w:color w:val="auto"/>
          <w:sz w:val="21"/>
          <w:szCs w:val="21"/>
          <w:highlight w:val="none"/>
        </w:rPr>
      </w:pPr>
    </w:p>
    <w:p w14:paraId="220FA4BC">
      <w:pPr>
        <w:shd w:val="clear"/>
        <w:overflowPunct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14:paraId="49746F85">
      <w:pPr>
        <w:shd w:val="clear"/>
        <w:overflowPunct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供应商法定代表人或受委托人（签名或盖私章）：</w:t>
      </w:r>
    </w:p>
    <w:p w14:paraId="790DDF6F">
      <w:pPr>
        <w:shd w:val="clear"/>
        <w:overflowPunct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 xml:space="preserve">日期：年月日 </w:t>
      </w:r>
    </w:p>
    <w:p w14:paraId="54AC0FB7">
      <w:pPr>
        <w:shd w:val="clear"/>
        <w:rPr>
          <w:rFonts w:hint="eastAsia" w:ascii="宋体" w:hAnsi="宋体" w:eastAsia="宋体" w:cs="宋体"/>
          <w:color w:val="auto"/>
          <w:highlight w:val="none"/>
        </w:rPr>
      </w:pPr>
    </w:p>
    <w:p w14:paraId="130BF699">
      <w:pPr>
        <w:shd w:val="clear"/>
        <w:rPr>
          <w:rFonts w:hint="eastAsia" w:ascii="宋体" w:hAnsi="宋体" w:eastAsia="宋体" w:cs="宋体"/>
          <w:color w:val="auto"/>
          <w:highlight w:val="none"/>
        </w:rPr>
      </w:pPr>
    </w:p>
    <w:p w14:paraId="429D313B">
      <w:pPr>
        <w:shd w:val="clear"/>
        <w:rPr>
          <w:rFonts w:hint="eastAsia" w:ascii="宋体" w:hAnsi="宋体" w:eastAsia="宋体" w:cs="宋体"/>
          <w:color w:val="auto"/>
          <w:highlight w:val="none"/>
        </w:rPr>
      </w:pPr>
    </w:p>
    <w:p w14:paraId="05C80FD8">
      <w:pPr>
        <w:shd w:val="clear"/>
        <w:rPr>
          <w:rFonts w:hint="eastAsia" w:ascii="宋体" w:hAnsi="宋体" w:eastAsia="宋体" w:cs="宋体"/>
          <w:color w:val="auto"/>
          <w:highlight w:val="none"/>
        </w:rPr>
      </w:pPr>
    </w:p>
    <w:p w14:paraId="742C0205">
      <w:pPr>
        <w:shd w:val="clear"/>
        <w:rPr>
          <w:rFonts w:hint="eastAsia" w:ascii="宋体" w:hAnsi="宋体" w:eastAsia="宋体" w:cs="宋体"/>
          <w:color w:val="auto"/>
          <w:highlight w:val="none"/>
        </w:rPr>
      </w:pPr>
    </w:p>
    <w:p w14:paraId="542103AD">
      <w:pPr>
        <w:shd w:val="clear"/>
        <w:rPr>
          <w:rFonts w:hint="eastAsia" w:ascii="宋体" w:hAnsi="宋体" w:eastAsia="宋体" w:cs="宋体"/>
          <w:color w:val="auto"/>
          <w:highlight w:val="none"/>
        </w:rPr>
      </w:pPr>
    </w:p>
    <w:p w14:paraId="63A3B0D0">
      <w:pPr>
        <w:shd w:val="clear"/>
        <w:rPr>
          <w:rFonts w:hint="eastAsia" w:ascii="宋体" w:hAnsi="宋体" w:eastAsia="宋体" w:cs="宋体"/>
          <w:color w:val="auto"/>
          <w:highlight w:val="none"/>
        </w:rPr>
      </w:pPr>
    </w:p>
    <w:p w14:paraId="66A06348">
      <w:pPr>
        <w:rPr>
          <w:rFonts w:hint="eastAsia" w:ascii="宋体" w:hAnsi="宋体" w:eastAsia="宋体" w:cs="宋体"/>
          <w:color w:val="auto"/>
          <w:sz w:val="28"/>
          <w:szCs w:val="28"/>
          <w:highlight w:val="none"/>
        </w:rPr>
      </w:pPr>
      <w:bookmarkStart w:id="246" w:name="_Toc10734"/>
      <w:bookmarkStart w:id="247" w:name="_Toc8299"/>
      <w:bookmarkStart w:id="248" w:name="_Toc31965"/>
      <w:bookmarkStart w:id="249" w:name="_Toc7897895"/>
      <w:r>
        <w:rPr>
          <w:rFonts w:hint="eastAsia" w:ascii="宋体" w:hAnsi="宋体" w:eastAsia="宋体" w:cs="宋体"/>
          <w:color w:val="auto"/>
          <w:sz w:val="28"/>
          <w:szCs w:val="28"/>
          <w:highlight w:val="none"/>
        </w:rPr>
        <w:br w:type="page"/>
      </w:r>
    </w:p>
    <w:p w14:paraId="7FD8E707">
      <w:pPr>
        <w:pStyle w:val="5"/>
        <w:numPr>
          <w:ilvl w:val="0"/>
          <w:numId w:val="16"/>
        </w:numPr>
        <w:shd w:val="clea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磋商文件“★”号条款响应表</w:t>
      </w:r>
      <w:bookmarkEnd w:id="246"/>
      <w:bookmarkEnd w:id="247"/>
    </w:p>
    <w:p w14:paraId="7C308919">
      <w:pPr>
        <w:shd w:val="clear"/>
        <w:rPr>
          <w:rFonts w:hint="eastAsia" w:ascii="宋体" w:hAnsi="宋体" w:eastAsia="宋体" w:cs="宋体"/>
          <w:b/>
          <w:bCs/>
          <w:color w:val="auto"/>
          <w:highlight w:val="none"/>
        </w:rPr>
      </w:pPr>
    </w:p>
    <w:tbl>
      <w:tblPr>
        <w:tblStyle w:val="54"/>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266"/>
        <w:gridCol w:w="3371"/>
        <w:gridCol w:w="2113"/>
        <w:gridCol w:w="2079"/>
      </w:tblGrid>
      <w:tr w14:paraId="6D70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863" w:type="dxa"/>
            <w:vMerge w:val="restart"/>
            <w:vAlign w:val="center"/>
          </w:tcPr>
          <w:p w14:paraId="0F21102D">
            <w:pPr>
              <w:shd w:val="clear"/>
              <w:autoSpaceDE/>
              <w:autoSpaceDN/>
              <w:adjustRightInd/>
              <w:spacing w:before="120"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37" w:type="dxa"/>
            <w:gridSpan w:val="2"/>
            <w:vAlign w:val="center"/>
          </w:tcPr>
          <w:p w14:paraId="1DC91037">
            <w:pPr>
              <w:shd w:val="clear"/>
              <w:autoSpaceDE/>
              <w:autoSpaceDN/>
              <w:adjustRightInd/>
              <w:spacing w:before="120" w:after="120" w:line="360" w:lineRule="auto"/>
              <w:ind w:left="-122" w:lef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磋商文件“★”号条款要求</w:t>
            </w:r>
          </w:p>
        </w:tc>
        <w:tc>
          <w:tcPr>
            <w:tcW w:w="4192" w:type="dxa"/>
            <w:gridSpan w:val="2"/>
            <w:vAlign w:val="center"/>
          </w:tcPr>
          <w:p w14:paraId="7FD825A5">
            <w:pPr>
              <w:shd w:val="clear"/>
              <w:autoSpaceDE/>
              <w:autoSpaceDN/>
              <w:adjustRightInd/>
              <w:spacing w:before="120" w:after="120" w:line="360" w:lineRule="auto"/>
              <w:ind w:left="-8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磋商响应文件内容</w:t>
            </w:r>
          </w:p>
        </w:tc>
      </w:tr>
      <w:tr w14:paraId="09ED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863" w:type="dxa"/>
            <w:vMerge w:val="continue"/>
            <w:vAlign w:val="center"/>
          </w:tcPr>
          <w:p w14:paraId="300E6E45">
            <w:pPr>
              <w:keepNext/>
              <w:keepLines/>
              <w:shd w:val="clear"/>
              <w:autoSpaceDE/>
              <w:autoSpaceDN/>
              <w:adjustRightInd/>
              <w:spacing w:before="120" w:after="120" w:line="360" w:lineRule="auto"/>
              <w:ind w:left="629"/>
              <w:jc w:val="center"/>
              <w:rPr>
                <w:rFonts w:hint="eastAsia" w:ascii="宋体" w:hAnsi="宋体" w:eastAsia="宋体" w:cs="宋体"/>
                <w:color w:val="auto"/>
                <w:sz w:val="21"/>
                <w:szCs w:val="21"/>
                <w:highlight w:val="none"/>
              </w:rPr>
            </w:pPr>
          </w:p>
        </w:tc>
        <w:tc>
          <w:tcPr>
            <w:tcW w:w="1266" w:type="dxa"/>
            <w:vAlign w:val="center"/>
          </w:tcPr>
          <w:p w14:paraId="226491B2">
            <w:pPr>
              <w:shd w:val="clear"/>
              <w:autoSpaceDE/>
              <w:autoSpaceDN/>
              <w:adjustRightInd/>
              <w:spacing w:before="120"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3371" w:type="dxa"/>
            <w:vAlign w:val="center"/>
          </w:tcPr>
          <w:p w14:paraId="761EB6B7">
            <w:pPr>
              <w:shd w:val="clear"/>
              <w:autoSpaceDE/>
              <w:autoSpaceDN/>
              <w:adjustRightInd/>
              <w:spacing w:before="120"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2113" w:type="dxa"/>
            <w:vAlign w:val="center"/>
          </w:tcPr>
          <w:p w14:paraId="4D3899FD">
            <w:pPr>
              <w:shd w:val="clear"/>
              <w:autoSpaceDE/>
              <w:autoSpaceDN/>
              <w:adjustRightInd/>
              <w:spacing w:before="120"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2079" w:type="dxa"/>
            <w:vAlign w:val="center"/>
          </w:tcPr>
          <w:p w14:paraId="51F0CDA6">
            <w:pPr>
              <w:shd w:val="clear"/>
              <w:autoSpaceDE/>
              <w:autoSpaceDN/>
              <w:adjustRightInd/>
              <w:spacing w:before="120"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具体偏离内容</w:t>
            </w:r>
          </w:p>
        </w:tc>
      </w:tr>
      <w:tr w14:paraId="2237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14:paraId="161307A0">
            <w:pPr>
              <w:shd w:val="clear"/>
              <w:autoSpaceDE/>
              <w:autoSpaceDN/>
              <w:adjustRightInd/>
              <w:spacing w:before="120" w:after="120" w:line="360" w:lineRule="auto"/>
              <w:ind w:left="-10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66" w:type="dxa"/>
            <w:vAlign w:val="center"/>
          </w:tcPr>
          <w:p w14:paraId="239F3461">
            <w:pPr>
              <w:shd w:val="clear"/>
              <w:spacing w:line="360" w:lineRule="auto"/>
              <w:jc w:val="center"/>
              <w:rPr>
                <w:rFonts w:hint="eastAsia" w:ascii="宋体" w:hAnsi="宋体" w:eastAsia="宋体" w:cs="宋体"/>
                <w:color w:val="auto"/>
                <w:sz w:val="21"/>
                <w:szCs w:val="21"/>
                <w:highlight w:val="none"/>
              </w:rPr>
            </w:pPr>
          </w:p>
          <w:p w14:paraId="5E46F99F">
            <w:pPr>
              <w:shd w:val="clear"/>
              <w:spacing w:line="360" w:lineRule="auto"/>
              <w:jc w:val="center"/>
              <w:rPr>
                <w:rFonts w:hint="eastAsia" w:ascii="宋体" w:hAnsi="宋体" w:eastAsia="宋体" w:cs="宋体"/>
                <w:color w:val="auto"/>
                <w:sz w:val="21"/>
                <w:szCs w:val="21"/>
                <w:highlight w:val="none"/>
              </w:rPr>
            </w:pPr>
          </w:p>
          <w:p w14:paraId="36748675">
            <w:pPr>
              <w:shd w:val="clear"/>
              <w:spacing w:line="360" w:lineRule="auto"/>
              <w:jc w:val="center"/>
              <w:rPr>
                <w:rFonts w:hint="eastAsia" w:ascii="宋体" w:hAnsi="宋体" w:eastAsia="宋体" w:cs="宋体"/>
                <w:color w:val="auto"/>
                <w:sz w:val="21"/>
                <w:szCs w:val="21"/>
                <w:highlight w:val="none"/>
              </w:rPr>
            </w:pPr>
          </w:p>
          <w:p w14:paraId="5C8C9596">
            <w:pPr>
              <w:shd w:val="clear"/>
              <w:spacing w:line="360" w:lineRule="auto"/>
              <w:jc w:val="center"/>
              <w:rPr>
                <w:rFonts w:hint="eastAsia" w:ascii="宋体" w:hAnsi="宋体" w:eastAsia="宋体" w:cs="宋体"/>
                <w:color w:val="auto"/>
                <w:sz w:val="21"/>
                <w:szCs w:val="21"/>
                <w:highlight w:val="none"/>
              </w:rPr>
            </w:pPr>
          </w:p>
          <w:p w14:paraId="4CFA0EFC">
            <w:pPr>
              <w:shd w:val="clear"/>
              <w:spacing w:line="360" w:lineRule="auto"/>
              <w:jc w:val="center"/>
              <w:rPr>
                <w:rFonts w:hint="eastAsia" w:ascii="宋体" w:hAnsi="宋体" w:eastAsia="宋体" w:cs="宋体"/>
                <w:color w:val="auto"/>
                <w:sz w:val="21"/>
                <w:szCs w:val="21"/>
                <w:highlight w:val="none"/>
              </w:rPr>
            </w:pPr>
          </w:p>
        </w:tc>
        <w:tc>
          <w:tcPr>
            <w:tcW w:w="3371" w:type="dxa"/>
            <w:vAlign w:val="center"/>
          </w:tcPr>
          <w:p w14:paraId="15D6318D">
            <w:pPr>
              <w:shd w:val="clear"/>
              <w:spacing w:line="360" w:lineRule="auto"/>
              <w:jc w:val="center"/>
              <w:rPr>
                <w:rFonts w:hint="eastAsia" w:ascii="宋体" w:hAnsi="宋体" w:eastAsia="宋体" w:cs="宋体"/>
                <w:color w:val="auto"/>
                <w:sz w:val="21"/>
                <w:szCs w:val="21"/>
                <w:highlight w:val="none"/>
              </w:rPr>
            </w:pPr>
          </w:p>
        </w:tc>
        <w:tc>
          <w:tcPr>
            <w:tcW w:w="2113" w:type="dxa"/>
            <w:vAlign w:val="center"/>
          </w:tcPr>
          <w:p w14:paraId="1436EFDF">
            <w:pPr>
              <w:keepNext/>
              <w:keepLines/>
              <w:shd w:val="clear"/>
              <w:autoSpaceDE/>
              <w:autoSpaceDN/>
              <w:adjustRightInd/>
              <w:spacing w:before="120" w:after="120" w:line="360" w:lineRule="auto"/>
              <w:ind w:left="629"/>
              <w:jc w:val="center"/>
              <w:rPr>
                <w:rFonts w:hint="eastAsia" w:ascii="宋体" w:hAnsi="宋体" w:eastAsia="宋体" w:cs="宋体"/>
                <w:color w:val="auto"/>
                <w:sz w:val="21"/>
                <w:szCs w:val="21"/>
                <w:highlight w:val="none"/>
              </w:rPr>
            </w:pPr>
          </w:p>
        </w:tc>
        <w:tc>
          <w:tcPr>
            <w:tcW w:w="2079" w:type="dxa"/>
            <w:vAlign w:val="center"/>
          </w:tcPr>
          <w:p w14:paraId="4B23F50A">
            <w:pPr>
              <w:keepNext/>
              <w:keepLines/>
              <w:shd w:val="clear"/>
              <w:autoSpaceDE/>
              <w:autoSpaceDN/>
              <w:adjustRightInd/>
              <w:spacing w:before="120" w:after="120" w:line="360" w:lineRule="auto"/>
              <w:ind w:left="629"/>
              <w:jc w:val="center"/>
              <w:rPr>
                <w:rFonts w:hint="eastAsia" w:ascii="宋体" w:hAnsi="宋体" w:eastAsia="宋体" w:cs="宋体"/>
                <w:color w:val="auto"/>
                <w:sz w:val="21"/>
                <w:szCs w:val="21"/>
                <w:highlight w:val="none"/>
              </w:rPr>
            </w:pPr>
          </w:p>
        </w:tc>
      </w:tr>
      <w:tr w14:paraId="7701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14:paraId="56382A05">
            <w:pPr>
              <w:shd w:val="clear"/>
              <w:autoSpaceDE/>
              <w:autoSpaceDN/>
              <w:adjustRightInd/>
              <w:spacing w:before="120" w:after="120" w:line="360" w:lineRule="auto"/>
              <w:ind w:left="-10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66" w:type="dxa"/>
            <w:vAlign w:val="center"/>
          </w:tcPr>
          <w:p w14:paraId="1B4B151F">
            <w:pPr>
              <w:shd w:val="clear"/>
              <w:spacing w:line="360" w:lineRule="auto"/>
              <w:jc w:val="center"/>
              <w:rPr>
                <w:rFonts w:hint="eastAsia" w:ascii="宋体" w:hAnsi="宋体" w:eastAsia="宋体" w:cs="宋体"/>
                <w:color w:val="auto"/>
                <w:sz w:val="21"/>
                <w:szCs w:val="21"/>
                <w:highlight w:val="none"/>
              </w:rPr>
            </w:pPr>
          </w:p>
        </w:tc>
        <w:tc>
          <w:tcPr>
            <w:tcW w:w="3371" w:type="dxa"/>
            <w:vAlign w:val="center"/>
          </w:tcPr>
          <w:p w14:paraId="51712B0E">
            <w:pPr>
              <w:shd w:val="clear"/>
              <w:spacing w:line="360" w:lineRule="auto"/>
              <w:jc w:val="center"/>
              <w:rPr>
                <w:rFonts w:hint="eastAsia" w:ascii="宋体" w:hAnsi="宋体" w:eastAsia="宋体" w:cs="宋体"/>
                <w:color w:val="auto"/>
                <w:sz w:val="21"/>
                <w:szCs w:val="21"/>
                <w:highlight w:val="none"/>
              </w:rPr>
            </w:pPr>
          </w:p>
        </w:tc>
        <w:tc>
          <w:tcPr>
            <w:tcW w:w="2113" w:type="dxa"/>
          </w:tcPr>
          <w:p w14:paraId="51140294">
            <w:pPr>
              <w:keepNext/>
              <w:keepLines/>
              <w:shd w:val="clear"/>
              <w:autoSpaceDE/>
              <w:autoSpaceDN/>
              <w:adjustRightInd/>
              <w:spacing w:before="120" w:after="120" w:line="360" w:lineRule="auto"/>
              <w:ind w:left="629"/>
              <w:jc w:val="both"/>
              <w:rPr>
                <w:rFonts w:hint="eastAsia" w:ascii="宋体" w:hAnsi="宋体" w:eastAsia="宋体" w:cs="宋体"/>
                <w:color w:val="auto"/>
                <w:sz w:val="21"/>
                <w:szCs w:val="21"/>
                <w:highlight w:val="none"/>
              </w:rPr>
            </w:pPr>
          </w:p>
        </w:tc>
        <w:tc>
          <w:tcPr>
            <w:tcW w:w="2079" w:type="dxa"/>
            <w:vAlign w:val="center"/>
          </w:tcPr>
          <w:p w14:paraId="4E7FBE34">
            <w:pPr>
              <w:keepNext/>
              <w:keepLines/>
              <w:shd w:val="clear"/>
              <w:autoSpaceDE/>
              <w:autoSpaceDN/>
              <w:adjustRightInd/>
              <w:spacing w:before="120" w:after="120" w:line="360" w:lineRule="auto"/>
              <w:ind w:left="629"/>
              <w:jc w:val="both"/>
              <w:rPr>
                <w:rFonts w:hint="eastAsia" w:ascii="宋体" w:hAnsi="宋体" w:eastAsia="宋体" w:cs="宋体"/>
                <w:color w:val="auto"/>
                <w:sz w:val="21"/>
                <w:szCs w:val="21"/>
                <w:highlight w:val="none"/>
              </w:rPr>
            </w:pPr>
          </w:p>
        </w:tc>
      </w:tr>
      <w:tr w14:paraId="52BB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14:paraId="3C3352C7">
            <w:pPr>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1266" w:type="dxa"/>
            <w:vAlign w:val="center"/>
          </w:tcPr>
          <w:p w14:paraId="283A57D5">
            <w:pPr>
              <w:shd w:val="clear"/>
              <w:spacing w:line="360" w:lineRule="auto"/>
              <w:jc w:val="center"/>
              <w:rPr>
                <w:rFonts w:hint="eastAsia" w:ascii="宋体" w:hAnsi="宋体" w:eastAsia="宋体" w:cs="宋体"/>
                <w:color w:val="auto"/>
                <w:sz w:val="21"/>
                <w:szCs w:val="21"/>
                <w:highlight w:val="none"/>
              </w:rPr>
            </w:pPr>
          </w:p>
        </w:tc>
        <w:tc>
          <w:tcPr>
            <w:tcW w:w="3371" w:type="dxa"/>
            <w:vAlign w:val="center"/>
          </w:tcPr>
          <w:p w14:paraId="48280CBF">
            <w:pPr>
              <w:shd w:val="clear"/>
              <w:spacing w:line="360" w:lineRule="auto"/>
              <w:jc w:val="center"/>
              <w:rPr>
                <w:rFonts w:hint="eastAsia" w:ascii="宋体" w:hAnsi="宋体" w:eastAsia="宋体" w:cs="宋体"/>
                <w:color w:val="auto"/>
                <w:sz w:val="21"/>
                <w:szCs w:val="21"/>
                <w:highlight w:val="none"/>
              </w:rPr>
            </w:pPr>
          </w:p>
        </w:tc>
        <w:tc>
          <w:tcPr>
            <w:tcW w:w="2113" w:type="dxa"/>
          </w:tcPr>
          <w:p w14:paraId="72ED8E1A">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2079" w:type="dxa"/>
            <w:vAlign w:val="center"/>
          </w:tcPr>
          <w:p w14:paraId="1FFA7521">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r>
      <w:tr w14:paraId="281E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14:paraId="529EC898">
            <w:pPr>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1266" w:type="dxa"/>
            <w:vAlign w:val="center"/>
          </w:tcPr>
          <w:p w14:paraId="66A03A91">
            <w:pPr>
              <w:shd w:val="clear"/>
              <w:spacing w:line="360" w:lineRule="auto"/>
              <w:jc w:val="center"/>
              <w:rPr>
                <w:rFonts w:hint="eastAsia" w:ascii="宋体" w:hAnsi="宋体" w:eastAsia="宋体" w:cs="宋体"/>
                <w:color w:val="auto"/>
                <w:sz w:val="21"/>
                <w:szCs w:val="21"/>
                <w:highlight w:val="none"/>
              </w:rPr>
            </w:pPr>
          </w:p>
        </w:tc>
        <w:tc>
          <w:tcPr>
            <w:tcW w:w="3371" w:type="dxa"/>
            <w:vAlign w:val="center"/>
          </w:tcPr>
          <w:p w14:paraId="6B5AC9B5">
            <w:pPr>
              <w:shd w:val="clear"/>
              <w:spacing w:line="360" w:lineRule="auto"/>
              <w:jc w:val="center"/>
              <w:rPr>
                <w:rFonts w:hint="eastAsia" w:ascii="宋体" w:hAnsi="宋体" w:eastAsia="宋体" w:cs="宋体"/>
                <w:color w:val="auto"/>
                <w:sz w:val="21"/>
                <w:szCs w:val="21"/>
                <w:highlight w:val="none"/>
              </w:rPr>
            </w:pPr>
          </w:p>
        </w:tc>
        <w:tc>
          <w:tcPr>
            <w:tcW w:w="2113" w:type="dxa"/>
          </w:tcPr>
          <w:p w14:paraId="21C3F7DC">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2079" w:type="dxa"/>
            <w:vAlign w:val="center"/>
          </w:tcPr>
          <w:p w14:paraId="67CBAA11">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r>
      <w:tr w14:paraId="0D43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14:paraId="259E2838">
            <w:pPr>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1266" w:type="dxa"/>
            <w:vAlign w:val="center"/>
          </w:tcPr>
          <w:p w14:paraId="275BAD7C">
            <w:pPr>
              <w:shd w:val="clear"/>
              <w:spacing w:line="360" w:lineRule="auto"/>
              <w:jc w:val="center"/>
              <w:rPr>
                <w:rFonts w:hint="eastAsia" w:ascii="宋体" w:hAnsi="宋体" w:eastAsia="宋体" w:cs="宋体"/>
                <w:color w:val="auto"/>
                <w:sz w:val="21"/>
                <w:szCs w:val="21"/>
                <w:highlight w:val="none"/>
              </w:rPr>
            </w:pPr>
          </w:p>
        </w:tc>
        <w:tc>
          <w:tcPr>
            <w:tcW w:w="3371" w:type="dxa"/>
            <w:vAlign w:val="center"/>
          </w:tcPr>
          <w:p w14:paraId="37EEF7F6">
            <w:pPr>
              <w:shd w:val="clear"/>
              <w:spacing w:line="360" w:lineRule="auto"/>
              <w:jc w:val="center"/>
              <w:rPr>
                <w:rFonts w:hint="eastAsia" w:ascii="宋体" w:hAnsi="宋体" w:eastAsia="宋体" w:cs="宋体"/>
                <w:color w:val="auto"/>
                <w:sz w:val="21"/>
                <w:szCs w:val="21"/>
                <w:highlight w:val="none"/>
              </w:rPr>
            </w:pPr>
          </w:p>
        </w:tc>
        <w:tc>
          <w:tcPr>
            <w:tcW w:w="2113" w:type="dxa"/>
          </w:tcPr>
          <w:p w14:paraId="162AC4F0">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2079" w:type="dxa"/>
            <w:vAlign w:val="center"/>
          </w:tcPr>
          <w:p w14:paraId="7391913A">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r>
      <w:tr w14:paraId="3F62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14:paraId="34B00816">
            <w:pPr>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1266" w:type="dxa"/>
            <w:vAlign w:val="center"/>
          </w:tcPr>
          <w:p w14:paraId="66D08D91">
            <w:pPr>
              <w:shd w:val="clear"/>
              <w:spacing w:line="360" w:lineRule="auto"/>
              <w:jc w:val="center"/>
              <w:rPr>
                <w:rFonts w:hint="eastAsia" w:ascii="宋体" w:hAnsi="宋体" w:eastAsia="宋体" w:cs="宋体"/>
                <w:color w:val="auto"/>
                <w:sz w:val="21"/>
                <w:szCs w:val="21"/>
                <w:highlight w:val="none"/>
              </w:rPr>
            </w:pPr>
          </w:p>
        </w:tc>
        <w:tc>
          <w:tcPr>
            <w:tcW w:w="3371" w:type="dxa"/>
            <w:vAlign w:val="center"/>
          </w:tcPr>
          <w:p w14:paraId="2A2CFC43">
            <w:pPr>
              <w:shd w:val="clear"/>
              <w:spacing w:line="360" w:lineRule="auto"/>
              <w:jc w:val="center"/>
              <w:rPr>
                <w:rFonts w:hint="eastAsia" w:ascii="宋体" w:hAnsi="宋体" w:eastAsia="宋体" w:cs="宋体"/>
                <w:color w:val="auto"/>
                <w:sz w:val="21"/>
                <w:szCs w:val="21"/>
                <w:highlight w:val="none"/>
              </w:rPr>
            </w:pPr>
          </w:p>
        </w:tc>
        <w:tc>
          <w:tcPr>
            <w:tcW w:w="2113" w:type="dxa"/>
          </w:tcPr>
          <w:p w14:paraId="49362A2C">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2079" w:type="dxa"/>
            <w:vAlign w:val="center"/>
          </w:tcPr>
          <w:p w14:paraId="57828AB3">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r>
      <w:tr w14:paraId="20F4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14:paraId="300EA715">
            <w:pPr>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1266" w:type="dxa"/>
            <w:vAlign w:val="center"/>
          </w:tcPr>
          <w:p w14:paraId="6AF50F01">
            <w:pPr>
              <w:shd w:val="clear"/>
              <w:spacing w:line="360" w:lineRule="auto"/>
              <w:jc w:val="center"/>
              <w:rPr>
                <w:rFonts w:hint="eastAsia" w:ascii="宋体" w:hAnsi="宋体" w:eastAsia="宋体" w:cs="宋体"/>
                <w:color w:val="auto"/>
                <w:sz w:val="21"/>
                <w:szCs w:val="21"/>
                <w:highlight w:val="none"/>
              </w:rPr>
            </w:pPr>
          </w:p>
        </w:tc>
        <w:tc>
          <w:tcPr>
            <w:tcW w:w="3371" w:type="dxa"/>
            <w:vAlign w:val="center"/>
          </w:tcPr>
          <w:p w14:paraId="3534878E">
            <w:pPr>
              <w:shd w:val="clear"/>
              <w:spacing w:line="360" w:lineRule="auto"/>
              <w:jc w:val="center"/>
              <w:rPr>
                <w:rFonts w:hint="eastAsia" w:ascii="宋体" w:hAnsi="宋体" w:eastAsia="宋体" w:cs="宋体"/>
                <w:color w:val="auto"/>
                <w:sz w:val="21"/>
                <w:szCs w:val="21"/>
                <w:highlight w:val="none"/>
              </w:rPr>
            </w:pPr>
          </w:p>
        </w:tc>
        <w:tc>
          <w:tcPr>
            <w:tcW w:w="2113" w:type="dxa"/>
          </w:tcPr>
          <w:p w14:paraId="114E4E3E">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2079" w:type="dxa"/>
          </w:tcPr>
          <w:p w14:paraId="38D4A00C">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r>
      <w:tr w14:paraId="3277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14:paraId="07D449A9">
            <w:pPr>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1266" w:type="dxa"/>
            <w:vAlign w:val="center"/>
          </w:tcPr>
          <w:p w14:paraId="3747870B">
            <w:pPr>
              <w:shd w:val="clear"/>
              <w:spacing w:line="360" w:lineRule="auto"/>
              <w:jc w:val="center"/>
              <w:rPr>
                <w:rFonts w:hint="eastAsia" w:ascii="宋体" w:hAnsi="宋体" w:eastAsia="宋体" w:cs="宋体"/>
                <w:color w:val="auto"/>
                <w:sz w:val="21"/>
                <w:szCs w:val="21"/>
                <w:highlight w:val="none"/>
              </w:rPr>
            </w:pPr>
          </w:p>
        </w:tc>
        <w:tc>
          <w:tcPr>
            <w:tcW w:w="3371" w:type="dxa"/>
            <w:vAlign w:val="center"/>
          </w:tcPr>
          <w:p w14:paraId="422027E9">
            <w:pPr>
              <w:shd w:val="clear"/>
              <w:spacing w:line="360" w:lineRule="auto"/>
              <w:jc w:val="center"/>
              <w:rPr>
                <w:rFonts w:hint="eastAsia" w:ascii="宋体" w:hAnsi="宋体" w:eastAsia="宋体" w:cs="宋体"/>
                <w:color w:val="auto"/>
                <w:sz w:val="21"/>
                <w:szCs w:val="21"/>
                <w:highlight w:val="none"/>
              </w:rPr>
            </w:pPr>
          </w:p>
        </w:tc>
        <w:tc>
          <w:tcPr>
            <w:tcW w:w="2113" w:type="dxa"/>
          </w:tcPr>
          <w:p w14:paraId="4B31DCC8">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2079" w:type="dxa"/>
          </w:tcPr>
          <w:p w14:paraId="500DE4AD">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r>
      <w:tr w14:paraId="6A1F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14:paraId="696D9F87">
            <w:pPr>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1266" w:type="dxa"/>
            <w:vAlign w:val="center"/>
          </w:tcPr>
          <w:p w14:paraId="25469C8C">
            <w:pPr>
              <w:shd w:val="clear"/>
              <w:spacing w:line="360" w:lineRule="auto"/>
              <w:jc w:val="center"/>
              <w:rPr>
                <w:rFonts w:hint="eastAsia" w:ascii="宋体" w:hAnsi="宋体" w:eastAsia="宋体" w:cs="宋体"/>
                <w:color w:val="auto"/>
                <w:sz w:val="21"/>
                <w:szCs w:val="21"/>
                <w:highlight w:val="none"/>
              </w:rPr>
            </w:pPr>
          </w:p>
        </w:tc>
        <w:tc>
          <w:tcPr>
            <w:tcW w:w="3371" w:type="dxa"/>
            <w:vAlign w:val="center"/>
          </w:tcPr>
          <w:p w14:paraId="15BF092C">
            <w:pPr>
              <w:shd w:val="clear"/>
              <w:spacing w:line="360" w:lineRule="auto"/>
              <w:jc w:val="center"/>
              <w:rPr>
                <w:rFonts w:hint="eastAsia" w:ascii="宋体" w:hAnsi="宋体" w:eastAsia="宋体" w:cs="宋体"/>
                <w:color w:val="auto"/>
                <w:sz w:val="21"/>
                <w:szCs w:val="21"/>
                <w:highlight w:val="none"/>
              </w:rPr>
            </w:pPr>
          </w:p>
        </w:tc>
        <w:tc>
          <w:tcPr>
            <w:tcW w:w="2113" w:type="dxa"/>
          </w:tcPr>
          <w:p w14:paraId="736C8F6A">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2079" w:type="dxa"/>
          </w:tcPr>
          <w:p w14:paraId="7F80E67B">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r>
      <w:tr w14:paraId="0CA7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14:paraId="75B2B42F">
            <w:pPr>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1266" w:type="dxa"/>
            <w:vAlign w:val="center"/>
          </w:tcPr>
          <w:p w14:paraId="22CE5B8B">
            <w:pPr>
              <w:shd w:val="clear"/>
              <w:spacing w:line="360" w:lineRule="auto"/>
              <w:jc w:val="center"/>
              <w:rPr>
                <w:rFonts w:hint="eastAsia" w:ascii="宋体" w:hAnsi="宋体" w:eastAsia="宋体" w:cs="宋体"/>
                <w:color w:val="auto"/>
                <w:sz w:val="21"/>
                <w:szCs w:val="21"/>
                <w:highlight w:val="none"/>
              </w:rPr>
            </w:pPr>
          </w:p>
        </w:tc>
        <w:tc>
          <w:tcPr>
            <w:tcW w:w="3371" w:type="dxa"/>
            <w:vAlign w:val="center"/>
          </w:tcPr>
          <w:p w14:paraId="39DDD910">
            <w:pPr>
              <w:shd w:val="clear"/>
              <w:spacing w:line="360" w:lineRule="auto"/>
              <w:jc w:val="center"/>
              <w:rPr>
                <w:rFonts w:hint="eastAsia" w:ascii="宋体" w:hAnsi="宋体" w:eastAsia="宋体" w:cs="宋体"/>
                <w:color w:val="auto"/>
                <w:sz w:val="21"/>
                <w:szCs w:val="21"/>
                <w:highlight w:val="none"/>
              </w:rPr>
            </w:pPr>
          </w:p>
        </w:tc>
        <w:tc>
          <w:tcPr>
            <w:tcW w:w="2113" w:type="dxa"/>
          </w:tcPr>
          <w:p w14:paraId="6E7EC530">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2079" w:type="dxa"/>
          </w:tcPr>
          <w:p w14:paraId="796983F5">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r>
      <w:tr w14:paraId="46DB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14:paraId="4376D7CA">
            <w:pPr>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1266" w:type="dxa"/>
            <w:vAlign w:val="center"/>
          </w:tcPr>
          <w:p w14:paraId="79295DC9">
            <w:pPr>
              <w:shd w:val="clear"/>
              <w:spacing w:line="360" w:lineRule="auto"/>
              <w:jc w:val="center"/>
              <w:rPr>
                <w:rFonts w:hint="eastAsia" w:ascii="宋体" w:hAnsi="宋体" w:eastAsia="宋体" w:cs="宋体"/>
                <w:color w:val="auto"/>
                <w:sz w:val="21"/>
                <w:szCs w:val="21"/>
                <w:highlight w:val="none"/>
              </w:rPr>
            </w:pPr>
          </w:p>
        </w:tc>
        <w:tc>
          <w:tcPr>
            <w:tcW w:w="3371" w:type="dxa"/>
            <w:vAlign w:val="center"/>
          </w:tcPr>
          <w:p w14:paraId="6E36E31D">
            <w:pPr>
              <w:shd w:val="clear"/>
              <w:spacing w:line="360" w:lineRule="auto"/>
              <w:jc w:val="center"/>
              <w:rPr>
                <w:rFonts w:hint="eastAsia" w:ascii="宋体" w:hAnsi="宋体" w:eastAsia="宋体" w:cs="宋体"/>
                <w:color w:val="auto"/>
                <w:sz w:val="21"/>
                <w:szCs w:val="21"/>
                <w:highlight w:val="none"/>
              </w:rPr>
            </w:pPr>
          </w:p>
        </w:tc>
        <w:tc>
          <w:tcPr>
            <w:tcW w:w="2113" w:type="dxa"/>
          </w:tcPr>
          <w:p w14:paraId="50B1EFEB">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2079" w:type="dxa"/>
          </w:tcPr>
          <w:p w14:paraId="438BB101">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r>
      <w:tr w14:paraId="6D72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14:paraId="296637CE">
            <w:pPr>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1266" w:type="dxa"/>
            <w:vAlign w:val="center"/>
          </w:tcPr>
          <w:p w14:paraId="41966D55">
            <w:pPr>
              <w:shd w:val="clear"/>
              <w:spacing w:line="360" w:lineRule="auto"/>
              <w:jc w:val="center"/>
              <w:rPr>
                <w:rFonts w:hint="eastAsia" w:ascii="宋体" w:hAnsi="宋体" w:eastAsia="宋体" w:cs="宋体"/>
                <w:color w:val="auto"/>
                <w:sz w:val="21"/>
                <w:szCs w:val="21"/>
                <w:highlight w:val="none"/>
              </w:rPr>
            </w:pPr>
          </w:p>
        </w:tc>
        <w:tc>
          <w:tcPr>
            <w:tcW w:w="3371" w:type="dxa"/>
            <w:vAlign w:val="center"/>
          </w:tcPr>
          <w:p w14:paraId="70B416D7">
            <w:pPr>
              <w:shd w:val="clear"/>
              <w:spacing w:line="360" w:lineRule="auto"/>
              <w:jc w:val="center"/>
              <w:rPr>
                <w:rFonts w:hint="eastAsia" w:ascii="宋体" w:hAnsi="宋体" w:eastAsia="宋体" w:cs="宋体"/>
                <w:color w:val="auto"/>
                <w:sz w:val="21"/>
                <w:szCs w:val="21"/>
                <w:highlight w:val="none"/>
              </w:rPr>
            </w:pPr>
          </w:p>
        </w:tc>
        <w:tc>
          <w:tcPr>
            <w:tcW w:w="2113" w:type="dxa"/>
          </w:tcPr>
          <w:p w14:paraId="1043796D">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2079" w:type="dxa"/>
          </w:tcPr>
          <w:p w14:paraId="507DFA97">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r>
      <w:tr w14:paraId="35BB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14:paraId="21460F95">
            <w:pPr>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1266" w:type="dxa"/>
            <w:vAlign w:val="center"/>
          </w:tcPr>
          <w:p w14:paraId="52D1C893">
            <w:pPr>
              <w:shd w:val="clear"/>
              <w:spacing w:line="360" w:lineRule="auto"/>
              <w:jc w:val="center"/>
              <w:rPr>
                <w:rFonts w:hint="eastAsia" w:ascii="宋体" w:hAnsi="宋体" w:eastAsia="宋体" w:cs="宋体"/>
                <w:color w:val="auto"/>
                <w:sz w:val="21"/>
                <w:szCs w:val="21"/>
                <w:highlight w:val="none"/>
              </w:rPr>
            </w:pPr>
          </w:p>
        </w:tc>
        <w:tc>
          <w:tcPr>
            <w:tcW w:w="3371" w:type="dxa"/>
            <w:vAlign w:val="center"/>
          </w:tcPr>
          <w:p w14:paraId="77ECB85A">
            <w:pPr>
              <w:shd w:val="clear"/>
              <w:spacing w:line="360" w:lineRule="auto"/>
              <w:jc w:val="center"/>
              <w:rPr>
                <w:rFonts w:hint="eastAsia" w:ascii="宋体" w:hAnsi="宋体" w:eastAsia="宋体" w:cs="宋体"/>
                <w:color w:val="auto"/>
                <w:sz w:val="21"/>
                <w:szCs w:val="21"/>
                <w:highlight w:val="none"/>
              </w:rPr>
            </w:pPr>
          </w:p>
        </w:tc>
        <w:tc>
          <w:tcPr>
            <w:tcW w:w="2113" w:type="dxa"/>
          </w:tcPr>
          <w:p w14:paraId="1FA3096C">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c>
          <w:tcPr>
            <w:tcW w:w="2079" w:type="dxa"/>
          </w:tcPr>
          <w:p w14:paraId="50714210">
            <w:pPr>
              <w:keepNext/>
              <w:keepLines/>
              <w:shd w:val="clear"/>
              <w:autoSpaceDE/>
              <w:autoSpaceDN/>
              <w:adjustRightInd/>
              <w:spacing w:before="120" w:after="120" w:line="360" w:lineRule="auto"/>
              <w:ind w:left="-122" w:leftChars="-51"/>
              <w:jc w:val="center"/>
              <w:rPr>
                <w:rFonts w:hint="eastAsia" w:ascii="宋体" w:hAnsi="宋体" w:eastAsia="宋体" w:cs="宋体"/>
                <w:color w:val="auto"/>
                <w:kern w:val="2"/>
                <w:sz w:val="21"/>
                <w:szCs w:val="21"/>
                <w:highlight w:val="none"/>
              </w:rPr>
            </w:pPr>
          </w:p>
        </w:tc>
      </w:tr>
    </w:tbl>
    <w:p w14:paraId="27CA4566">
      <w:pPr>
        <w:shd w:val="clear"/>
        <w:autoSpaceDE/>
        <w:autoSpaceDN/>
        <w:adjustRightInd/>
        <w:spacing w:line="360" w:lineRule="auto"/>
        <w:ind w:left="565" w:leftChars="-59" w:hanging="707" w:hangingChars="337"/>
        <w:jc w:val="both"/>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rPr>
        <w:t>注：1、</w:t>
      </w:r>
      <w:r>
        <w:rPr>
          <w:rFonts w:hint="eastAsia" w:ascii="宋体" w:hAnsi="宋体" w:eastAsia="宋体" w:cs="宋体"/>
          <w:b/>
          <w:color w:val="auto"/>
          <w:kern w:val="2"/>
          <w:sz w:val="21"/>
          <w:szCs w:val="21"/>
          <w:highlight w:val="none"/>
        </w:rPr>
        <w:t>供应商应按照磋商文件用户需求要求，逐条、如实地填写“偏离情况”项</w:t>
      </w:r>
      <w:r>
        <w:rPr>
          <w:rFonts w:hint="eastAsia" w:ascii="宋体" w:hAnsi="宋体" w:eastAsia="宋体" w:cs="宋体"/>
          <w:color w:val="auto"/>
          <w:kern w:val="2"/>
          <w:sz w:val="21"/>
          <w:szCs w:val="21"/>
          <w:highlight w:val="none"/>
        </w:rPr>
        <w:t>。</w:t>
      </w:r>
      <w:r>
        <w:rPr>
          <w:rFonts w:hint="eastAsia" w:ascii="宋体" w:hAnsi="宋体" w:eastAsia="宋体" w:cs="宋体"/>
          <w:b/>
          <w:color w:val="auto"/>
          <w:kern w:val="2"/>
          <w:sz w:val="21"/>
          <w:szCs w:val="21"/>
          <w:highlight w:val="none"/>
        </w:rPr>
        <w:t>“偏离情况”项为正偏离（或负偏离）的，必须在“具体偏离内容”项内详细说明与磋商文件的偏离内容，“偏离情况”项为无偏离的，在“具体偏离内容”项内填“无”。若发现此表未逐条填写或虚假填写本表，按无效磋商响应文件处理。</w:t>
      </w:r>
    </w:p>
    <w:p w14:paraId="256800FA">
      <w:pPr>
        <w:shd w:val="clear"/>
        <w:autoSpaceDE/>
        <w:autoSpaceDN/>
        <w:adjustRightInd/>
        <w:spacing w:line="360" w:lineRule="auto"/>
        <w:ind w:left="561" w:leftChars="115" w:hanging="285" w:hangingChars="135"/>
        <w:jc w:val="both"/>
        <w:rPr>
          <w:rFonts w:hint="eastAsia" w:ascii="宋体" w:hAnsi="宋体" w:eastAsia="宋体" w:cs="宋体"/>
          <w:i/>
          <w:iCs/>
          <w:color w:val="auto"/>
          <w:sz w:val="21"/>
          <w:szCs w:val="21"/>
          <w:highlight w:val="none"/>
        </w:rPr>
      </w:pPr>
      <w:r>
        <w:rPr>
          <w:rFonts w:hint="eastAsia" w:ascii="宋体" w:hAnsi="宋体" w:eastAsia="宋体" w:cs="宋体"/>
          <w:b/>
          <w:color w:val="auto"/>
          <w:kern w:val="2"/>
          <w:sz w:val="21"/>
          <w:szCs w:val="21"/>
          <w:highlight w:val="none"/>
        </w:rPr>
        <w:t>2、由供应商自行补充磋商文件所有“★”号条款内容（如有），标注“★”号条款均为必须完全满足指标，供应商须进行实质性响应，供应商若有一项带“★”的条款未响应或不满足，将按无效磋商处理。</w:t>
      </w:r>
    </w:p>
    <w:p w14:paraId="5D5E1B02">
      <w:pPr>
        <w:shd w:val="clear"/>
        <w:overflowPunct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14:paraId="0F12955F">
      <w:pPr>
        <w:shd w:val="clear"/>
        <w:overflowPunct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供应商法定代表人或受委托人（签名或盖私章）：</w:t>
      </w:r>
    </w:p>
    <w:p w14:paraId="06DE9D96">
      <w:pPr>
        <w:shd w:val="clear"/>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日期：年月日</w:t>
      </w:r>
    </w:p>
    <w:p w14:paraId="6E0BBCFA">
      <w:pPr>
        <w:rPr>
          <w:rFonts w:hint="eastAsia" w:ascii="宋体" w:hAnsi="宋体" w:eastAsia="宋体" w:cs="宋体"/>
          <w:color w:val="auto"/>
          <w:sz w:val="28"/>
          <w:szCs w:val="28"/>
          <w:highlight w:val="none"/>
        </w:rPr>
      </w:pPr>
      <w:bookmarkStart w:id="250" w:name="_Toc1441"/>
      <w:bookmarkStart w:id="251" w:name="_Toc12735"/>
      <w:r>
        <w:rPr>
          <w:rFonts w:hint="eastAsia" w:ascii="宋体" w:hAnsi="宋体" w:eastAsia="宋体" w:cs="宋体"/>
          <w:bCs/>
          <w:color w:val="auto"/>
          <w:sz w:val="28"/>
          <w:szCs w:val="28"/>
          <w:highlight w:val="none"/>
        </w:rPr>
        <w:br w:type="page"/>
      </w:r>
    </w:p>
    <w:p w14:paraId="082B28B8">
      <w:pPr>
        <w:pStyle w:val="5"/>
        <w:numPr>
          <w:ilvl w:val="0"/>
          <w:numId w:val="16"/>
        </w:numPr>
        <w:shd w:val="clear"/>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供应商所获资质或奖项证书一览表</w:t>
      </w:r>
      <w:bookmarkEnd w:id="248"/>
      <w:bookmarkEnd w:id="249"/>
      <w:bookmarkEnd w:id="250"/>
      <w:bookmarkEnd w:id="251"/>
    </w:p>
    <w:p w14:paraId="7B3ADE3B">
      <w:pPr>
        <w:pStyle w:val="3"/>
        <w:shd w:val="clear"/>
        <w:tabs>
          <w:tab w:val="left" w:pos="8280"/>
        </w:tabs>
        <w:spacing w:line="480" w:lineRule="exact"/>
        <w:ind w:firstLine="482"/>
        <w:rPr>
          <w:rFonts w:hint="eastAsia" w:ascii="宋体" w:hAnsi="宋体" w:eastAsia="宋体" w:cs="宋体"/>
          <w:b/>
          <w:color w:val="auto"/>
          <w:sz w:val="24"/>
          <w:szCs w:val="21"/>
          <w:highlight w:val="none"/>
        </w:rPr>
      </w:pPr>
    </w:p>
    <w:tbl>
      <w:tblPr>
        <w:tblStyle w:val="54"/>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18"/>
        <w:gridCol w:w="2218"/>
        <w:gridCol w:w="1862"/>
        <w:gridCol w:w="1529"/>
      </w:tblGrid>
      <w:tr w14:paraId="4D2B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7FEDA0FD">
            <w:pPr>
              <w:pStyle w:val="3"/>
              <w:shd w:val="clear"/>
              <w:ind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218" w:type="dxa"/>
            <w:vAlign w:val="center"/>
          </w:tcPr>
          <w:p w14:paraId="71DBDA57">
            <w:pPr>
              <w:pStyle w:val="3"/>
              <w:shd w:val="clear"/>
              <w:ind w:firstLine="4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证书名称及等级</w:t>
            </w:r>
          </w:p>
        </w:tc>
        <w:tc>
          <w:tcPr>
            <w:tcW w:w="2218" w:type="dxa"/>
            <w:vAlign w:val="center"/>
          </w:tcPr>
          <w:p w14:paraId="0FDF971A">
            <w:pPr>
              <w:pStyle w:val="3"/>
              <w:shd w:val="clear"/>
              <w:ind w:firstLine="4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证书编号</w:t>
            </w:r>
          </w:p>
        </w:tc>
        <w:tc>
          <w:tcPr>
            <w:tcW w:w="1862" w:type="dxa"/>
            <w:vAlign w:val="center"/>
          </w:tcPr>
          <w:p w14:paraId="25F61017">
            <w:pPr>
              <w:pStyle w:val="3"/>
              <w:shd w:val="clear"/>
              <w:ind w:firstLine="4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1529" w:type="dxa"/>
            <w:vAlign w:val="center"/>
          </w:tcPr>
          <w:p w14:paraId="50D20199">
            <w:pPr>
              <w:pStyle w:val="3"/>
              <w:shd w:val="clear"/>
              <w:ind w:firstLine="4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535B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7D36F3C7">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146B64FF">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21666DED">
            <w:pPr>
              <w:pStyle w:val="3"/>
              <w:shd w:val="clear"/>
              <w:ind w:firstLine="422"/>
              <w:jc w:val="center"/>
              <w:rPr>
                <w:rFonts w:hint="eastAsia" w:ascii="宋体" w:hAnsi="宋体" w:eastAsia="宋体" w:cs="宋体"/>
                <w:b/>
                <w:bCs/>
                <w:color w:val="auto"/>
                <w:sz w:val="21"/>
                <w:szCs w:val="21"/>
                <w:highlight w:val="none"/>
              </w:rPr>
            </w:pPr>
          </w:p>
        </w:tc>
        <w:tc>
          <w:tcPr>
            <w:tcW w:w="1862" w:type="dxa"/>
            <w:vAlign w:val="center"/>
          </w:tcPr>
          <w:p w14:paraId="045A8B03">
            <w:pPr>
              <w:pStyle w:val="3"/>
              <w:shd w:val="clear"/>
              <w:ind w:firstLine="422"/>
              <w:jc w:val="center"/>
              <w:rPr>
                <w:rFonts w:hint="eastAsia" w:ascii="宋体" w:hAnsi="宋体" w:eastAsia="宋体" w:cs="宋体"/>
                <w:b/>
                <w:bCs/>
                <w:color w:val="auto"/>
                <w:sz w:val="21"/>
                <w:szCs w:val="21"/>
                <w:highlight w:val="none"/>
              </w:rPr>
            </w:pPr>
          </w:p>
        </w:tc>
        <w:tc>
          <w:tcPr>
            <w:tcW w:w="1529" w:type="dxa"/>
            <w:vAlign w:val="center"/>
          </w:tcPr>
          <w:p w14:paraId="6037E1B4">
            <w:pPr>
              <w:pStyle w:val="3"/>
              <w:shd w:val="clear"/>
              <w:ind w:firstLine="422"/>
              <w:jc w:val="center"/>
              <w:rPr>
                <w:rFonts w:hint="eastAsia" w:ascii="宋体" w:hAnsi="宋体" w:eastAsia="宋体" w:cs="宋体"/>
                <w:b/>
                <w:bCs/>
                <w:color w:val="auto"/>
                <w:sz w:val="21"/>
                <w:szCs w:val="21"/>
                <w:highlight w:val="none"/>
              </w:rPr>
            </w:pPr>
          </w:p>
        </w:tc>
      </w:tr>
      <w:tr w14:paraId="3C1C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263EACA5">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703F1105">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645DD75D">
            <w:pPr>
              <w:pStyle w:val="3"/>
              <w:shd w:val="clear"/>
              <w:ind w:firstLine="422"/>
              <w:jc w:val="center"/>
              <w:rPr>
                <w:rFonts w:hint="eastAsia" w:ascii="宋体" w:hAnsi="宋体" w:eastAsia="宋体" w:cs="宋体"/>
                <w:b/>
                <w:bCs/>
                <w:color w:val="auto"/>
                <w:sz w:val="21"/>
                <w:szCs w:val="21"/>
                <w:highlight w:val="none"/>
              </w:rPr>
            </w:pPr>
          </w:p>
        </w:tc>
        <w:tc>
          <w:tcPr>
            <w:tcW w:w="1862" w:type="dxa"/>
            <w:vAlign w:val="center"/>
          </w:tcPr>
          <w:p w14:paraId="6178612C">
            <w:pPr>
              <w:pStyle w:val="3"/>
              <w:shd w:val="clear"/>
              <w:ind w:firstLine="422"/>
              <w:jc w:val="center"/>
              <w:rPr>
                <w:rFonts w:hint="eastAsia" w:ascii="宋体" w:hAnsi="宋体" w:eastAsia="宋体" w:cs="宋体"/>
                <w:b/>
                <w:bCs/>
                <w:color w:val="auto"/>
                <w:sz w:val="21"/>
                <w:szCs w:val="21"/>
                <w:highlight w:val="none"/>
              </w:rPr>
            </w:pPr>
          </w:p>
        </w:tc>
        <w:tc>
          <w:tcPr>
            <w:tcW w:w="1529" w:type="dxa"/>
            <w:vAlign w:val="center"/>
          </w:tcPr>
          <w:p w14:paraId="323B1F3C">
            <w:pPr>
              <w:pStyle w:val="3"/>
              <w:shd w:val="clear"/>
              <w:ind w:firstLine="422"/>
              <w:jc w:val="center"/>
              <w:rPr>
                <w:rFonts w:hint="eastAsia" w:ascii="宋体" w:hAnsi="宋体" w:eastAsia="宋体" w:cs="宋体"/>
                <w:b/>
                <w:bCs/>
                <w:color w:val="auto"/>
                <w:sz w:val="21"/>
                <w:szCs w:val="21"/>
                <w:highlight w:val="none"/>
              </w:rPr>
            </w:pPr>
          </w:p>
        </w:tc>
      </w:tr>
      <w:tr w14:paraId="1505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080D5A49">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7271DED8">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24FADCE9">
            <w:pPr>
              <w:pStyle w:val="3"/>
              <w:shd w:val="clear"/>
              <w:ind w:firstLine="422"/>
              <w:jc w:val="center"/>
              <w:rPr>
                <w:rFonts w:hint="eastAsia" w:ascii="宋体" w:hAnsi="宋体" w:eastAsia="宋体" w:cs="宋体"/>
                <w:b/>
                <w:bCs/>
                <w:color w:val="auto"/>
                <w:sz w:val="21"/>
                <w:szCs w:val="21"/>
                <w:highlight w:val="none"/>
              </w:rPr>
            </w:pPr>
          </w:p>
        </w:tc>
        <w:tc>
          <w:tcPr>
            <w:tcW w:w="1862" w:type="dxa"/>
            <w:vAlign w:val="center"/>
          </w:tcPr>
          <w:p w14:paraId="60E66458">
            <w:pPr>
              <w:pStyle w:val="3"/>
              <w:shd w:val="clear"/>
              <w:ind w:firstLine="422"/>
              <w:jc w:val="center"/>
              <w:rPr>
                <w:rFonts w:hint="eastAsia" w:ascii="宋体" w:hAnsi="宋体" w:eastAsia="宋体" w:cs="宋体"/>
                <w:b/>
                <w:bCs/>
                <w:color w:val="auto"/>
                <w:sz w:val="21"/>
                <w:szCs w:val="21"/>
                <w:highlight w:val="none"/>
              </w:rPr>
            </w:pPr>
          </w:p>
        </w:tc>
        <w:tc>
          <w:tcPr>
            <w:tcW w:w="1529" w:type="dxa"/>
            <w:vAlign w:val="center"/>
          </w:tcPr>
          <w:p w14:paraId="6A7D92C1">
            <w:pPr>
              <w:pStyle w:val="3"/>
              <w:shd w:val="clear"/>
              <w:ind w:firstLine="422"/>
              <w:jc w:val="center"/>
              <w:rPr>
                <w:rFonts w:hint="eastAsia" w:ascii="宋体" w:hAnsi="宋体" w:eastAsia="宋体" w:cs="宋体"/>
                <w:b/>
                <w:bCs/>
                <w:color w:val="auto"/>
                <w:sz w:val="21"/>
                <w:szCs w:val="21"/>
                <w:highlight w:val="none"/>
              </w:rPr>
            </w:pPr>
          </w:p>
        </w:tc>
      </w:tr>
      <w:tr w14:paraId="1CD8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7A79447C">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0DAAD881">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39ABCB7C">
            <w:pPr>
              <w:pStyle w:val="3"/>
              <w:shd w:val="clear"/>
              <w:ind w:firstLine="422"/>
              <w:jc w:val="center"/>
              <w:rPr>
                <w:rFonts w:hint="eastAsia" w:ascii="宋体" w:hAnsi="宋体" w:eastAsia="宋体" w:cs="宋体"/>
                <w:b/>
                <w:bCs/>
                <w:color w:val="auto"/>
                <w:sz w:val="21"/>
                <w:szCs w:val="21"/>
                <w:highlight w:val="none"/>
              </w:rPr>
            </w:pPr>
          </w:p>
        </w:tc>
        <w:tc>
          <w:tcPr>
            <w:tcW w:w="1862" w:type="dxa"/>
            <w:vAlign w:val="center"/>
          </w:tcPr>
          <w:p w14:paraId="678CE16F">
            <w:pPr>
              <w:pStyle w:val="3"/>
              <w:shd w:val="clear"/>
              <w:ind w:firstLine="422"/>
              <w:jc w:val="center"/>
              <w:rPr>
                <w:rFonts w:hint="eastAsia" w:ascii="宋体" w:hAnsi="宋体" w:eastAsia="宋体" w:cs="宋体"/>
                <w:b/>
                <w:bCs/>
                <w:color w:val="auto"/>
                <w:sz w:val="21"/>
                <w:szCs w:val="21"/>
                <w:highlight w:val="none"/>
              </w:rPr>
            </w:pPr>
          </w:p>
        </w:tc>
        <w:tc>
          <w:tcPr>
            <w:tcW w:w="1529" w:type="dxa"/>
            <w:vAlign w:val="center"/>
          </w:tcPr>
          <w:p w14:paraId="579D48D1">
            <w:pPr>
              <w:pStyle w:val="3"/>
              <w:shd w:val="clear"/>
              <w:ind w:firstLine="422"/>
              <w:jc w:val="center"/>
              <w:rPr>
                <w:rFonts w:hint="eastAsia" w:ascii="宋体" w:hAnsi="宋体" w:eastAsia="宋体" w:cs="宋体"/>
                <w:b/>
                <w:bCs/>
                <w:color w:val="auto"/>
                <w:sz w:val="21"/>
                <w:szCs w:val="21"/>
                <w:highlight w:val="none"/>
              </w:rPr>
            </w:pPr>
          </w:p>
        </w:tc>
      </w:tr>
      <w:tr w14:paraId="3D57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56DB290F">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06E725CF">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7A14A52B">
            <w:pPr>
              <w:pStyle w:val="3"/>
              <w:shd w:val="clear"/>
              <w:ind w:firstLine="422"/>
              <w:jc w:val="center"/>
              <w:rPr>
                <w:rFonts w:hint="eastAsia" w:ascii="宋体" w:hAnsi="宋体" w:eastAsia="宋体" w:cs="宋体"/>
                <w:b/>
                <w:bCs/>
                <w:color w:val="auto"/>
                <w:sz w:val="21"/>
                <w:szCs w:val="21"/>
                <w:highlight w:val="none"/>
              </w:rPr>
            </w:pPr>
          </w:p>
        </w:tc>
        <w:tc>
          <w:tcPr>
            <w:tcW w:w="1862" w:type="dxa"/>
            <w:vAlign w:val="center"/>
          </w:tcPr>
          <w:p w14:paraId="45E8EDF7">
            <w:pPr>
              <w:pStyle w:val="3"/>
              <w:shd w:val="clear"/>
              <w:ind w:firstLine="422"/>
              <w:jc w:val="center"/>
              <w:rPr>
                <w:rFonts w:hint="eastAsia" w:ascii="宋体" w:hAnsi="宋体" w:eastAsia="宋体" w:cs="宋体"/>
                <w:b/>
                <w:bCs/>
                <w:color w:val="auto"/>
                <w:sz w:val="21"/>
                <w:szCs w:val="21"/>
                <w:highlight w:val="none"/>
              </w:rPr>
            </w:pPr>
          </w:p>
        </w:tc>
        <w:tc>
          <w:tcPr>
            <w:tcW w:w="1529" w:type="dxa"/>
            <w:vAlign w:val="center"/>
          </w:tcPr>
          <w:p w14:paraId="72F3737C">
            <w:pPr>
              <w:pStyle w:val="3"/>
              <w:shd w:val="clear"/>
              <w:ind w:firstLine="422"/>
              <w:jc w:val="center"/>
              <w:rPr>
                <w:rFonts w:hint="eastAsia" w:ascii="宋体" w:hAnsi="宋体" w:eastAsia="宋体" w:cs="宋体"/>
                <w:b/>
                <w:bCs/>
                <w:color w:val="auto"/>
                <w:sz w:val="21"/>
                <w:szCs w:val="21"/>
                <w:highlight w:val="none"/>
              </w:rPr>
            </w:pPr>
          </w:p>
        </w:tc>
      </w:tr>
      <w:tr w14:paraId="51FB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2AEE6CAD">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3A16A5CC">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6AB04631">
            <w:pPr>
              <w:pStyle w:val="3"/>
              <w:shd w:val="clear"/>
              <w:ind w:firstLine="422"/>
              <w:jc w:val="center"/>
              <w:rPr>
                <w:rFonts w:hint="eastAsia" w:ascii="宋体" w:hAnsi="宋体" w:eastAsia="宋体" w:cs="宋体"/>
                <w:b/>
                <w:bCs/>
                <w:color w:val="auto"/>
                <w:sz w:val="21"/>
                <w:szCs w:val="21"/>
                <w:highlight w:val="none"/>
              </w:rPr>
            </w:pPr>
          </w:p>
        </w:tc>
        <w:tc>
          <w:tcPr>
            <w:tcW w:w="1862" w:type="dxa"/>
            <w:vAlign w:val="center"/>
          </w:tcPr>
          <w:p w14:paraId="5D42F228">
            <w:pPr>
              <w:pStyle w:val="3"/>
              <w:shd w:val="clear"/>
              <w:ind w:firstLine="422"/>
              <w:jc w:val="center"/>
              <w:rPr>
                <w:rFonts w:hint="eastAsia" w:ascii="宋体" w:hAnsi="宋体" w:eastAsia="宋体" w:cs="宋体"/>
                <w:b/>
                <w:bCs/>
                <w:color w:val="auto"/>
                <w:sz w:val="21"/>
                <w:szCs w:val="21"/>
                <w:highlight w:val="none"/>
              </w:rPr>
            </w:pPr>
          </w:p>
        </w:tc>
        <w:tc>
          <w:tcPr>
            <w:tcW w:w="1529" w:type="dxa"/>
            <w:vAlign w:val="center"/>
          </w:tcPr>
          <w:p w14:paraId="0FA73524">
            <w:pPr>
              <w:pStyle w:val="3"/>
              <w:shd w:val="clear"/>
              <w:ind w:firstLine="422"/>
              <w:jc w:val="center"/>
              <w:rPr>
                <w:rFonts w:hint="eastAsia" w:ascii="宋体" w:hAnsi="宋体" w:eastAsia="宋体" w:cs="宋体"/>
                <w:b/>
                <w:bCs/>
                <w:color w:val="auto"/>
                <w:sz w:val="21"/>
                <w:szCs w:val="21"/>
                <w:highlight w:val="none"/>
              </w:rPr>
            </w:pPr>
          </w:p>
        </w:tc>
      </w:tr>
      <w:tr w14:paraId="09DF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487E5ACF">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7DC03274">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2861DD6F">
            <w:pPr>
              <w:pStyle w:val="3"/>
              <w:shd w:val="clear"/>
              <w:ind w:firstLine="422"/>
              <w:jc w:val="center"/>
              <w:rPr>
                <w:rFonts w:hint="eastAsia" w:ascii="宋体" w:hAnsi="宋体" w:eastAsia="宋体" w:cs="宋体"/>
                <w:b/>
                <w:bCs/>
                <w:color w:val="auto"/>
                <w:sz w:val="21"/>
                <w:szCs w:val="21"/>
                <w:highlight w:val="none"/>
              </w:rPr>
            </w:pPr>
          </w:p>
        </w:tc>
        <w:tc>
          <w:tcPr>
            <w:tcW w:w="1862" w:type="dxa"/>
            <w:vAlign w:val="center"/>
          </w:tcPr>
          <w:p w14:paraId="6FBCBA63">
            <w:pPr>
              <w:pStyle w:val="3"/>
              <w:shd w:val="clear"/>
              <w:ind w:firstLine="422"/>
              <w:jc w:val="center"/>
              <w:rPr>
                <w:rFonts w:hint="eastAsia" w:ascii="宋体" w:hAnsi="宋体" w:eastAsia="宋体" w:cs="宋体"/>
                <w:b/>
                <w:bCs/>
                <w:color w:val="auto"/>
                <w:sz w:val="21"/>
                <w:szCs w:val="21"/>
                <w:highlight w:val="none"/>
              </w:rPr>
            </w:pPr>
          </w:p>
        </w:tc>
        <w:tc>
          <w:tcPr>
            <w:tcW w:w="1529" w:type="dxa"/>
            <w:vAlign w:val="center"/>
          </w:tcPr>
          <w:p w14:paraId="7EFF7ECB">
            <w:pPr>
              <w:pStyle w:val="3"/>
              <w:shd w:val="clear"/>
              <w:ind w:firstLine="422"/>
              <w:jc w:val="center"/>
              <w:rPr>
                <w:rFonts w:hint="eastAsia" w:ascii="宋体" w:hAnsi="宋体" w:eastAsia="宋体" w:cs="宋体"/>
                <w:b/>
                <w:bCs/>
                <w:color w:val="auto"/>
                <w:sz w:val="21"/>
                <w:szCs w:val="21"/>
                <w:highlight w:val="none"/>
              </w:rPr>
            </w:pPr>
          </w:p>
        </w:tc>
      </w:tr>
      <w:tr w14:paraId="53B6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1885A53F">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57DA6582">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1043A20A">
            <w:pPr>
              <w:pStyle w:val="3"/>
              <w:shd w:val="clear"/>
              <w:ind w:firstLine="422"/>
              <w:jc w:val="center"/>
              <w:rPr>
                <w:rFonts w:hint="eastAsia" w:ascii="宋体" w:hAnsi="宋体" w:eastAsia="宋体" w:cs="宋体"/>
                <w:b/>
                <w:bCs/>
                <w:color w:val="auto"/>
                <w:sz w:val="21"/>
                <w:szCs w:val="21"/>
                <w:highlight w:val="none"/>
              </w:rPr>
            </w:pPr>
          </w:p>
        </w:tc>
        <w:tc>
          <w:tcPr>
            <w:tcW w:w="1862" w:type="dxa"/>
            <w:vAlign w:val="center"/>
          </w:tcPr>
          <w:p w14:paraId="554FDEA7">
            <w:pPr>
              <w:pStyle w:val="3"/>
              <w:shd w:val="clear"/>
              <w:ind w:firstLine="422"/>
              <w:jc w:val="center"/>
              <w:rPr>
                <w:rFonts w:hint="eastAsia" w:ascii="宋体" w:hAnsi="宋体" w:eastAsia="宋体" w:cs="宋体"/>
                <w:b/>
                <w:bCs/>
                <w:color w:val="auto"/>
                <w:sz w:val="21"/>
                <w:szCs w:val="21"/>
                <w:highlight w:val="none"/>
              </w:rPr>
            </w:pPr>
          </w:p>
        </w:tc>
        <w:tc>
          <w:tcPr>
            <w:tcW w:w="1529" w:type="dxa"/>
            <w:vAlign w:val="center"/>
          </w:tcPr>
          <w:p w14:paraId="0D23440A">
            <w:pPr>
              <w:pStyle w:val="3"/>
              <w:shd w:val="clear"/>
              <w:ind w:firstLine="422"/>
              <w:jc w:val="center"/>
              <w:rPr>
                <w:rFonts w:hint="eastAsia" w:ascii="宋体" w:hAnsi="宋体" w:eastAsia="宋体" w:cs="宋体"/>
                <w:b/>
                <w:bCs/>
                <w:color w:val="auto"/>
                <w:sz w:val="21"/>
                <w:szCs w:val="21"/>
                <w:highlight w:val="none"/>
              </w:rPr>
            </w:pPr>
          </w:p>
        </w:tc>
      </w:tr>
      <w:tr w14:paraId="0267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27B0A320">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1EE9A3EB">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18BEF0B7">
            <w:pPr>
              <w:pStyle w:val="3"/>
              <w:shd w:val="clear"/>
              <w:ind w:firstLine="422"/>
              <w:jc w:val="center"/>
              <w:rPr>
                <w:rFonts w:hint="eastAsia" w:ascii="宋体" w:hAnsi="宋体" w:eastAsia="宋体" w:cs="宋体"/>
                <w:b/>
                <w:bCs/>
                <w:color w:val="auto"/>
                <w:sz w:val="21"/>
                <w:szCs w:val="21"/>
                <w:highlight w:val="none"/>
              </w:rPr>
            </w:pPr>
          </w:p>
        </w:tc>
        <w:tc>
          <w:tcPr>
            <w:tcW w:w="1862" w:type="dxa"/>
            <w:vAlign w:val="center"/>
          </w:tcPr>
          <w:p w14:paraId="5A537739">
            <w:pPr>
              <w:pStyle w:val="3"/>
              <w:shd w:val="clear"/>
              <w:ind w:firstLine="422"/>
              <w:jc w:val="center"/>
              <w:rPr>
                <w:rFonts w:hint="eastAsia" w:ascii="宋体" w:hAnsi="宋体" w:eastAsia="宋体" w:cs="宋体"/>
                <w:b/>
                <w:bCs/>
                <w:color w:val="auto"/>
                <w:sz w:val="21"/>
                <w:szCs w:val="21"/>
                <w:highlight w:val="none"/>
              </w:rPr>
            </w:pPr>
          </w:p>
        </w:tc>
        <w:tc>
          <w:tcPr>
            <w:tcW w:w="1529" w:type="dxa"/>
            <w:vAlign w:val="center"/>
          </w:tcPr>
          <w:p w14:paraId="5DE6F2DA">
            <w:pPr>
              <w:pStyle w:val="3"/>
              <w:shd w:val="clear"/>
              <w:ind w:firstLine="422"/>
              <w:jc w:val="center"/>
              <w:rPr>
                <w:rFonts w:hint="eastAsia" w:ascii="宋体" w:hAnsi="宋体" w:eastAsia="宋体" w:cs="宋体"/>
                <w:b/>
                <w:bCs/>
                <w:color w:val="auto"/>
                <w:sz w:val="21"/>
                <w:szCs w:val="21"/>
                <w:highlight w:val="none"/>
              </w:rPr>
            </w:pPr>
          </w:p>
        </w:tc>
      </w:tr>
      <w:tr w14:paraId="37F0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4D63ECB5">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57848ED7">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3FD083F0">
            <w:pPr>
              <w:pStyle w:val="3"/>
              <w:shd w:val="clear"/>
              <w:ind w:firstLine="422"/>
              <w:jc w:val="center"/>
              <w:rPr>
                <w:rFonts w:hint="eastAsia" w:ascii="宋体" w:hAnsi="宋体" w:eastAsia="宋体" w:cs="宋体"/>
                <w:b/>
                <w:bCs/>
                <w:color w:val="auto"/>
                <w:sz w:val="21"/>
                <w:szCs w:val="21"/>
                <w:highlight w:val="none"/>
              </w:rPr>
            </w:pPr>
          </w:p>
        </w:tc>
        <w:tc>
          <w:tcPr>
            <w:tcW w:w="1862" w:type="dxa"/>
            <w:vAlign w:val="center"/>
          </w:tcPr>
          <w:p w14:paraId="19284DB4">
            <w:pPr>
              <w:pStyle w:val="3"/>
              <w:shd w:val="clear"/>
              <w:ind w:firstLine="422"/>
              <w:jc w:val="center"/>
              <w:rPr>
                <w:rFonts w:hint="eastAsia" w:ascii="宋体" w:hAnsi="宋体" w:eastAsia="宋体" w:cs="宋体"/>
                <w:b/>
                <w:bCs/>
                <w:color w:val="auto"/>
                <w:sz w:val="21"/>
                <w:szCs w:val="21"/>
                <w:highlight w:val="none"/>
              </w:rPr>
            </w:pPr>
          </w:p>
        </w:tc>
        <w:tc>
          <w:tcPr>
            <w:tcW w:w="1529" w:type="dxa"/>
            <w:vAlign w:val="center"/>
          </w:tcPr>
          <w:p w14:paraId="0C11D2B2">
            <w:pPr>
              <w:pStyle w:val="3"/>
              <w:shd w:val="clear"/>
              <w:ind w:firstLine="422"/>
              <w:jc w:val="center"/>
              <w:rPr>
                <w:rFonts w:hint="eastAsia" w:ascii="宋体" w:hAnsi="宋体" w:eastAsia="宋体" w:cs="宋体"/>
                <w:b/>
                <w:bCs/>
                <w:color w:val="auto"/>
                <w:sz w:val="21"/>
                <w:szCs w:val="21"/>
                <w:highlight w:val="none"/>
              </w:rPr>
            </w:pPr>
          </w:p>
        </w:tc>
      </w:tr>
      <w:tr w14:paraId="381E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16966A01">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30A84D06">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01D677C7">
            <w:pPr>
              <w:pStyle w:val="3"/>
              <w:shd w:val="clear"/>
              <w:ind w:firstLine="422"/>
              <w:jc w:val="center"/>
              <w:rPr>
                <w:rFonts w:hint="eastAsia" w:ascii="宋体" w:hAnsi="宋体" w:eastAsia="宋体" w:cs="宋体"/>
                <w:b/>
                <w:bCs/>
                <w:color w:val="auto"/>
                <w:sz w:val="21"/>
                <w:szCs w:val="21"/>
                <w:highlight w:val="none"/>
              </w:rPr>
            </w:pPr>
          </w:p>
        </w:tc>
        <w:tc>
          <w:tcPr>
            <w:tcW w:w="1862" w:type="dxa"/>
            <w:vAlign w:val="center"/>
          </w:tcPr>
          <w:p w14:paraId="556F44F2">
            <w:pPr>
              <w:pStyle w:val="3"/>
              <w:shd w:val="clear"/>
              <w:ind w:firstLine="422"/>
              <w:jc w:val="center"/>
              <w:rPr>
                <w:rFonts w:hint="eastAsia" w:ascii="宋体" w:hAnsi="宋体" w:eastAsia="宋体" w:cs="宋体"/>
                <w:b/>
                <w:bCs/>
                <w:color w:val="auto"/>
                <w:sz w:val="21"/>
                <w:szCs w:val="21"/>
                <w:highlight w:val="none"/>
              </w:rPr>
            </w:pPr>
          </w:p>
        </w:tc>
        <w:tc>
          <w:tcPr>
            <w:tcW w:w="1529" w:type="dxa"/>
            <w:vAlign w:val="center"/>
          </w:tcPr>
          <w:p w14:paraId="43DDCDE2">
            <w:pPr>
              <w:pStyle w:val="3"/>
              <w:shd w:val="clear"/>
              <w:ind w:firstLine="422"/>
              <w:jc w:val="center"/>
              <w:rPr>
                <w:rFonts w:hint="eastAsia" w:ascii="宋体" w:hAnsi="宋体" w:eastAsia="宋体" w:cs="宋体"/>
                <w:b/>
                <w:bCs/>
                <w:color w:val="auto"/>
                <w:sz w:val="21"/>
                <w:szCs w:val="21"/>
                <w:highlight w:val="none"/>
              </w:rPr>
            </w:pPr>
          </w:p>
        </w:tc>
      </w:tr>
      <w:tr w14:paraId="0DE8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32AF7F5B">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60DC5625">
            <w:pPr>
              <w:pStyle w:val="3"/>
              <w:shd w:val="clear"/>
              <w:ind w:firstLine="422"/>
              <w:jc w:val="center"/>
              <w:rPr>
                <w:rFonts w:hint="eastAsia" w:ascii="宋体" w:hAnsi="宋体" w:eastAsia="宋体" w:cs="宋体"/>
                <w:b/>
                <w:bCs/>
                <w:color w:val="auto"/>
                <w:sz w:val="21"/>
                <w:szCs w:val="21"/>
                <w:highlight w:val="none"/>
              </w:rPr>
            </w:pPr>
          </w:p>
        </w:tc>
        <w:tc>
          <w:tcPr>
            <w:tcW w:w="2218" w:type="dxa"/>
            <w:vAlign w:val="center"/>
          </w:tcPr>
          <w:p w14:paraId="300C4A17">
            <w:pPr>
              <w:pStyle w:val="3"/>
              <w:shd w:val="clear"/>
              <w:ind w:firstLine="422"/>
              <w:jc w:val="center"/>
              <w:rPr>
                <w:rFonts w:hint="eastAsia" w:ascii="宋体" w:hAnsi="宋体" w:eastAsia="宋体" w:cs="宋体"/>
                <w:b/>
                <w:bCs/>
                <w:color w:val="auto"/>
                <w:sz w:val="21"/>
                <w:szCs w:val="21"/>
                <w:highlight w:val="none"/>
              </w:rPr>
            </w:pPr>
          </w:p>
        </w:tc>
        <w:tc>
          <w:tcPr>
            <w:tcW w:w="1862" w:type="dxa"/>
            <w:vAlign w:val="center"/>
          </w:tcPr>
          <w:p w14:paraId="2966312B">
            <w:pPr>
              <w:pStyle w:val="3"/>
              <w:shd w:val="clear"/>
              <w:ind w:firstLine="422"/>
              <w:jc w:val="center"/>
              <w:rPr>
                <w:rFonts w:hint="eastAsia" w:ascii="宋体" w:hAnsi="宋体" w:eastAsia="宋体" w:cs="宋体"/>
                <w:b/>
                <w:bCs/>
                <w:color w:val="auto"/>
                <w:sz w:val="21"/>
                <w:szCs w:val="21"/>
                <w:highlight w:val="none"/>
              </w:rPr>
            </w:pPr>
          </w:p>
        </w:tc>
        <w:tc>
          <w:tcPr>
            <w:tcW w:w="1529" w:type="dxa"/>
            <w:vAlign w:val="center"/>
          </w:tcPr>
          <w:p w14:paraId="1CD03963">
            <w:pPr>
              <w:pStyle w:val="3"/>
              <w:shd w:val="clear"/>
              <w:ind w:firstLine="422"/>
              <w:jc w:val="center"/>
              <w:rPr>
                <w:rFonts w:hint="eastAsia" w:ascii="宋体" w:hAnsi="宋体" w:eastAsia="宋体" w:cs="宋体"/>
                <w:b/>
                <w:bCs/>
                <w:color w:val="auto"/>
                <w:sz w:val="21"/>
                <w:szCs w:val="21"/>
                <w:highlight w:val="none"/>
              </w:rPr>
            </w:pPr>
          </w:p>
        </w:tc>
      </w:tr>
    </w:tbl>
    <w:p w14:paraId="3DE1D153">
      <w:pPr>
        <w:shd w:val="clear"/>
        <w:overflowPunct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14:paraId="6F45B075">
      <w:pPr>
        <w:shd w:val="clear"/>
        <w:overflowPunct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供应商法定代表人或受委托人（签名或盖私章）：</w:t>
      </w:r>
    </w:p>
    <w:p w14:paraId="406FBDC1">
      <w:pPr>
        <w:shd w:val="clear"/>
        <w:overflowPunct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日期：年月日 </w:t>
      </w:r>
    </w:p>
    <w:p w14:paraId="0AA97114">
      <w:pPr>
        <w:shd w:val="clear"/>
        <w:spacing w:line="480" w:lineRule="exact"/>
        <w:rPr>
          <w:rFonts w:hint="eastAsia" w:ascii="宋体" w:hAnsi="宋体" w:eastAsia="宋体" w:cs="宋体"/>
          <w:b/>
          <w:color w:val="auto"/>
          <w:szCs w:val="21"/>
          <w:highlight w:val="none"/>
          <w:u w:val="single"/>
        </w:rPr>
      </w:pPr>
    </w:p>
    <w:p w14:paraId="7E949CD0">
      <w:pPr>
        <w:shd w:val="clear"/>
        <w:spacing w:line="480" w:lineRule="exact"/>
        <w:rPr>
          <w:rFonts w:hint="eastAsia" w:ascii="宋体" w:hAnsi="宋体" w:eastAsia="宋体" w:cs="宋体"/>
          <w:b/>
          <w:bCs/>
          <w:color w:val="auto"/>
          <w:szCs w:val="21"/>
          <w:highlight w:val="none"/>
        </w:rPr>
      </w:pPr>
    </w:p>
    <w:p w14:paraId="621932B4">
      <w:pPr>
        <w:shd w:val="clear"/>
        <w:spacing w:line="480" w:lineRule="exact"/>
        <w:rPr>
          <w:rFonts w:hint="eastAsia" w:ascii="宋体" w:hAnsi="宋体" w:eastAsia="宋体" w:cs="宋体"/>
          <w:b/>
          <w:bCs/>
          <w:color w:val="auto"/>
          <w:szCs w:val="21"/>
          <w:highlight w:val="none"/>
        </w:rPr>
      </w:pPr>
    </w:p>
    <w:p w14:paraId="3BBAC388">
      <w:pPr>
        <w:shd w:val="clear"/>
        <w:rPr>
          <w:rFonts w:hint="eastAsia" w:ascii="宋体" w:hAnsi="宋体" w:eastAsia="宋体" w:cs="宋体"/>
          <w:color w:val="auto"/>
          <w:highlight w:val="none"/>
        </w:rPr>
      </w:pPr>
    </w:p>
    <w:p w14:paraId="22B69B39">
      <w:pPr>
        <w:pStyle w:val="5"/>
        <w:numPr>
          <w:ilvl w:val="0"/>
          <w:numId w:val="16"/>
        </w:numPr>
        <w:shd w:val="clear"/>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bookmarkStart w:id="252" w:name="_Toc23874"/>
      <w:bookmarkStart w:id="253" w:name="_Toc4539"/>
      <w:bookmarkStart w:id="254" w:name="_Toc7897896"/>
      <w:bookmarkStart w:id="255" w:name="_Toc4884"/>
      <w:r>
        <w:rPr>
          <w:rFonts w:hint="eastAsia" w:ascii="宋体" w:hAnsi="宋体" w:eastAsia="宋体" w:cs="宋体"/>
          <w:bCs/>
          <w:color w:val="auto"/>
          <w:sz w:val="28"/>
          <w:szCs w:val="28"/>
          <w:highlight w:val="none"/>
        </w:rPr>
        <w:t>项目业绩一览表</w:t>
      </w:r>
      <w:bookmarkEnd w:id="252"/>
      <w:bookmarkEnd w:id="253"/>
      <w:bookmarkEnd w:id="254"/>
      <w:bookmarkEnd w:id="255"/>
    </w:p>
    <w:p w14:paraId="137B5873">
      <w:pPr>
        <w:pStyle w:val="29"/>
        <w:shd w:val="clear"/>
        <w:spacing w:line="480" w:lineRule="exact"/>
        <w:jc w:val="center"/>
        <w:rPr>
          <w:rFonts w:hint="eastAsia" w:ascii="宋体" w:hAnsi="宋体" w:eastAsia="宋体" w:cs="宋体"/>
          <w:b/>
          <w:color w:val="auto"/>
          <w:sz w:val="22"/>
          <w:szCs w:val="22"/>
          <w:highlight w:val="none"/>
        </w:rPr>
      </w:pPr>
    </w:p>
    <w:tbl>
      <w:tblPr>
        <w:tblStyle w:val="54"/>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225"/>
        <w:gridCol w:w="1365"/>
        <w:gridCol w:w="1721"/>
        <w:gridCol w:w="835"/>
        <w:gridCol w:w="832"/>
      </w:tblGrid>
      <w:tr w14:paraId="58B8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3026E307">
            <w:pPr>
              <w:shd w:val="clea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225" w:type="dxa"/>
            <w:tcBorders>
              <w:top w:val="single" w:color="auto" w:sz="4" w:space="0"/>
              <w:left w:val="single" w:color="auto" w:sz="4" w:space="0"/>
              <w:bottom w:val="single" w:color="auto" w:sz="4" w:space="0"/>
              <w:right w:val="single" w:color="auto" w:sz="4" w:space="0"/>
            </w:tcBorders>
            <w:vAlign w:val="center"/>
          </w:tcPr>
          <w:p w14:paraId="3E23FD56">
            <w:pPr>
              <w:shd w:val="clea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365" w:type="dxa"/>
            <w:tcBorders>
              <w:top w:val="single" w:color="auto" w:sz="4" w:space="0"/>
              <w:left w:val="single" w:color="auto" w:sz="4" w:space="0"/>
              <w:bottom w:val="single" w:color="auto" w:sz="4" w:space="0"/>
              <w:right w:val="single" w:color="auto" w:sz="4" w:space="0"/>
            </w:tcBorders>
            <w:vAlign w:val="center"/>
          </w:tcPr>
          <w:p w14:paraId="4D7B0FB3">
            <w:pPr>
              <w:shd w:val="clea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用户单位</w:t>
            </w:r>
          </w:p>
        </w:tc>
        <w:tc>
          <w:tcPr>
            <w:tcW w:w="1721" w:type="dxa"/>
            <w:tcBorders>
              <w:top w:val="single" w:color="auto" w:sz="4" w:space="0"/>
              <w:left w:val="single" w:color="auto" w:sz="4" w:space="0"/>
              <w:bottom w:val="single" w:color="auto" w:sz="4" w:space="0"/>
              <w:right w:val="single" w:color="auto" w:sz="4" w:space="0"/>
            </w:tcBorders>
            <w:vAlign w:val="center"/>
          </w:tcPr>
          <w:p w14:paraId="013AA8FC">
            <w:pPr>
              <w:shd w:val="clea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项目金额</w:t>
            </w:r>
          </w:p>
        </w:tc>
        <w:tc>
          <w:tcPr>
            <w:tcW w:w="835" w:type="dxa"/>
            <w:tcBorders>
              <w:top w:val="single" w:color="auto" w:sz="4" w:space="0"/>
              <w:left w:val="single" w:color="auto" w:sz="4" w:space="0"/>
              <w:bottom w:val="single" w:color="auto" w:sz="4" w:space="0"/>
              <w:right w:val="single" w:color="auto" w:sz="4" w:space="0"/>
            </w:tcBorders>
            <w:vAlign w:val="center"/>
          </w:tcPr>
          <w:p w14:paraId="7365E041">
            <w:pPr>
              <w:shd w:val="clea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执行时间</w:t>
            </w:r>
          </w:p>
        </w:tc>
        <w:tc>
          <w:tcPr>
            <w:tcW w:w="832" w:type="dxa"/>
            <w:tcBorders>
              <w:top w:val="single" w:color="auto" w:sz="4" w:space="0"/>
              <w:left w:val="single" w:color="auto" w:sz="4" w:space="0"/>
              <w:bottom w:val="single" w:color="auto" w:sz="4" w:space="0"/>
              <w:right w:val="single" w:color="auto" w:sz="4" w:space="0"/>
            </w:tcBorders>
            <w:vAlign w:val="center"/>
          </w:tcPr>
          <w:p w14:paraId="28C593FF">
            <w:pPr>
              <w:shd w:val="clea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页码</w:t>
            </w:r>
          </w:p>
        </w:tc>
      </w:tr>
      <w:tr w14:paraId="1D1D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14:paraId="0FE38CFC">
            <w:pPr>
              <w:pStyle w:val="29"/>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25" w:type="dxa"/>
            <w:tcBorders>
              <w:top w:val="single" w:color="auto" w:sz="4" w:space="0"/>
              <w:left w:val="single" w:color="auto" w:sz="4" w:space="0"/>
              <w:bottom w:val="single" w:color="auto" w:sz="4" w:space="0"/>
              <w:right w:val="single" w:color="auto" w:sz="4" w:space="0"/>
            </w:tcBorders>
          </w:tcPr>
          <w:p w14:paraId="3DF56473">
            <w:pPr>
              <w:shd w:val="clear"/>
              <w:snapToGrid w:val="0"/>
              <w:spacing w:line="360" w:lineRule="auto"/>
              <w:rPr>
                <w:rFonts w:hint="eastAsia" w:ascii="宋体" w:hAnsi="宋体" w:eastAsia="宋体" w:cs="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14:paraId="338B2D17">
            <w:pPr>
              <w:shd w:val="clear"/>
              <w:snapToGrid w:val="0"/>
              <w:spacing w:line="360" w:lineRule="auto"/>
              <w:rPr>
                <w:rFonts w:hint="eastAsia" w:ascii="宋体" w:hAnsi="宋体" w:eastAsia="宋体" w:cs="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14:paraId="6557485E">
            <w:pPr>
              <w:shd w:val="clear"/>
              <w:snapToGrid w:val="0"/>
              <w:spacing w:line="360" w:lineRule="auto"/>
              <w:rPr>
                <w:rFonts w:hint="eastAsia" w:ascii="宋体" w:hAnsi="宋体" w:eastAsia="宋体" w:cs="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14:paraId="1FD6815C">
            <w:pPr>
              <w:shd w:val="clear"/>
              <w:snapToGrid w:val="0"/>
              <w:spacing w:line="360" w:lineRule="auto"/>
              <w:rPr>
                <w:rFonts w:hint="eastAsia" w:ascii="宋体" w:hAnsi="宋体" w:eastAsia="宋体" w:cs="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14:paraId="73EEDAB4">
            <w:pPr>
              <w:shd w:val="clear"/>
              <w:snapToGrid w:val="0"/>
              <w:spacing w:line="360" w:lineRule="auto"/>
              <w:rPr>
                <w:rFonts w:hint="eastAsia" w:ascii="宋体" w:hAnsi="宋体" w:eastAsia="宋体" w:cs="宋体"/>
                <w:color w:val="auto"/>
                <w:sz w:val="21"/>
                <w:szCs w:val="21"/>
                <w:highlight w:val="none"/>
                <w:u w:val="single"/>
              </w:rPr>
            </w:pPr>
          </w:p>
        </w:tc>
      </w:tr>
      <w:tr w14:paraId="3228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14:paraId="4260A202">
            <w:pPr>
              <w:pStyle w:val="29"/>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25" w:type="dxa"/>
            <w:tcBorders>
              <w:top w:val="single" w:color="auto" w:sz="4" w:space="0"/>
              <w:left w:val="single" w:color="auto" w:sz="4" w:space="0"/>
              <w:bottom w:val="single" w:color="auto" w:sz="4" w:space="0"/>
              <w:right w:val="single" w:color="auto" w:sz="4" w:space="0"/>
            </w:tcBorders>
          </w:tcPr>
          <w:p w14:paraId="10B2522C">
            <w:pPr>
              <w:shd w:val="clear"/>
              <w:snapToGrid w:val="0"/>
              <w:spacing w:line="360" w:lineRule="auto"/>
              <w:rPr>
                <w:rFonts w:hint="eastAsia" w:ascii="宋体" w:hAnsi="宋体" w:eastAsia="宋体" w:cs="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14:paraId="65B33387">
            <w:pPr>
              <w:shd w:val="clear"/>
              <w:snapToGrid w:val="0"/>
              <w:spacing w:line="360" w:lineRule="auto"/>
              <w:rPr>
                <w:rFonts w:hint="eastAsia" w:ascii="宋体" w:hAnsi="宋体" w:eastAsia="宋体" w:cs="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14:paraId="14F3865D">
            <w:pPr>
              <w:shd w:val="clear"/>
              <w:snapToGrid w:val="0"/>
              <w:spacing w:line="360" w:lineRule="auto"/>
              <w:rPr>
                <w:rFonts w:hint="eastAsia" w:ascii="宋体" w:hAnsi="宋体" w:eastAsia="宋体" w:cs="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14:paraId="5392B052">
            <w:pPr>
              <w:shd w:val="clear"/>
              <w:snapToGrid w:val="0"/>
              <w:spacing w:line="360" w:lineRule="auto"/>
              <w:rPr>
                <w:rFonts w:hint="eastAsia" w:ascii="宋体" w:hAnsi="宋体" w:eastAsia="宋体" w:cs="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14:paraId="3A338D21">
            <w:pPr>
              <w:shd w:val="clear"/>
              <w:snapToGrid w:val="0"/>
              <w:spacing w:line="360" w:lineRule="auto"/>
              <w:rPr>
                <w:rFonts w:hint="eastAsia" w:ascii="宋体" w:hAnsi="宋体" w:eastAsia="宋体" w:cs="宋体"/>
                <w:color w:val="auto"/>
                <w:sz w:val="21"/>
                <w:szCs w:val="21"/>
                <w:highlight w:val="none"/>
                <w:u w:val="single"/>
              </w:rPr>
            </w:pPr>
          </w:p>
        </w:tc>
      </w:tr>
      <w:tr w14:paraId="71BF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14:paraId="07C88F8C">
            <w:pPr>
              <w:pStyle w:val="29"/>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25" w:type="dxa"/>
            <w:tcBorders>
              <w:top w:val="single" w:color="auto" w:sz="4" w:space="0"/>
              <w:left w:val="single" w:color="auto" w:sz="4" w:space="0"/>
              <w:bottom w:val="single" w:color="auto" w:sz="4" w:space="0"/>
              <w:right w:val="single" w:color="auto" w:sz="4" w:space="0"/>
            </w:tcBorders>
          </w:tcPr>
          <w:p w14:paraId="12C9FA4D">
            <w:pPr>
              <w:shd w:val="clear"/>
              <w:snapToGrid w:val="0"/>
              <w:spacing w:line="360" w:lineRule="auto"/>
              <w:rPr>
                <w:rFonts w:hint="eastAsia" w:ascii="宋体" w:hAnsi="宋体" w:eastAsia="宋体" w:cs="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14:paraId="16D79E1D">
            <w:pPr>
              <w:shd w:val="clear"/>
              <w:snapToGrid w:val="0"/>
              <w:spacing w:line="360" w:lineRule="auto"/>
              <w:rPr>
                <w:rFonts w:hint="eastAsia" w:ascii="宋体" w:hAnsi="宋体" w:eastAsia="宋体" w:cs="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14:paraId="302CDCF0">
            <w:pPr>
              <w:shd w:val="clear"/>
              <w:snapToGrid w:val="0"/>
              <w:spacing w:line="360" w:lineRule="auto"/>
              <w:rPr>
                <w:rFonts w:hint="eastAsia" w:ascii="宋体" w:hAnsi="宋体" w:eastAsia="宋体" w:cs="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14:paraId="10FCADF4">
            <w:pPr>
              <w:shd w:val="clear"/>
              <w:snapToGrid w:val="0"/>
              <w:spacing w:line="360" w:lineRule="auto"/>
              <w:rPr>
                <w:rFonts w:hint="eastAsia" w:ascii="宋体" w:hAnsi="宋体" w:eastAsia="宋体" w:cs="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14:paraId="3C64096C">
            <w:pPr>
              <w:shd w:val="clear"/>
              <w:snapToGrid w:val="0"/>
              <w:spacing w:line="360" w:lineRule="auto"/>
              <w:rPr>
                <w:rFonts w:hint="eastAsia" w:ascii="宋体" w:hAnsi="宋体" w:eastAsia="宋体" w:cs="宋体"/>
                <w:color w:val="auto"/>
                <w:sz w:val="21"/>
                <w:szCs w:val="21"/>
                <w:highlight w:val="none"/>
                <w:u w:val="single"/>
              </w:rPr>
            </w:pPr>
          </w:p>
        </w:tc>
      </w:tr>
      <w:tr w14:paraId="1EA9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14:paraId="6429448F">
            <w:pPr>
              <w:pStyle w:val="29"/>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25" w:type="dxa"/>
            <w:tcBorders>
              <w:top w:val="single" w:color="auto" w:sz="4" w:space="0"/>
              <w:left w:val="single" w:color="auto" w:sz="4" w:space="0"/>
              <w:bottom w:val="single" w:color="auto" w:sz="4" w:space="0"/>
              <w:right w:val="single" w:color="auto" w:sz="4" w:space="0"/>
            </w:tcBorders>
          </w:tcPr>
          <w:p w14:paraId="56F59B3A">
            <w:pPr>
              <w:shd w:val="clear"/>
              <w:snapToGrid w:val="0"/>
              <w:spacing w:line="360" w:lineRule="auto"/>
              <w:rPr>
                <w:rFonts w:hint="eastAsia" w:ascii="宋体" w:hAnsi="宋体" w:eastAsia="宋体" w:cs="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14:paraId="5D6A5A47">
            <w:pPr>
              <w:shd w:val="clear"/>
              <w:snapToGrid w:val="0"/>
              <w:spacing w:line="360" w:lineRule="auto"/>
              <w:rPr>
                <w:rFonts w:hint="eastAsia" w:ascii="宋体" w:hAnsi="宋体" w:eastAsia="宋体" w:cs="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14:paraId="338FD113">
            <w:pPr>
              <w:shd w:val="clear"/>
              <w:snapToGrid w:val="0"/>
              <w:spacing w:line="360" w:lineRule="auto"/>
              <w:rPr>
                <w:rFonts w:hint="eastAsia" w:ascii="宋体" w:hAnsi="宋体" w:eastAsia="宋体" w:cs="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14:paraId="2F0E063C">
            <w:pPr>
              <w:shd w:val="clear"/>
              <w:snapToGrid w:val="0"/>
              <w:spacing w:line="360" w:lineRule="auto"/>
              <w:rPr>
                <w:rFonts w:hint="eastAsia" w:ascii="宋体" w:hAnsi="宋体" w:eastAsia="宋体" w:cs="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14:paraId="13466651">
            <w:pPr>
              <w:shd w:val="clear"/>
              <w:snapToGrid w:val="0"/>
              <w:spacing w:line="360" w:lineRule="auto"/>
              <w:rPr>
                <w:rFonts w:hint="eastAsia" w:ascii="宋体" w:hAnsi="宋体" w:eastAsia="宋体" w:cs="宋体"/>
                <w:color w:val="auto"/>
                <w:sz w:val="21"/>
                <w:szCs w:val="21"/>
                <w:highlight w:val="none"/>
                <w:u w:val="single"/>
              </w:rPr>
            </w:pPr>
          </w:p>
        </w:tc>
      </w:tr>
      <w:tr w14:paraId="586E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14:paraId="25F9FCC9">
            <w:pPr>
              <w:pStyle w:val="29"/>
              <w:shd w:val="clear"/>
              <w:jc w:val="center"/>
              <w:rPr>
                <w:rFonts w:hint="eastAsia" w:ascii="宋体" w:hAnsi="宋体" w:eastAsia="宋体" w:cs="宋体"/>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tcPr>
          <w:p w14:paraId="362CC4C7">
            <w:pPr>
              <w:shd w:val="clear"/>
              <w:snapToGrid w:val="0"/>
              <w:spacing w:line="360" w:lineRule="auto"/>
              <w:rPr>
                <w:rFonts w:hint="eastAsia" w:ascii="宋体" w:hAnsi="宋体" w:eastAsia="宋体" w:cs="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14:paraId="132C479D">
            <w:pPr>
              <w:shd w:val="clear"/>
              <w:snapToGrid w:val="0"/>
              <w:spacing w:line="360" w:lineRule="auto"/>
              <w:rPr>
                <w:rFonts w:hint="eastAsia" w:ascii="宋体" w:hAnsi="宋体" w:eastAsia="宋体" w:cs="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14:paraId="596C5FE6">
            <w:pPr>
              <w:shd w:val="clear"/>
              <w:snapToGrid w:val="0"/>
              <w:spacing w:line="360" w:lineRule="auto"/>
              <w:rPr>
                <w:rFonts w:hint="eastAsia" w:ascii="宋体" w:hAnsi="宋体" w:eastAsia="宋体" w:cs="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14:paraId="0501DDD6">
            <w:pPr>
              <w:shd w:val="clear"/>
              <w:snapToGrid w:val="0"/>
              <w:spacing w:line="360" w:lineRule="auto"/>
              <w:rPr>
                <w:rFonts w:hint="eastAsia" w:ascii="宋体" w:hAnsi="宋体" w:eastAsia="宋体" w:cs="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14:paraId="0EF4CE10">
            <w:pPr>
              <w:shd w:val="clear"/>
              <w:snapToGrid w:val="0"/>
              <w:spacing w:line="360" w:lineRule="auto"/>
              <w:rPr>
                <w:rFonts w:hint="eastAsia" w:ascii="宋体" w:hAnsi="宋体" w:eastAsia="宋体" w:cs="宋体"/>
                <w:color w:val="auto"/>
                <w:sz w:val="21"/>
                <w:szCs w:val="21"/>
                <w:highlight w:val="none"/>
                <w:u w:val="single"/>
              </w:rPr>
            </w:pPr>
          </w:p>
        </w:tc>
      </w:tr>
      <w:tr w14:paraId="252F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14:paraId="6C251B31">
            <w:pPr>
              <w:pStyle w:val="29"/>
              <w:shd w:val="clear"/>
              <w:jc w:val="center"/>
              <w:rPr>
                <w:rFonts w:hint="eastAsia" w:ascii="宋体" w:hAnsi="宋体" w:eastAsia="宋体" w:cs="宋体"/>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tcPr>
          <w:p w14:paraId="4E1A4616">
            <w:pPr>
              <w:shd w:val="clear"/>
              <w:snapToGrid w:val="0"/>
              <w:spacing w:line="360" w:lineRule="auto"/>
              <w:rPr>
                <w:rFonts w:hint="eastAsia" w:ascii="宋体" w:hAnsi="宋体" w:eastAsia="宋体" w:cs="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14:paraId="7F350000">
            <w:pPr>
              <w:shd w:val="clear"/>
              <w:snapToGrid w:val="0"/>
              <w:spacing w:line="360" w:lineRule="auto"/>
              <w:rPr>
                <w:rFonts w:hint="eastAsia" w:ascii="宋体" w:hAnsi="宋体" w:eastAsia="宋体" w:cs="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14:paraId="2251D2E5">
            <w:pPr>
              <w:shd w:val="clear"/>
              <w:snapToGrid w:val="0"/>
              <w:spacing w:line="360" w:lineRule="auto"/>
              <w:rPr>
                <w:rFonts w:hint="eastAsia" w:ascii="宋体" w:hAnsi="宋体" w:eastAsia="宋体" w:cs="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14:paraId="7181D503">
            <w:pPr>
              <w:shd w:val="clear"/>
              <w:snapToGrid w:val="0"/>
              <w:spacing w:line="360" w:lineRule="auto"/>
              <w:rPr>
                <w:rFonts w:hint="eastAsia" w:ascii="宋体" w:hAnsi="宋体" w:eastAsia="宋体" w:cs="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14:paraId="6C195D2A">
            <w:pPr>
              <w:shd w:val="clear"/>
              <w:snapToGrid w:val="0"/>
              <w:spacing w:line="360" w:lineRule="auto"/>
              <w:rPr>
                <w:rFonts w:hint="eastAsia" w:ascii="宋体" w:hAnsi="宋体" w:eastAsia="宋体" w:cs="宋体"/>
                <w:color w:val="auto"/>
                <w:sz w:val="21"/>
                <w:szCs w:val="21"/>
                <w:highlight w:val="none"/>
                <w:u w:val="single"/>
              </w:rPr>
            </w:pPr>
          </w:p>
        </w:tc>
      </w:tr>
      <w:tr w14:paraId="22AA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14:paraId="1D025063">
            <w:pPr>
              <w:pStyle w:val="29"/>
              <w:shd w:val="clear"/>
              <w:jc w:val="center"/>
              <w:rPr>
                <w:rFonts w:hint="eastAsia" w:ascii="宋体" w:hAnsi="宋体" w:eastAsia="宋体" w:cs="宋体"/>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tcPr>
          <w:p w14:paraId="0891BC9A">
            <w:pPr>
              <w:shd w:val="clear"/>
              <w:snapToGrid w:val="0"/>
              <w:spacing w:line="360" w:lineRule="auto"/>
              <w:rPr>
                <w:rFonts w:hint="eastAsia" w:ascii="宋体" w:hAnsi="宋体" w:eastAsia="宋体" w:cs="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14:paraId="7FDE11B2">
            <w:pPr>
              <w:shd w:val="clear"/>
              <w:snapToGrid w:val="0"/>
              <w:spacing w:line="360" w:lineRule="auto"/>
              <w:rPr>
                <w:rFonts w:hint="eastAsia" w:ascii="宋体" w:hAnsi="宋体" w:eastAsia="宋体" w:cs="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14:paraId="478B5C2E">
            <w:pPr>
              <w:shd w:val="clear"/>
              <w:snapToGrid w:val="0"/>
              <w:spacing w:line="360" w:lineRule="auto"/>
              <w:rPr>
                <w:rFonts w:hint="eastAsia" w:ascii="宋体" w:hAnsi="宋体" w:eastAsia="宋体" w:cs="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14:paraId="1800311D">
            <w:pPr>
              <w:shd w:val="clear"/>
              <w:snapToGrid w:val="0"/>
              <w:spacing w:line="360" w:lineRule="auto"/>
              <w:rPr>
                <w:rFonts w:hint="eastAsia" w:ascii="宋体" w:hAnsi="宋体" w:eastAsia="宋体" w:cs="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14:paraId="499CB868">
            <w:pPr>
              <w:shd w:val="clear"/>
              <w:snapToGrid w:val="0"/>
              <w:spacing w:line="360" w:lineRule="auto"/>
              <w:rPr>
                <w:rFonts w:hint="eastAsia" w:ascii="宋体" w:hAnsi="宋体" w:eastAsia="宋体" w:cs="宋体"/>
                <w:color w:val="auto"/>
                <w:sz w:val="21"/>
                <w:szCs w:val="21"/>
                <w:highlight w:val="none"/>
                <w:u w:val="single"/>
              </w:rPr>
            </w:pPr>
          </w:p>
        </w:tc>
      </w:tr>
      <w:tr w14:paraId="0A96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14:paraId="409179EC">
            <w:pPr>
              <w:pStyle w:val="29"/>
              <w:shd w:val="clear"/>
              <w:jc w:val="center"/>
              <w:rPr>
                <w:rFonts w:hint="eastAsia" w:ascii="宋体" w:hAnsi="宋体" w:eastAsia="宋体" w:cs="宋体"/>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tcPr>
          <w:p w14:paraId="3E9FF65C">
            <w:pPr>
              <w:shd w:val="clear"/>
              <w:snapToGrid w:val="0"/>
              <w:spacing w:line="360" w:lineRule="auto"/>
              <w:rPr>
                <w:rFonts w:hint="eastAsia" w:ascii="宋体" w:hAnsi="宋体" w:eastAsia="宋体" w:cs="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14:paraId="27FF23FF">
            <w:pPr>
              <w:shd w:val="clear"/>
              <w:snapToGrid w:val="0"/>
              <w:spacing w:line="360" w:lineRule="auto"/>
              <w:rPr>
                <w:rFonts w:hint="eastAsia" w:ascii="宋体" w:hAnsi="宋体" w:eastAsia="宋体" w:cs="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14:paraId="74FBFAF5">
            <w:pPr>
              <w:shd w:val="clear"/>
              <w:snapToGrid w:val="0"/>
              <w:spacing w:line="360" w:lineRule="auto"/>
              <w:rPr>
                <w:rFonts w:hint="eastAsia" w:ascii="宋体" w:hAnsi="宋体" w:eastAsia="宋体" w:cs="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14:paraId="3A5E3621">
            <w:pPr>
              <w:shd w:val="clear"/>
              <w:snapToGrid w:val="0"/>
              <w:spacing w:line="360" w:lineRule="auto"/>
              <w:rPr>
                <w:rFonts w:hint="eastAsia" w:ascii="宋体" w:hAnsi="宋体" w:eastAsia="宋体" w:cs="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14:paraId="1BCBE199">
            <w:pPr>
              <w:shd w:val="clear"/>
              <w:snapToGrid w:val="0"/>
              <w:spacing w:line="360" w:lineRule="auto"/>
              <w:rPr>
                <w:rFonts w:hint="eastAsia" w:ascii="宋体" w:hAnsi="宋体" w:eastAsia="宋体" w:cs="宋体"/>
                <w:color w:val="auto"/>
                <w:sz w:val="21"/>
                <w:szCs w:val="21"/>
                <w:highlight w:val="none"/>
                <w:u w:val="single"/>
              </w:rPr>
            </w:pPr>
          </w:p>
        </w:tc>
      </w:tr>
    </w:tbl>
    <w:p w14:paraId="584EA153">
      <w:pPr>
        <w:pStyle w:val="29"/>
        <w:shd w:val="clear"/>
        <w:spacing w:line="480" w:lineRule="exact"/>
        <w:rPr>
          <w:rFonts w:hint="eastAsia" w:ascii="宋体" w:hAnsi="宋体" w:eastAsia="宋体" w:cs="宋体"/>
          <w:color w:val="auto"/>
          <w:sz w:val="22"/>
          <w:szCs w:val="22"/>
          <w:highlight w:val="none"/>
        </w:rPr>
      </w:pPr>
    </w:p>
    <w:p w14:paraId="57070D68">
      <w:pPr>
        <w:pStyle w:val="29"/>
        <w:shd w:val="clea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要求：</w:t>
      </w:r>
    </w:p>
    <w:p w14:paraId="130C8C40">
      <w:pPr>
        <w:pStyle w:val="29"/>
        <w:shd w:val="clear"/>
        <w:spacing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供应商应当如实、完整地填写本表格，内容包括所有同类或近似项目业绩。根据评分标准提供相应的证明材料。在填写过程中请按年份顺序填写。</w:t>
      </w:r>
    </w:p>
    <w:p w14:paraId="69927372">
      <w:pPr>
        <w:pStyle w:val="29"/>
        <w:shd w:val="clear"/>
        <w:spacing w:line="480" w:lineRule="exact"/>
        <w:rPr>
          <w:rFonts w:hint="eastAsia" w:ascii="宋体" w:hAnsi="宋体" w:eastAsia="宋体" w:cs="宋体"/>
          <w:color w:val="auto"/>
          <w:sz w:val="22"/>
          <w:szCs w:val="22"/>
          <w:highlight w:val="none"/>
        </w:rPr>
      </w:pPr>
    </w:p>
    <w:p w14:paraId="6EAAC9B8">
      <w:pPr>
        <w:shd w:val="clear"/>
        <w:overflowPunct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供应商名称（加盖公章）：</w:t>
      </w:r>
    </w:p>
    <w:p w14:paraId="7F478CF4">
      <w:pPr>
        <w:shd w:val="clear"/>
        <w:overflowPunct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供应商法定代表人或受委托人（签名或盖私章）：</w:t>
      </w:r>
    </w:p>
    <w:p w14:paraId="5BB91CF5">
      <w:pPr>
        <w:shd w:val="clear"/>
        <w:overflowPunct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日期：年月日 </w:t>
      </w:r>
    </w:p>
    <w:p w14:paraId="526D208F">
      <w:pPr>
        <w:pStyle w:val="2"/>
        <w:ind w:left="0" w:leftChars="0" w:firstLine="0" w:firstLineChars="0"/>
        <w:rPr>
          <w:rFonts w:hint="eastAsia" w:ascii="宋体" w:hAnsi="宋体" w:eastAsia="宋体" w:cs="宋体"/>
          <w:color w:val="auto"/>
          <w:highlight w:val="none"/>
        </w:rPr>
      </w:pPr>
    </w:p>
    <w:p w14:paraId="2EBDA0BC">
      <w:pPr>
        <w:pStyle w:val="5"/>
        <w:numPr>
          <w:ilvl w:val="0"/>
          <w:numId w:val="16"/>
        </w:numPr>
        <w:shd w:val="clear"/>
        <w:jc w:val="center"/>
        <w:rPr>
          <w:rFonts w:hint="eastAsia" w:ascii="宋体" w:hAnsi="宋体" w:eastAsia="宋体" w:cs="宋体"/>
          <w:b w:val="0"/>
          <w:bCs/>
          <w:color w:val="auto"/>
          <w:sz w:val="28"/>
          <w:highlight w:val="none"/>
        </w:rPr>
      </w:pPr>
      <w:r>
        <w:rPr>
          <w:rFonts w:hint="eastAsia" w:ascii="宋体" w:hAnsi="宋体" w:eastAsia="宋体" w:cs="宋体"/>
          <w:color w:val="auto"/>
          <w:sz w:val="22"/>
          <w:szCs w:val="22"/>
          <w:highlight w:val="none"/>
        </w:rPr>
        <w:br w:type="page"/>
      </w:r>
      <w:bookmarkStart w:id="256" w:name="_Toc7897897"/>
      <w:bookmarkStart w:id="257" w:name="_Toc17432"/>
      <w:bookmarkStart w:id="258" w:name="_Toc6882"/>
      <w:bookmarkStart w:id="259" w:name="_Toc23633"/>
      <w:r>
        <w:rPr>
          <w:rFonts w:hint="eastAsia" w:ascii="宋体" w:hAnsi="宋体" w:eastAsia="宋体" w:cs="宋体"/>
          <w:bCs/>
          <w:color w:val="auto"/>
          <w:sz w:val="28"/>
          <w:szCs w:val="28"/>
          <w:highlight w:val="none"/>
        </w:rPr>
        <w:t>在经营活动中没有重大违法记录的书面声明</w:t>
      </w:r>
      <w:bookmarkEnd w:id="256"/>
      <w:bookmarkEnd w:id="257"/>
      <w:bookmarkEnd w:id="258"/>
      <w:bookmarkEnd w:id="259"/>
    </w:p>
    <w:p w14:paraId="5AF52D27">
      <w:pPr>
        <w:pStyle w:val="78"/>
        <w:shd w:val="clear"/>
        <w:ind w:firstLine="0" w:firstLineChars="0"/>
        <w:jc w:val="center"/>
        <w:rPr>
          <w:rFonts w:hint="eastAsia" w:ascii="宋体" w:hAnsi="宋体" w:eastAsia="宋体" w:cs="宋体"/>
          <w:b/>
          <w:color w:val="auto"/>
          <w:sz w:val="28"/>
          <w:highlight w:val="none"/>
        </w:rPr>
      </w:pPr>
    </w:p>
    <w:p w14:paraId="1F88522B">
      <w:pPr>
        <w:shd w:val="clea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致：</w:t>
      </w:r>
    </w:p>
    <w:p w14:paraId="1C604A72">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本公司参加采购项目（采购编号）的采购活动，并声明：</w:t>
      </w:r>
    </w:p>
    <w:p w14:paraId="7B7496E4">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本公司参加本采购项目采购前3年内在经营活动中没有因违法经营受到刑事处罚或者责令停产停业、吊销许可证或者执照、较大数额罚款等行政处罚。</w:t>
      </w:r>
    </w:p>
    <w:p w14:paraId="254C215E">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特此声明！</w:t>
      </w:r>
    </w:p>
    <w:p w14:paraId="0848AB5B">
      <w:pPr>
        <w:shd w:val="clear"/>
        <w:rPr>
          <w:rFonts w:hint="eastAsia" w:ascii="宋体" w:hAnsi="宋体" w:eastAsia="宋体" w:cs="宋体"/>
          <w:color w:val="auto"/>
          <w:sz w:val="21"/>
          <w:szCs w:val="21"/>
          <w:highlight w:val="none"/>
        </w:rPr>
      </w:pPr>
    </w:p>
    <w:p w14:paraId="58262C95">
      <w:pPr>
        <w:shd w:val="clear"/>
        <w:rPr>
          <w:rFonts w:hint="eastAsia" w:ascii="宋体" w:hAnsi="宋体" w:eastAsia="宋体" w:cs="宋体"/>
          <w:color w:val="auto"/>
          <w:sz w:val="21"/>
          <w:szCs w:val="21"/>
          <w:highlight w:val="none"/>
        </w:rPr>
      </w:pPr>
    </w:p>
    <w:p w14:paraId="236155EC">
      <w:pPr>
        <w:shd w:val="clear"/>
        <w:overflowPunct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14:paraId="733FC0C0">
      <w:pPr>
        <w:shd w:val="clear"/>
        <w:overflowPunct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供应商法定代表人或受委托人（签名或盖私章）：</w:t>
      </w:r>
    </w:p>
    <w:p w14:paraId="1F03C850">
      <w:pPr>
        <w:shd w:val="clear"/>
        <w:overflowPunct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日期：年月日 </w:t>
      </w:r>
    </w:p>
    <w:bookmarkEnd w:id="218"/>
    <w:bookmarkEnd w:id="219"/>
    <w:bookmarkEnd w:id="220"/>
    <w:bookmarkEnd w:id="221"/>
    <w:bookmarkEnd w:id="222"/>
    <w:bookmarkEnd w:id="223"/>
    <w:bookmarkEnd w:id="224"/>
    <w:p w14:paraId="5E4C75F1">
      <w:pPr>
        <w:pStyle w:val="5"/>
        <w:numPr>
          <w:ilvl w:val="0"/>
          <w:numId w:val="16"/>
        </w:numPr>
        <w:shd w:val="clear"/>
        <w:jc w:val="center"/>
        <w:rPr>
          <w:rFonts w:hint="eastAsia" w:ascii="宋体" w:hAnsi="宋体" w:eastAsia="宋体" w:cs="宋体"/>
          <w:b w:val="0"/>
          <w:color w:val="auto"/>
          <w:sz w:val="28"/>
          <w:szCs w:val="28"/>
          <w:highlight w:val="none"/>
        </w:rPr>
      </w:pPr>
      <w:bookmarkStart w:id="260" w:name="_Toc110953865"/>
      <w:bookmarkStart w:id="261" w:name="_Toc480020290"/>
      <w:bookmarkStart w:id="262" w:name="_Toc468157570"/>
      <w:bookmarkStart w:id="263" w:name="_Toc467236774"/>
      <w:bookmarkStart w:id="264" w:name="_Toc467987857"/>
      <w:bookmarkStart w:id="265" w:name="_Toc480010743"/>
      <w:bookmarkStart w:id="266" w:name="_Toc458262644"/>
      <w:bookmarkStart w:id="267" w:name="_Toc480021086"/>
      <w:bookmarkStart w:id="268" w:name="_Toc454701411"/>
      <w:bookmarkStart w:id="269" w:name="_Toc479991617"/>
      <w:bookmarkStart w:id="270" w:name="_Toc480171915"/>
      <w:bookmarkStart w:id="271" w:name="_Toc35233726"/>
      <w:bookmarkStart w:id="272" w:name="_Toc468606065"/>
      <w:r>
        <w:rPr>
          <w:rFonts w:hint="eastAsia" w:ascii="宋体" w:hAnsi="宋体" w:eastAsia="宋体" w:cs="宋体"/>
          <w:color w:val="auto"/>
          <w:sz w:val="22"/>
          <w:szCs w:val="22"/>
          <w:highlight w:val="none"/>
        </w:rPr>
        <w:br w:type="page"/>
      </w:r>
      <w:bookmarkEnd w:id="260"/>
      <w:bookmarkStart w:id="273" w:name="_Toc8181"/>
      <w:bookmarkStart w:id="274" w:name="_Toc18024"/>
      <w:bookmarkStart w:id="275" w:name="_Toc7897900"/>
      <w:bookmarkStart w:id="276" w:name="_Toc2461"/>
      <w:r>
        <w:rPr>
          <w:rFonts w:hint="eastAsia" w:ascii="宋体" w:hAnsi="宋体" w:eastAsia="宋体" w:cs="宋体"/>
          <w:color w:val="auto"/>
          <w:sz w:val="28"/>
          <w:szCs w:val="28"/>
          <w:highlight w:val="none"/>
        </w:rPr>
        <w:t>针对本项目拟派人员及其技术资格一览表</w:t>
      </w:r>
      <w:bookmarkEnd w:id="273"/>
      <w:bookmarkEnd w:id="274"/>
      <w:bookmarkEnd w:id="275"/>
      <w:bookmarkEnd w:id="276"/>
    </w:p>
    <w:p w14:paraId="1CF52332">
      <w:pPr>
        <w:pStyle w:val="29"/>
        <w:shd w:val="clear"/>
        <w:spacing w:line="480" w:lineRule="exact"/>
        <w:ind w:left="-202" w:leftChars="-84" w:firstLine="241" w:firstLineChars="100"/>
        <w:rPr>
          <w:rFonts w:hint="eastAsia" w:ascii="宋体" w:hAnsi="宋体" w:eastAsia="宋体" w:cs="宋体"/>
          <w:b/>
          <w:color w:val="auto"/>
          <w:sz w:val="24"/>
          <w:szCs w:val="21"/>
          <w:highlight w:val="none"/>
        </w:rPr>
      </w:pPr>
    </w:p>
    <w:p w14:paraId="20DEA9B5">
      <w:pPr>
        <w:pStyle w:val="29"/>
        <w:shd w:val="clear"/>
        <w:spacing w:line="480" w:lineRule="exact"/>
        <w:ind w:left="-202" w:leftChars="-84" w:firstLine="221" w:firstLineChars="100"/>
        <w:rPr>
          <w:rFonts w:hint="eastAsia" w:ascii="宋体" w:hAnsi="宋体" w:eastAsia="宋体" w:cs="宋体"/>
          <w:b/>
          <w:color w:val="auto"/>
          <w:sz w:val="22"/>
          <w:szCs w:val="22"/>
          <w:highlight w:val="none"/>
          <w:u w:val="single"/>
        </w:rPr>
      </w:pPr>
    </w:p>
    <w:tbl>
      <w:tblPr>
        <w:tblStyle w:val="54"/>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26"/>
        <w:gridCol w:w="877"/>
        <w:gridCol w:w="1533"/>
        <w:gridCol w:w="1357"/>
        <w:gridCol w:w="1200"/>
        <w:gridCol w:w="1403"/>
        <w:gridCol w:w="1403"/>
      </w:tblGrid>
      <w:tr w14:paraId="45B9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vAlign w:val="center"/>
          </w:tcPr>
          <w:p w14:paraId="5135D309">
            <w:pPr>
              <w:pStyle w:val="29"/>
              <w:shd w:val="clea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026" w:type="dxa"/>
            <w:vAlign w:val="center"/>
          </w:tcPr>
          <w:p w14:paraId="78F09F7C">
            <w:pPr>
              <w:pStyle w:val="29"/>
              <w:shd w:val="clea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877" w:type="dxa"/>
            <w:vAlign w:val="center"/>
          </w:tcPr>
          <w:p w14:paraId="5753533F">
            <w:pPr>
              <w:pStyle w:val="29"/>
              <w:shd w:val="clea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职位</w:t>
            </w:r>
          </w:p>
        </w:tc>
        <w:tc>
          <w:tcPr>
            <w:tcW w:w="1533" w:type="dxa"/>
          </w:tcPr>
          <w:p w14:paraId="218FB8F0">
            <w:pPr>
              <w:pStyle w:val="29"/>
              <w:shd w:val="clea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拟在本项目担任职务</w:t>
            </w:r>
          </w:p>
        </w:tc>
        <w:tc>
          <w:tcPr>
            <w:tcW w:w="1357" w:type="dxa"/>
            <w:vAlign w:val="center"/>
          </w:tcPr>
          <w:p w14:paraId="74862FE9">
            <w:pPr>
              <w:pStyle w:val="29"/>
              <w:shd w:val="clea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专业、资格证件</w:t>
            </w:r>
          </w:p>
        </w:tc>
        <w:tc>
          <w:tcPr>
            <w:tcW w:w="1200" w:type="dxa"/>
            <w:vAlign w:val="center"/>
          </w:tcPr>
          <w:p w14:paraId="6C4AE8D1">
            <w:pPr>
              <w:pStyle w:val="29"/>
              <w:shd w:val="clea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发证时间</w:t>
            </w:r>
          </w:p>
        </w:tc>
        <w:tc>
          <w:tcPr>
            <w:tcW w:w="1403" w:type="dxa"/>
            <w:vAlign w:val="center"/>
          </w:tcPr>
          <w:p w14:paraId="70B0DBD1">
            <w:pPr>
              <w:pStyle w:val="29"/>
              <w:shd w:val="clea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经验年限</w:t>
            </w:r>
          </w:p>
        </w:tc>
        <w:tc>
          <w:tcPr>
            <w:tcW w:w="1403" w:type="dxa"/>
          </w:tcPr>
          <w:p w14:paraId="22E4F341">
            <w:pPr>
              <w:pStyle w:val="29"/>
              <w:shd w:val="clea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主要承担过的项目</w:t>
            </w:r>
          </w:p>
        </w:tc>
      </w:tr>
      <w:tr w14:paraId="0664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14:paraId="51481D1D">
            <w:pPr>
              <w:pStyle w:val="29"/>
              <w:shd w:val="clear"/>
              <w:spacing w:line="480" w:lineRule="exact"/>
              <w:jc w:val="center"/>
              <w:rPr>
                <w:rFonts w:hint="eastAsia" w:ascii="宋体" w:hAnsi="宋体" w:eastAsia="宋体" w:cs="宋体"/>
                <w:color w:val="auto"/>
                <w:szCs w:val="21"/>
                <w:highlight w:val="none"/>
              </w:rPr>
            </w:pPr>
          </w:p>
        </w:tc>
        <w:tc>
          <w:tcPr>
            <w:tcW w:w="1026" w:type="dxa"/>
            <w:vAlign w:val="center"/>
          </w:tcPr>
          <w:p w14:paraId="09210D81">
            <w:pPr>
              <w:pStyle w:val="29"/>
              <w:shd w:val="clear"/>
              <w:spacing w:line="480" w:lineRule="exact"/>
              <w:jc w:val="center"/>
              <w:rPr>
                <w:rFonts w:hint="eastAsia" w:ascii="宋体" w:hAnsi="宋体" w:eastAsia="宋体" w:cs="宋体"/>
                <w:color w:val="auto"/>
                <w:szCs w:val="21"/>
                <w:highlight w:val="none"/>
              </w:rPr>
            </w:pPr>
          </w:p>
        </w:tc>
        <w:tc>
          <w:tcPr>
            <w:tcW w:w="877" w:type="dxa"/>
            <w:vAlign w:val="center"/>
          </w:tcPr>
          <w:p w14:paraId="3987DF5C">
            <w:pPr>
              <w:pStyle w:val="29"/>
              <w:shd w:val="clear"/>
              <w:spacing w:line="480" w:lineRule="exact"/>
              <w:jc w:val="center"/>
              <w:rPr>
                <w:rFonts w:hint="eastAsia" w:ascii="宋体" w:hAnsi="宋体" w:eastAsia="宋体" w:cs="宋体"/>
                <w:color w:val="auto"/>
                <w:szCs w:val="21"/>
                <w:highlight w:val="none"/>
              </w:rPr>
            </w:pPr>
          </w:p>
        </w:tc>
        <w:tc>
          <w:tcPr>
            <w:tcW w:w="1533" w:type="dxa"/>
          </w:tcPr>
          <w:p w14:paraId="3624B816">
            <w:pPr>
              <w:pStyle w:val="29"/>
              <w:shd w:val="clea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1357" w:type="dxa"/>
            <w:vAlign w:val="center"/>
          </w:tcPr>
          <w:p w14:paraId="1B12E6DB">
            <w:pPr>
              <w:pStyle w:val="29"/>
              <w:shd w:val="clear"/>
              <w:spacing w:line="480" w:lineRule="exact"/>
              <w:jc w:val="center"/>
              <w:rPr>
                <w:rFonts w:hint="eastAsia" w:ascii="宋体" w:hAnsi="宋体" w:eastAsia="宋体" w:cs="宋体"/>
                <w:color w:val="auto"/>
                <w:szCs w:val="21"/>
                <w:highlight w:val="none"/>
              </w:rPr>
            </w:pPr>
          </w:p>
        </w:tc>
        <w:tc>
          <w:tcPr>
            <w:tcW w:w="1200" w:type="dxa"/>
            <w:vAlign w:val="center"/>
          </w:tcPr>
          <w:p w14:paraId="7AA95E03">
            <w:pPr>
              <w:pStyle w:val="29"/>
              <w:shd w:val="clear"/>
              <w:spacing w:line="480" w:lineRule="exact"/>
              <w:jc w:val="center"/>
              <w:rPr>
                <w:rFonts w:hint="eastAsia" w:ascii="宋体" w:hAnsi="宋体" w:eastAsia="宋体" w:cs="宋体"/>
                <w:color w:val="auto"/>
                <w:szCs w:val="21"/>
                <w:highlight w:val="none"/>
              </w:rPr>
            </w:pPr>
          </w:p>
        </w:tc>
        <w:tc>
          <w:tcPr>
            <w:tcW w:w="1403" w:type="dxa"/>
            <w:vAlign w:val="center"/>
          </w:tcPr>
          <w:p w14:paraId="53159552">
            <w:pPr>
              <w:pStyle w:val="29"/>
              <w:shd w:val="clear"/>
              <w:spacing w:line="480" w:lineRule="exact"/>
              <w:jc w:val="center"/>
              <w:rPr>
                <w:rFonts w:hint="eastAsia" w:ascii="宋体" w:hAnsi="宋体" w:eastAsia="宋体" w:cs="宋体"/>
                <w:color w:val="auto"/>
                <w:szCs w:val="21"/>
                <w:highlight w:val="none"/>
              </w:rPr>
            </w:pPr>
          </w:p>
        </w:tc>
        <w:tc>
          <w:tcPr>
            <w:tcW w:w="1403" w:type="dxa"/>
          </w:tcPr>
          <w:p w14:paraId="59541B23">
            <w:pPr>
              <w:pStyle w:val="29"/>
              <w:shd w:val="clear"/>
              <w:spacing w:line="480" w:lineRule="exact"/>
              <w:jc w:val="center"/>
              <w:rPr>
                <w:rFonts w:hint="eastAsia" w:ascii="宋体" w:hAnsi="宋体" w:eastAsia="宋体" w:cs="宋体"/>
                <w:color w:val="auto"/>
                <w:szCs w:val="21"/>
                <w:highlight w:val="none"/>
              </w:rPr>
            </w:pPr>
          </w:p>
        </w:tc>
      </w:tr>
      <w:tr w14:paraId="6F0B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14:paraId="23808D56">
            <w:pPr>
              <w:pStyle w:val="29"/>
              <w:shd w:val="clear"/>
              <w:spacing w:line="480" w:lineRule="exact"/>
              <w:jc w:val="center"/>
              <w:rPr>
                <w:rFonts w:hint="eastAsia" w:ascii="宋体" w:hAnsi="宋体" w:eastAsia="宋体" w:cs="宋体"/>
                <w:color w:val="auto"/>
                <w:szCs w:val="21"/>
                <w:highlight w:val="none"/>
              </w:rPr>
            </w:pPr>
          </w:p>
        </w:tc>
        <w:tc>
          <w:tcPr>
            <w:tcW w:w="1026" w:type="dxa"/>
            <w:vAlign w:val="center"/>
          </w:tcPr>
          <w:p w14:paraId="66C45C1F">
            <w:pPr>
              <w:pStyle w:val="29"/>
              <w:shd w:val="clear"/>
              <w:spacing w:line="480" w:lineRule="exact"/>
              <w:jc w:val="center"/>
              <w:rPr>
                <w:rFonts w:hint="eastAsia" w:ascii="宋体" w:hAnsi="宋体" w:eastAsia="宋体" w:cs="宋体"/>
                <w:color w:val="auto"/>
                <w:szCs w:val="21"/>
                <w:highlight w:val="none"/>
              </w:rPr>
            </w:pPr>
          </w:p>
        </w:tc>
        <w:tc>
          <w:tcPr>
            <w:tcW w:w="877" w:type="dxa"/>
            <w:vAlign w:val="center"/>
          </w:tcPr>
          <w:p w14:paraId="344C20EA">
            <w:pPr>
              <w:pStyle w:val="29"/>
              <w:shd w:val="clear"/>
              <w:spacing w:line="480" w:lineRule="exact"/>
              <w:jc w:val="center"/>
              <w:rPr>
                <w:rFonts w:hint="eastAsia" w:ascii="宋体" w:hAnsi="宋体" w:eastAsia="宋体" w:cs="宋体"/>
                <w:color w:val="auto"/>
                <w:szCs w:val="21"/>
                <w:highlight w:val="none"/>
              </w:rPr>
            </w:pPr>
          </w:p>
        </w:tc>
        <w:tc>
          <w:tcPr>
            <w:tcW w:w="1533" w:type="dxa"/>
            <w:vAlign w:val="center"/>
          </w:tcPr>
          <w:p w14:paraId="4D7EC9D4">
            <w:pPr>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项目人员</w:t>
            </w:r>
          </w:p>
        </w:tc>
        <w:tc>
          <w:tcPr>
            <w:tcW w:w="1357" w:type="dxa"/>
            <w:vAlign w:val="center"/>
          </w:tcPr>
          <w:p w14:paraId="701EEA6D">
            <w:pPr>
              <w:pStyle w:val="29"/>
              <w:shd w:val="clear"/>
              <w:spacing w:line="480" w:lineRule="exact"/>
              <w:jc w:val="center"/>
              <w:rPr>
                <w:rFonts w:hint="eastAsia" w:ascii="宋体" w:hAnsi="宋体" w:eastAsia="宋体" w:cs="宋体"/>
                <w:color w:val="auto"/>
                <w:szCs w:val="21"/>
                <w:highlight w:val="none"/>
              </w:rPr>
            </w:pPr>
          </w:p>
        </w:tc>
        <w:tc>
          <w:tcPr>
            <w:tcW w:w="1200" w:type="dxa"/>
            <w:vAlign w:val="center"/>
          </w:tcPr>
          <w:p w14:paraId="456379D6">
            <w:pPr>
              <w:pStyle w:val="29"/>
              <w:shd w:val="clear"/>
              <w:spacing w:line="480" w:lineRule="exact"/>
              <w:jc w:val="center"/>
              <w:rPr>
                <w:rFonts w:hint="eastAsia" w:ascii="宋体" w:hAnsi="宋体" w:eastAsia="宋体" w:cs="宋体"/>
                <w:color w:val="auto"/>
                <w:szCs w:val="21"/>
                <w:highlight w:val="none"/>
              </w:rPr>
            </w:pPr>
          </w:p>
        </w:tc>
        <w:tc>
          <w:tcPr>
            <w:tcW w:w="1403" w:type="dxa"/>
            <w:vAlign w:val="center"/>
          </w:tcPr>
          <w:p w14:paraId="16D3AA69">
            <w:pPr>
              <w:pStyle w:val="29"/>
              <w:shd w:val="clear"/>
              <w:spacing w:line="480" w:lineRule="exact"/>
              <w:jc w:val="center"/>
              <w:rPr>
                <w:rFonts w:hint="eastAsia" w:ascii="宋体" w:hAnsi="宋体" w:eastAsia="宋体" w:cs="宋体"/>
                <w:color w:val="auto"/>
                <w:szCs w:val="21"/>
                <w:highlight w:val="none"/>
              </w:rPr>
            </w:pPr>
          </w:p>
        </w:tc>
        <w:tc>
          <w:tcPr>
            <w:tcW w:w="1403" w:type="dxa"/>
          </w:tcPr>
          <w:p w14:paraId="5F2CDAAA">
            <w:pPr>
              <w:pStyle w:val="29"/>
              <w:shd w:val="clear"/>
              <w:spacing w:line="480" w:lineRule="exact"/>
              <w:jc w:val="center"/>
              <w:rPr>
                <w:rFonts w:hint="eastAsia" w:ascii="宋体" w:hAnsi="宋体" w:eastAsia="宋体" w:cs="宋体"/>
                <w:color w:val="auto"/>
                <w:szCs w:val="21"/>
                <w:highlight w:val="none"/>
              </w:rPr>
            </w:pPr>
          </w:p>
        </w:tc>
      </w:tr>
      <w:tr w14:paraId="4562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14:paraId="45830AB5">
            <w:pPr>
              <w:pStyle w:val="29"/>
              <w:shd w:val="clear"/>
              <w:spacing w:line="480" w:lineRule="exact"/>
              <w:jc w:val="center"/>
              <w:rPr>
                <w:rFonts w:hint="eastAsia" w:ascii="宋体" w:hAnsi="宋体" w:eastAsia="宋体" w:cs="宋体"/>
                <w:color w:val="auto"/>
                <w:szCs w:val="21"/>
                <w:highlight w:val="none"/>
              </w:rPr>
            </w:pPr>
          </w:p>
        </w:tc>
        <w:tc>
          <w:tcPr>
            <w:tcW w:w="1026" w:type="dxa"/>
            <w:vAlign w:val="center"/>
          </w:tcPr>
          <w:p w14:paraId="75868C4B">
            <w:pPr>
              <w:pStyle w:val="29"/>
              <w:shd w:val="clear"/>
              <w:spacing w:line="480" w:lineRule="exact"/>
              <w:jc w:val="center"/>
              <w:rPr>
                <w:rFonts w:hint="eastAsia" w:ascii="宋体" w:hAnsi="宋体" w:eastAsia="宋体" w:cs="宋体"/>
                <w:color w:val="auto"/>
                <w:szCs w:val="21"/>
                <w:highlight w:val="none"/>
              </w:rPr>
            </w:pPr>
          </w:p>
        </w:tc>
        <w:tc>
          <w:tcPr>
            <w:tcW w:w="877" w:type="dxa"/>
            <w:vAlign w:val="center"/>
          </w:tcPr>
          <w:p w14:paraId="267E7877">
            <w:pPr>
              <w:pStyle w:val="29"/>
              <w:shd w:val="clear"/>
              <w:spacing w:line="480" w:lineRule="exact"/>
              <w:jc w:val="center"/>
              <w:rPr>
                <w:rFonts w:hint="eastAsia" w:ascii="宋体" w:hAnsi="宋体" w:eastAsia="宋体" w:cs="宋体"/>
                <w:color w:val="auto"/>
                <w:szCs w:val="21"/>
                <w:highlight w:val="none"/>
              </w:rPr>
            </w:pPr>
          </w:p>
        </w:tc>
        <w:tc>
          <w:tcPr>
            <w:tcW w:w="1533" w:type="dxa"/>
          </w:tcPr>
          <w:p w14:paraId="5B71A466">
            <w:pPr>
              <w:pStyle w:val="29"/>
              <w:shd w:val="clea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57" w:type="dxa"/>
            <w:vAlign w:val="center"/>
          </w:tcPr>
          <w:p w14:paraId="2BE7BF5E">
            <w:pPr>
              <w:pStyle w:val="29"/>
              <w:shd w:val="clear"/>
              <w:spacing w:line="480" w:lineRule="exact"/>
              <w:jc w:val="center"/>
              <w:rPr>
                <w:rFonts w:hint="eastAsia" w:ascii="宋体" w:hAnsi="宋体" w:eastAsia="宋体" w:cs="宋体"/>
                <w:color w:val="auto"/>
                <w:szCs w:val="21"/>
                <w:highlight w:val="none"/>
              </w:rPr>
            </w:pPr>
          </w:p>
        </w:tc>
        <w:tc>
          <w:tcPr>
            <w:tcW w:w="1200" w:type="dxa"/>
            <w:vAlign w:val="center"/>
          </w:tcPr>
          <w:p w14:paraId="55CC0B91">
            <w:pPr>
              <w:pStyle w:val="29"/>
              <w:shd w:val="clear"/>
              <w:spacing w:line="480" w:lineRule="exact"/>
              <w:jc w:val="center"/>
              <w:rPr>
                <w:rFonts w:hint="eastAsia" w:ascii="宋体" w:hAnsi="宋体" w:eastAsia="宋体" w:cs="宋体"/>
                <w:color w:val="auto"/>
                <w:szCs w:val="21"/>
                <w:highlight w:val="none"/>
              </w:rPr>
            </w:pPr>
          </w:p>
        </w:tc>
        <w:tc>
          <w:tcPr>
            <w:tcW w:w="1403" w:type="dxa"/>
            <w:vAlign w:val="center"/>
          </w:tcPr>
          <w:p w14:paraId="1A0255ED">
            <w:pPr>
              <w:pStyle w:val="29"/>
              <w:shd w:val="clear"/>
              <w:spacing w:line="480" w:lineRule="exact"/>
              <w:jc w:val="center"/>
              <w:rPr>
                <w:rFonts w:hint="eastAsia" w:ascii="宋体" w:hAnsi="宋体" w:eastAsia="宋体" w:cs="宋体"/>
                <w:color w:val="auto"/>
                <w:szCs w:val="21"/>
                <w:highlight w:val="none"/>
              </w:rPr>
            </w:pPr>
          </w:p>
        </w:tc>
        <w:tc>
          <w:tcPr>
            <w:tcW w:w="1403" w:type="dxa"/>
          </w:tcPr>
          <w:p w14:paraId="792AC002">
            <w:pPr>
              <w:pStyle w:val="29"/>
              <w:shd w:val="clear"/>
              <w:spacing w:line="480" w:lineRule="exact"/>
              <w:jc w:val="center"/>
              <w:rPr>
                <w:rFonts w:hint="eastAsia" w:ascii="宋体" w:hAnsi="宋体" w:eastAsia="宋体" w:cs="宋体"/>
                <w:color w:val="auto"/>
                <w:szCs w:val="21"/>
                <w:highlight w:val="none"/>
              </w:rPr>
            </w:pPr>
          </w:p>
        </w:tc>
      </w:tr>
      <w:tr w14:paraId="240D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14:paraId="611B3E7A">
            <w:pPr>
              <w:pStyle w:val="29"/>
              <w:shd w:val="clear"/>
              <w:spacing w:line="480" w:lineRule="exact"/>
              <w:jc w:val="center"/>
              <w:rPr>
                <w:rFonts w:hint="eastAsia" w:ascii="宋体" w:hAnsi="宋体" w:eastAsia="宋体" w:cs="宋体"/>
                <w:color w:val="auto"/>
                <w:szCs w:val="21"/>
                <w:highlight w:val="none"/>
              </w:rPr>
            </w:pPr>
          </w:p>
        </w:tc>
        <w:tc>
          <w:tcPr>
            <w:tcW w:w="1026" w:type="dxa"/>
            <w:vAlign w:val="center"/>
          </w:tcPr>
          <w:p w14:paraId="7F125048">
            <w:pPr>
              <w:pStyle w:val="29"/>
              <w:shd w:val="clear"/>
              <w:spacing w:line="480" w:lineRule="exact"/>
              <w:jc w:val="center"/>
              <w:rPr>
                <w:rFonts w:hint="eastAsia" w:ascii="宋体" w:hAnsi="宋体" w:eastAsia="宋体" w:cs="宋体"/>
                <w:color w:val="auto"/>
                <w:szCs w:val="21"/>
                <w:highlight w:val="none"/>
              </w:rPr>
            </w:pPr>
          </w:p>
        </w:tc>
        <w:tc>
          <w:tcPr>
            <w:tcW w:w="877" w:type="dxa"/>
            <w:vAlign w:val="center"/>
          </w:tcPr>
          <w:p w14:paraId="75063280">
            <w:pPr>
              <w:pStyle w:val="29"/>
              <w:shd w:val="clear"/>
              <w:spacing w:line="480" w:lineRule="exact"/>
              <w:jc w:val="center"/>
              <w:rPr>
                <w:rFonts w:hint="eastAsia" w:ascii="宋体" w:hAnsi="宋体" w:eastAsia="宋体" w:cs="宋体"/>
                <w:color w:val="auto"/>
                <w:szCs w:val="21"/>
                <w:highlight w:val="none"/>
              </w:rPr>
            </w:pPr>
          </w:p>
        </w:tc>
        <w:tc>
          <w:tcPr>
            <w:tcW w:w="1533" w:type="dxa"/>
          </w:tcPr>
          <w:p w14:paraId="6CC64C38">
            <w:pPr>
              <w:pStyle w:val="29"/>
              <w:shd w:val="clear"/>
              <w:spacing w:line="480" w:lineRule="exact"/>
              <w:jc w:val="center"/>
              <w:rPr>
                <w:rFonts w:hint="eastAsia" w:ascii="宋体" w:hAnsi="宋体" w:eastAsia="宋体" w:cs="宋体"/>
                <w:color w:val="auto"/>
                <w:szCs w:val="21"/>
                <w:highlight w:val="none"/>
              </w:rPr>
            </w:pPr>
          </w:p>
        </w:tc>
        <w:tc>
          <w:tcPr>
            <w:tcW w:w="1357" w:type="dxa"/>
            <w:vAlign w:val="center"/>
          </w:tcPr>
          <w:p w14:paraId="2975F1B9">
            <w:pPr>
              <w:pStyle w:val="29"/>
              <w:shd w:val="clear"/>
              <w:spacing w:line="480" w:lineRule="exact"/>
              <w:jc w:val="center"/>
              <w:rPr>
                <w:rFonts w:hint="eastAsia" w:ascii="宋体" w:hAnsi="宋体" w:eastAsia="宋体" w:cs="宋体"/>
                <w:color w:val="auto"/>
                <w:szCs w:val="21"/>
                <w:highlight w:val="none"/>
              </w:rPr>
            </w:pPr>
          </w:p>
        </w:tc>
        <w:tc>
          <w:tcPr>
            <w:tcW w:w="1200" w:type="dxa"/>
            <w:vAlign w:val="center"/>
          </w:tcPr>
          <w:p w14:paraId="1ED82954">
            <w:pPr>
              <w:pStyle w:val="29"/>
              <w:shd w:val="clear"/>
              <w:spacing w:line="480" w:lineRule="exact"/>
              <w:jc w:val="center"/>
              <w:rPr>
                <w:rFonts w:hint="eastAsia" w:ascii="宋体" w:hAnsi="宋体" w:eastAsia="宋体" w:cs="宋体"/>
                <w:color w:val="auto"/>
                <w:szCs w:val="21"/>
                <w:highlight w:val="none"/>
              </w:rPr>
            </w:pPr>
          </w:p>
        </w:tc>
        <w:tc>
          <w:tcPr>
            <w:tcW w:w="1403" w:type="dxa"/>
            <w:vAlign w:val="center"/>
          </w:tcPr>
          <w:p w14:paraId="494DEAE9">
            <w:pPr>
              <w:pStyle w:val="29"/>
              <w:shd w:val="clear"/>
              <w:spacing w:line="480" w:lineRule="exact"/>
              <w:jc w:val="center"/>
              <w:rPr>
                <w:rFonts w:hint="eastAsia" w:ascii="宋体" w:hAnsi="宋体" w:eastAsia="宋体" w:cs="宋体"/>
                <w:color w:val="auto"/>
                <w:szCs w:val="21"/>
                <w:highlight w:val="none"/>
              </w:rPr>
            </w:pPr>
          </w:p>
        </w:tc>
        <w:tc>
          <w:tcPr>
            <w:tcW w:w="1403" w:type="dxa"/>
          </w:tcPr>
          <w:p w14:paraId="375ABBB2">
            <w:pPr>
              <w:pStyle w:val="29"/>
              <w:shd w:val="clear"/>
              <w:spacing w:line="480" w:lineRule="exact"/>
              <w:jc w:val="center"/>
              <w:rPr>
                <w:rFonts w:hint="eastAsia" w:ascii="宋体" w:hAnsi="宋体" w:eastAsia="宋体" w:cs="宋体"/>
                <w:color w:val="auto"/>
                <w:szCs w:val="21"/>
                <w:highlight w:val="none"/>
              </w:rPr>
            </w:pPr>
          </w:p>
        </w:tc>
      </w:tr>
      <w:tr w14:paraId="0AE6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14:paraId="73168F0F">
            <w:pPr>
              <w:pStyle w:val="29"/>
              <w:shd w:val="clear"/>
              <w:spacing w:line="480" w:lineRule="exact"/>
              <w:jc w:val="center"/>
              <w:rPr>
                <w:rFonts w:hint="eastAsia" w:ascii="宋体" w:hAnsi="宋体" w:eastAsia="宋体" w:cs="宋体"/>
                <w:color w:val="auto"/>
                <w:szCs w:val="21"/>
                <w:highlight w:val="none"/>
              </w:rPr>
            </w:pPr>
          </w:p>
        </w:tc>
        <w:tc>
          <w:tcPr>
            <w:tcW w:w="1026" w:type="dxa"/>
            <w:vAlign w:val="center"/>
          </w:tcPr>
          <w:p w14:paraId="3B194DFF">
            <w:pPr>
              <w:pStyle w:val="29"/>
              <w:shd w:val="clear"/>
              <w:spacing w:line="480" w:lineRule="exact"/>
              <w:jc w:val="center"/>
              <w:rPr>
                <w:rFonts w:hint="eastAsia" w:ascii="宋体" w:hAnsi="宋体" w:eastAsia="宋体" w:cs="宋体"/>
                <w:color w:val="auto"/>
                <w:szCs w:val="21"/>
                <w:highlight w:val="none"/>
              </w:rPr>
            </w:pPr>
          </w:p>
        </w:tc>
        <w:tc>
          <w:tcPr>
            <w:tcW w:w="877" w:type="dxa"/>
            <w:vAlign w:val="center"/>
          </w:tcPr>
          <w:p w14:paraId="7D31C8B3">
            <w:pPr>
              <w:pStyle w:val="29"/>
              <w:shd w:val="clear"/>
              <w:spacing w:line="480" w:lineRule="exact"/>
              <w:jc w:val="center"/>
              <w:rPr>
                <w:rFonts w:hint="eastAsia" w:ascii="宋体" w:hAnsi="宋体" w:eastAsia="宋体" w:cs="宋体"/>
                <w:color w:val="auto"/>
                <w:szCs w:val="21"/>
                <w:highlight w:val="none"/>
              </w:rPr>
            </w:pPr>
          </w:p>
        </w:tc>
        <w:tc>
          <w:tcPr>
            <w:tcW w:w="1533" w:type="dxa"/>
          </w:tcPr>
          <w:p w14:paraId="5EC02883">
            <w:pPr>
              <w:pStyle w:val="29"/>
              <w:shd w:val="clear"/>
              <w:spacing w:line="480" w:lineRule="exact"/>
              <w:jc w:val="center"/>
              <w:rPr>
                <w:rFonts w:hint="eastAsia" w:ascii="宋体" w:hAnsi="宋体" w:eastAsia="宋体" w:cs="宋体"/>
                <w:color w:val="auto"/>
                <w:szCs w:val="21"/>
                <w:highlight w:val="none"/>
              </w:rPr>
            </w:pPr>
          </w:p>
        </w:tc>
        <w:tc>
          <w:tcPr>
            <w:tcW w:w="1357" w:type="dxa"/>
            <w:vAlign w:val="center"/>
          </w:tcPr>
          <w:p w14:paraId="33097A86">
            <w:pPr>
              <w:pStyle w:val="29"/>
              <w:shd w:val="clear"/>
              <w:spacing w:line="480" w:lineRule="exact"/>
              <w:jc w:val="center"/>
              <w:rPr>
                <w:rFonts w:hint="eastAsia" w:ascii="宋体" w:hAnsi="宋体" w:eastAsia="宋体" w:cs="宋体"/>
                <w:color w:val="auto"/>
                <w:szCs w:val="21"/>
                <w:highlight w:val="none"/>
              </w:rPr>
            </w:pPr>
          </w:p>
        </w:tc>
        <w:tc>
          <w:tcPr>
            <w:tcW w:w="1200" w:type="dxa"/>
            <w:vAlign w:val="center"/>
          </w:tcPr>
          <w:p w14:paraId="46AD73C8">
            <w:pPr>
              <w:pStyle w:val="29"/>
              <w:shd w:val="clear"/>
              <w:spacing w:line="480" w:lineRule="exact"/>
              <w:jc w:val="center"/>
              <w:rPr>
                <w:rFonts w:hint="eastAsia" w:ascii="宋体" w:hAnsi="宋体" w:eastAsia="宋体" w:cs="宋体"/>
                <w:color w:val="auto"/>
                <w:szCs w:val="21"/>
                <w:highlight w:val="none"/>
              </w:rPr>
            </w:pPr>
          </w:p>
        </w:tc>
        <w:tc>
          <w:tcPr>
            <w:tcW w:w="1403" w:type="dxa"/>
            <w:vAlign w:val="center"/>
          </w:tcPr>
          <w:p w14:paraId="41568B92">
            <w:pPr>
              <w:pStyle w:val="29"/>
              <w:shd w:val="clear"/>
              <w:spacing w:line="480" w:lineRule="exact"/>
              <w:jc w:val="center"/>
              <w:rPr>
                <w:rFonts w:hint="eastAsia" w:ascii="宋体" w:hAnsi="宋体" w:eastAsia="宋体" w:cs="宋体"/>
                <w:color w:val="auto"/>
                <w:szCs w:val="21"/>
                <w:highlight w:val="none"/>
              </w:rPr>
            </w:pPr>
          </w:p>
        </w:tc>
        <w:tc>
          <w:tcPr>
            <w:tcW w:w="1403" w:type="dxa"/>
          </w:tcPr>
          <w:p w14:paraId="42E9BBBE">
            <w:pPr>
              <w:pStyle w:val="29"/>
              <w:shd w:val="clear"/>
              <w:spacing w:line="480" w:lineRule="exact"/>
              <w:jc w:val="center"/>
              <w:rPr>
                <w:rFonts w:hint="eastAsia" w:ascii="宋体" w:hAnsi="宋体" w:eastAsia="宋体" w:cs="宋体"/>
                <w:color w:val="auto"/>
                <w:szCs w:val="21"/>
                <w:highlight w:val="none"/>
              </w:rPr>
            </w:pPr>
          </w:p>
        </w:tc>
      </w:tr>
      <w:tr w14:paraId="1BFD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14:paraId="137C7242">
            <w:pPr>
              <w:pStyle w:val="29"/>
              <w:shd w:val="clear"/>
              <w:spacing w:line="480" w:lineRule="exact"/>
              <w:jc w:val="center"/>
              <w:rPr>
                <w:rFonts w:hint="eastAsia" w:ascii="宋体" w:hAnsi="宋体" w:eastAsia="宋体" w:cs="宋体"/>
                <w:color w:val="auto"/>
                <w:szCs w:val="21"/>
                <w:highlight w:val="none"/>
              </w:rPr>
            </w:pPr>
          </w:p>
        </w:tc>
        <w:tc>
          <w:tcPr>
            <w:tcW w:w="1026" w:type="dxa"/>
            <w:vAlign w:val="center"/>
          </w:tcPr>
          <w:p w14:paraId="5B9B6DCC">
            <w:pPr>
              <w:pStyle w:val="29"/>
              <w:shd w:val="clear"/>
              <w:spacing w:line="480" w:lineRule="exact"/>
              <w:jc w:val="center"/>
              <w:rPr>
                <w:rFonts w:hint="eastAsia" w:ascii="宋体" w:hAnsi="宋体" w:eastAsia="宋体" w:cs="宋体"/>
                <w:color w:val="auto"/>
                <w:szCs w:val="21"/>
                <w:highlight w:val="none"/>
              </w:rPr>
            </w:pPr>
          </w:p>
        </w:tc>
        <w:tc>
          <w:tcPr>
            <w:tcW w:w="877" w:type="dxa"/>
            <w:vAlign w:val="center"/>
          </w:tcPr>
          <w:p w14:paraId="5147C81C">
            <w:pPr>
              <w:pStyle w:val="29"/>
              <w:shd w:val="clear"/>
              <w:spacing w:line="480" w:lineRule="exact"/>
              <w:jc w:val="center"/>
              <w:rPr>
                <w:rFonts w:hint="eastAsia" w:ascii="宋体" w:hAnsi="宋体" w:eastAsia="宋体" w:cs="宋体"/>
                <w:color w:val="auto"/>
                <w:szCs w:val="21"/>
                <w:highlight w:val="none"/>
              </w:rPr>
            </w:pPr>
          </w:p>
        </w:tc>
        <w:tc>
          <w:tcPr>
            <w:tcW w:w="1533" w:type="dxa"/>
          </w:tcPr>
          <w:p w14:paraId="4531D23D">
            <w:pPr>
              <w:pStyle w:val="29"/>
              <w:shd w:val="clear"/>
              <w:spacing w:line="480" w:lineRule="exact"/>
              <w:jc w:val="center"/>
              <w:rPr>
                <w:rFonts w:hint="eastAsia" w:ascii="宋体" w:hAnsi="宋体" w:eastAsia="宋体" w:cs="宋体"/>
                <w:color w:val="auto"/>
                <w:szCs w:val="21"/>
                <w:highlight w:val="none"/>
              </w:rPr>
            </w:pPr>
          </w:p>
        </w:tc>
        <w:tc>
          <w:tcPr>
            <w:tcW w:w="1357" w:type="dxa"/>
            <w:vAlign w:val="center"/>
          </w:tcPr>
          <w:p w14:paraId="42F2AAB5">
            <w:pPr>
              <w:pStyle w:val="29"/>
              <w:shd w:val="clear"/>
              <w:spacing w:line="480" w:lineRule="exact"/>
              <w:jc w:val="center"/>
              <w:rPr>
                <w:rFonts w:hint="eastAsia" w:ascii="宋体" w:hAnsi="宋体" w:eastAsia="宋体" w:cs="宋体"/>
                <w:color w:val="auto"/>
                <w:szCs w:val="21"/>
                <w:highlight w:val="none"/>
              </w:rPr>
            </w:pPr>
          </w:p>
        </w:tc>
        <w:tc>
          <w:tcPr>
            <w:tcW w:w="1200" w:type="dxa"/>
            <w:vAlign w:val="center"/>
          </w:tcPr>
          <w:p w14:paraId="525A31AB">
            <w:pPr>
              <w:pStyle w:val="29"/>
              <w:shd w:val="clear"/>
              <w:spacing w:line="480" w:lineRule="exact"/>
              <w:jc w:val="center"/>
              <w:rPr>
                <w:rFonts w:hint="eastAsia" w:ascii="宋体" w:hAnsi="宋体" w:eastAsia="宋体" w:cs="宋体"/>
                <w:color w:val="auto"/>
                <w:szCs w:val="21"/>
                <w:highlight w:val="none"/>
              </w:rPr>
            </w:pPr>
          </w:p>
        </w:tc>
        <w:tc>
          <w:tcPr>
            <w:tcW w:w="1403" w:type="dxa"/>
            <w:vAlign w:val="center"/>
          </w:tcPr>
          <w:p w14:paraId="2B1FA438">
            <w:pPr>
              <w:pStyle w:val="29"/>
              <w:shd w:val="clear"/>
              <w:spacing w:line="480" w:lineRule="exact"/>
              <w:jc w:val="center"/>
              <w:rPr>
                <w:rFonts w:hint="eastAsia" w:ascii="宋体" w:hAnsi="宋体" w:eastAsia="宋体" w:cs="宋体"/>
                <w:color w:val="auto"/>
                <w:szCs w:val="21"/>
                <w:highlight w:val="none"/>
              </w:rPr>
            </w:pPr>
          </w:p>
        </w:tc>
        <w:tc>
          <w:tcPr>
            <w:tcW w:w="1403" w:type="dxa"/>
          </w:tcPr>
          <w:p w14:paraId="53D7C712">
            <w:pPr>
              <w:pStyle w:val="29"/>
              <w:shd w:val="clear"/>
              <w:spacing w:line="480" w:lineRule="exact"/>
              <w:jc w:val="center"/>
              <w:rPr>
                <w:rFonts w:hint="eastAsia" w:ascii="宋体" w:hAnsi="宋体" w:eastAsia="宋体" w:cs="宋体"/>
                <w:color w:val="auto"/>
                <w:szCs w:val="21"/>
                <w:highlight w:val="none"/>
              </w:rPr>
            </w:pPr>
          </w:p>
        </w:tc>
      </w:tr>
      <w:tr w14:paraId="604B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534" w:type="dxa"/>
            <w:vAlign w:val="center"/>
          </w:tcPr>
          <w:p w14:paraId="16337E39">
            <w:pPr>
              <w:pStyle w:val="29"/>
              <w:shd w:val="clear"/>
              <w:spacing w:line="480" w:lineRule="exact"/>
              <w:jc w:val="center"/>
              <w:rPr>
                <w:rFonts w:hint="eastAsia" w:ascii="宋体" w:hAnsi="宋体" w:eastAsia="宋体" w:cs="宋体"/>
                <w:color w:val="auto"/>
                <w:szCs w:val="21"/>
                <w:highlight w:val="none"/>
              </w:rPr>
            </w:pPr>
          </w:p>
        </w:tc>
        <w:tc>
          <w:tcPr>
            <w:tcW w:w="1026" w:type="dxa"/>
            <w:vAlign w:val="center"/>
          </w:tcPr>
          <w:p w14:paraId="20F09363">
            <w:pPr>
              <w:pStyle w:val="29"/>
              <w:shd w:val="clear"/>
              <w:spacing w:line="480" w:lineRule="exact"/>
              <w:jc w:val="center"/>
              <w:rPr>
                <w:rFonts w:hint="eastAsia" w:ascii="宋体" w:hAnsi="宋体" w:eastAsia="宋体" w:cs="宋体"/>
                <w:color w:val="auto"/>
                <w:szCs w:val="21"/>
                <w:highlight w:val="none"/>
              </w:rPr>
            </w:pPr>
          </w:p>
        </w:tc>
        <w:tc>
          <w:tcPr>
            <w:tcW w:w="877" w:type="dxa"/>
            <w:vAlign w:val="center"/>
          </w:tcPr>
          <w:p w14:paraId="6C536B3A">
            <w:pPr>
              <w:pStyle w:val="29"/>
              <w:shd w:val="clear"/>
              <w:spacing w:line="480" w:lineRule="exact"/>
              <w:jc w:val="center"/>
              <w:rPr>
                <w:rFonts w:hint="eastAsia" w:ascii="宋体" w:hAnsi="宋体" w:eastAsia="宋体" w:cs="宋体"/>
                <w:color w:val="auto"/>
                <w:szCs w:val="21"/>
                <w:highlight w:val="none"/>
              </w:rPr>
            </w:pPr>
          </w:p>
        </w:tc>
        <w:tc>
          <w:tcPr>
            <w:tcW w:w="1533" w:type="dxa"/>
          </w:tcPr>
          <w:p w14:paraId="555C3DC2">
            <w:pPr>
              <w:pStyle w:val="29"/>
              <w:shd w:val="clear"/>
              <w:spacing w:line="480" w:lineRule="exact"/>
              <w:jc w:val="center"/>
              <w:rPr>
                <w:rFonts w:hint="eastAsia" w:ascii="宋体" w:hAnsi="宋体" w:eastAsia="宋体" w:cs="宋体"/>
                <w:color w:val="auto"/>
                <w:szCs w:val="21"/>
                <w:highlight w:val="none"/>
              </w:rPr>
            </w:pPr>
          </w:p>
        </w:tc>
        <w:tc>
          <w:tcPr>
            <w:tcW w:w="1357" w:type="dxa"/>
            <w:vAlign w:val="center"/>
          </w:tcPr>
          <w:p w14:paraId="47628178">
            <w:pPr>
              <w:pStyle w:val="29"/>
              <w:shd w:val="clear"/>
              <w:spacing w:line="480" w:lineRule="exact"/>
              <w:jc w:val="center"/>
              <w:rPr>
                <w:rFonts w:hint="eastAsia" w:ascii="宋体" w:hAnsi="宋体" w:eastAsia="宋体" w:cs="宋体"/>
                <w:color w:val="auto"/>
                <w:szCs w:val="21"/>
                <w:highlight w:val="none"/>
              </w:rPr>
            </w:pPr>
          </w:p>
        </w:tc>
        <w:tc>
          <w:tcPr>
            <w:tcW w:w="1200" w:type="dxa"/>
            <w:vAlign w:val="center"/>
          </w:tcPr>
          <w:p w14:paraId="0E105B37">
            <w:pPr>
              <w:pStyle w:val="29"/>
              <w:shd w:val="clear"/>
              <w:spacing w:line="480" w:lineRule="exact"/>
              <w:jc w:val="center"/>
              <w:rPr>
                <w:rFonts w:hint="eastAsia" w:ascii="宋体" w:hAnsi="宋体" w:eastAsia="宋体" w:cs="宋体"/>
                <w:color w:val="auto"/>
                <w:szCs w:val="21"/>
                <w:highlight w:val="none"/>
              </w:rPr>
            </w:pPr>
          </w:p>
        </w:tc>
        <w:tc>
          <w:tcPr>
            <w:tcW w:w="1403" w:type="dxa"/>
            <w:vAlign w:val="center"/>
          </w:tcPr>
          <w:p w14:paraId="2CAD2A19">
            <w:pPr>
              <w:pStyle w:val="29"/>
              <w:shd w:val="clear"/>
              <w:spacing w:line="480" w:lineRule="exact"/>
              <w:jc w:val="center"/>
              <w:rPr>
                <w:rFonts w:hint="eastAsia" w:ascii="宋体" w:hAnsi="宋体" w:eastAsia="宋体" w:cs="宋体"/>
                <w:color w:val="auto"/>
                <w:szCs w:val="21"/>
                <w:highlight w:val="none"/>
              </w:rPr>
            </w:pPr>
          </w:p>
        </w:tc>
        <w:tc>
          <w:tcPr>
            <w:tcW w:w="1403" w:type="dxa"/>
          </w:tcPr>
          <w:p w14:paraId="266884AF">
            <w:pPr>
              <w:pStyle w:val="29"/>
              <w:shd w:val="clear"/>
              <w:spacing w:line="480" w:lineRule="exact"/>
              <w:jc w:val="center"/>
              <w:rPr>
                <w:rFonts w:hint="eastAsia" w:ascii="宋体" w:hAnsi="宋体" w:eastAsia="宋体" w:cs="宋体"/>
                <w:color w:val="auto"/>
                <w:szCs w:val="21"/>
                <w:highlight w:val="none"/>
              </w:rPr>
            </w:pPr>
          </w:p>
        </w:tc>
      </w:tr>
      <w:tr w14:paraId="23AE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14:paraId="78FA48AC">
            <w:pPr>
              <w:pStyle w:val="29"/>
              <w:shd w:val="clear"/>
              <w:spacing w:line="480" w:lineRule="exact"/>
              <w:jc w:val="center"/>
              <w:rPr>
                <w:rFonts w:hint="eastAsia" w:ascii="宋体" w:hAnsi="宋体" w:eastAsia="宋体" w:cs="宋体"/>
                <w:color w:val="auto"/>
                <w:szCs w:val="21"/>
                <w:highlight w:val="none"/>
              </w:rPr>
            </w:pPr>
          </w:p>
        </w:tc>
        <w:tc>
          <w:tcPr>
            <w:tcW w:w="1026" w:type="dxa"/>
            <w:vAlign w:val="center"/>
          </w:tcPr>
          <w:p w14:paraId="13040DF3">
            <w:pPr>
              <w:pStyle w:val="29"/>
              <w:shd w:val="clear"/>
              <w:spacing w:line="480" w:lineRule="exact"/>
              <w:jc w:val="center"/>
              <w:rPr>
                <w:rFonts w:hint="eastAsia" w:ascii="宋体" w:hAnsi="宋体" w:eastAsia="宋体" w:cs="宋体"/>
                <w:color w:val="auto"/>
                <w:szCs w:val="21"/>
                <w:highlight w:val="none"/>
              </w:rPr>
            </w:pPr>
          </w:p>
        </w:tc>
        <w:tc>
          <w:tcPr>
            <w:tcW w:w="877" w:type="dxa"/>
            <w:vAlign w:val="center"/>
          </w:tcPr>
          <w:p w14:paraId="08D13046">
            <w:pPr>
              <w:pStyle w:val="29"/>
              <w:shd w:val="clear"/>
              <w:spacing w:line="480" w:lineRule="exact"/>
              <w:jc w:val="center"/>
              <w:rPr>
                <w:rFonts w:hint="eastAsia" w:ascii="宋体" w:hAnsi="宋体" w:eastAsia="宋体" w:cs="宋体"/>
                <w:color w:val="auto"/>
                <w:szCs w:val="21"/>
                <w:highlight w:val="none"/>
              </w:rPr>
            </w:pPr>
          </w:p>
        </w:tc>
        <w:tc>
          <w:tcPr>
            <w:tcW w:w="1533" w:type="dxa"/>
          </w:tcPr>
          <w:p w14:paraId="5C71D943">
            <w:pPr>
              <w:pStyle w:val="29"/>
              <w:shd w:val="clear"/>
              <w:spacing w:line="480" w:lineRule="exact"/>
              <w:jc w:val="center"/>
              <w:rPr>
                <w:rFonts w:hint="eastAsia" w:ascii="宋体" w:hAnsi="宋体" w:eastAsia="宋体" w:cs="宋体"/>
                <w:color w:val="auto"/>
                <w:szCs w:val="21"/>
                <w:highlight w:val="none"/>
              </w:rPr>
            </w:pPr>
          </w:p>
        </w:tc>
        <w:tc>
          <w:tcPr>
            <w:tcW w:w="1357" w:type="dxa"/>
            <w:vAlign w:val="center"/>
          </w:tcPr>
          <w:p w14:paraId="70D7AB66">
            <w:pPr>
              <w:pStyle w:val="29"/>
              <w:shd w:val="clear"/>
              <w:spacing w:line="480" w:lineRule="exact"/>
              <w:jc w:val="center"/>
              <w:rPr>
                <w:rFonts w:hint="eastAsia" w:ascii="宋体" w:hAnsi="宋体" w:eastAsia="宋体" w:cs="宋体"/>
                <w:color w:val="auto"/>
                <w:szCs w:val="21"/>
                <w:highlight w:val="none"/>
              </w:rPr>
            </w:pPr>
          </w:p>
        </w:tc>
        <w:tc>
          <w:tcPr>
            <w:tcW w:w="1200" w:type="dxa"/>
            <w:vAlign w:val="center"/>
          </w:tcPr>
          <w:p w14:paraId="1AD66079">
            <w:pPr>
              <w:pStyle w:val="29"/>
              <w:shd w:val="clear"/>
              <w:spacing w:line="480" w:lineRule="exact"/>
              <w:jc w:val="center"/>
              <w:rPr>
                <w:rFonts w:hint="eastAsia" w:ascii="宋体" w:hAnsi="宋体" w:eastAsia="宋体" w:cs="宋体"/>
                <w:color w:val="auto"/>
                <w:szCs w:val="21"/>
                <w:highlight w:val="none"/>
              </w:rPr>
            </w:pPr>
          </w:p>
        </w:tc>
        <w:tc>
          <w:tcPr>
            <w:tcW w:w="1403" w:type="dxa"/>
            <w:vAlign w:val="center"/>
          </w:tcPr>
          <w:p w14:paraId="46A669DF">
            <w:pPr>
              <w:pStyle w:val="29"/>
              <w:shd w:val="clear"/>
              <w:spacing w:line="480" w:lineRule="exact"/>
              <w:jc w:val="center"/>
              <w:rPr>
                <w:rFonts w:hint="eastAsia" w:ascii="宋体" w:hAnsi="宋体" w:eastAsia="宋体" w:cs="宋体"/>
                <w:color w:val="auto"/>
                <w:szCs w:val="21"/>
                <w:highlight w:val="none"/>
              </w:rPr>
            </w:pPr>
          </w:p>
        </w:tc>
        <w:tc>
          <w:tcPr>
            <w:tcW w:w="1403" w:type="dxa"/>
          </w:tcPr>
          <w:p w14:paraId="4EB071B2">
            <w:pPr>
              <w:pStyle w:val="29"/>
              <w:shd w:val="clear"/>
              <w:spacing w:line="480" w:lineRule="exact"/>
              <w:jc w:val="center"/>
              <w:rPr>
                <w:rFonts w:hint="eastAsia" w:ascii="宋体" w:hAnsi="宋体" w:eastAsia="宋体" w:cs="宋体"/>
                <w:color w:val="auto"/>
                <w:szCs w:val="21"/>
                <w:highlight w:val="none"/>
              </w:rPr>
            </w:pPr>
          </w:p>
        </w:tc>
      </w:tr>
      <w:tr w14:paraId="00A3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14:paraId="56DF3844">
            <w:pPr>
              <w:pStyle w:val="29"/>
              <w:shd w:val="clear"/>
              <w:spacing w:line="480" w:lineRule="exact"/>
              <w:jc w:val="center"/>
              <w:rPr>
                <w:rFonts w:hint="eastAsia" w:ascii="宋体" w:hAnsi="宋体" w:eastAsia="宋体" w:cs="宋体"/>
                <w:color w:val="auto"/>
                <w:szCs w:val="21"/>
                <w:highlight w:val="none"/>
              </w:rPr>
            </w:pPr>
          </w:p>
        </w:tc>
        <w:tc>
          <w:tcPr>
            <w:tcW w:w="1026" w:type="dxa"/>
            <w:vAlign w:val="center"/>
          </w:tcPr>
          <w:p w14:paraId="165F2A90">
            <w:pPr>
              <w:pStyle w:val="29"/>
              <w:shd w:val="clear"/>
              <w:spacing w:line="480" w:lineRule="exact"/>
              <w:jc w:val="center"/>
              <w:rPr>
                <w:rFonts w:hint="eastAsia" w:ascii="宋体" w:hAnsi="宋体" w:eastAsia="宋体" w:cs="宋体"/>
                <w:color w:val="auto"/>
                <w:szCs w:val="21"/>
                <w:highlight w:val="none"/>
              </w:rPr>
            </w:pPr>
          </w:p>
        </w:tc>
        <w:tc>
          <w:tcPr>
            <w:tcW w:w="877" w:type="dxa"/>
            <w:vAlign w:val="center"/>
          </w:tcPr>
          <w:p w14:paraId="08000313">
            <w:pPr>
              <w:pStyle w:val="29"/>
              <w:shd w:val="clear"/>
              <w:spacing w:line="480" w:lineRule="exact"/>
              <w:jc w:val="center"/>
              <w:rPr>
                <w:rFonts w:hint="eastAsia" w:ascii="宋体" w:hAnsi="宋体" w:eastAsia="宋体" w:cs="宋体"/>
                <w:color w:val="auto"/>
                <w:szCs w:val="21"/>
                <w:highlight w:val="none"/>
              </w:rPr>
            </w:pPr>
          </w:p>
        </w:tc>
        <w:tc>
          <w:tcPr>
            <w:tcW w:w="1533" w:type="dxa"/>
          </w:tcPr>
          <w:p w14:paraId="0E37FED4">
            <w:pPr>
              <w:pStyle w:val="29"/>
              <w:shd w:val="clear"/>
              <w:spacing w:line="480" w:lineRule="exact"/>
              <w:jc w:val="center"/>
              <w:rPr>
                <w:rFonts w:hint="eastAsia" w:ascii="宋体" w:hAnsi="宋体" w:eastAsia="宋体" w:cs="宋体"/>
                <w:color w:val="auto"/>
                <w:szCs w:val="21"/>
                <w:highlight w:val="none"/>
              </w:rPr>
            </w:pPr>
          </w:p>
        </w:tc>
        <w:tc>
          <w:tcPr>
            <w:tcW w:w="1357" w:type="dxa"/>
            <w:vAlign w:val="center"/>
          </w:tcPr>
          <w:p w14:paraId="4B46AB05">
            <w:pPr>
              <w:pStyle w:val="29"/>
              <w:shd w:val="clear"/>
              <w:spacing w:line="480" w:lineRule="exact"/>
              <w:jc w:val="center"/>
              <w:rPr>
                <w:rFonts w:hint="eastAsia" w:ascii="宋体" w:hAnsi="宋体" w:eastAsia="宋体" w:cs="宋体"/>
                <w:color w:val="auto"/>
                <w:szCs w:val="21"/>
                <w:highlight w:val="none"/>
              </w:rPr>
            </w:pPr>
          </w:p>
        </w:tc>
        <w:tc>
          <w:tcPr>
            <w:tcW w:w="1200" w:type="dxa"/>
            <w:vAlign w:val="center"/>
          </w:tcPr>
          <w:p w14:paraId="502B8E1D">
            <w:pPr>
              <w:pStyle w:val="29"/>
              <w:shd w:val="clear"/>
              <w:spacing w:line="480" w:lineRule="exact"/>
              <w:jc w:val="center"/>
              <w:rPr>
                <w:rFonts w:hint="eastAsia" w:ascii="宋体" w:hAnsi="宋体" w:eastAsia="宋体" w:cs="宋体"/>
                <w:color w:val="auto"/>
                <w:szCs w:val="21"/>
                <w:highlight w:val="none"/>
              </w:rPr>
            </w:pPr>
          </w:p>
        </w:tc>
        <w:tc>
          <w:tcPr>
            <w:tcW w:w="1403" w:type="dxa"/>
            <w:vAlign w:val="center"/>
          </w:tcPr>
          <w:p w14:paraId="58ECC508">
            <w:pPr>
              <w:pStyle w:val="29"/>
              <w:shd w:val="clear"/>
              <w:spacing w:line="480" w:lineRule="exact"/>
              <w:jc w:val="center"/>
              <w:rPr>
                <w:rFonts w:hint="eastAsia" w:ascii="宋体" w:hAnsi="宋体" w:eastAsia="宋体" w:cs="宋体"/>
                <w:color w:val="auto"/>
                <w:szCs w:val="21"/>
                <w:highlight w:val="none"/>
              </w:rPr>
            </w:pPr>
          </w:p>
        </w:tc>
        <w:tc>
          <w:tcPr>
            <w:tcW w:w="1403" w:type="dxa"/>
          </w:tcPr>
          <w:p w14:paraId="583818B7">
            <w:pPr>
              <w:pStyle w:val="29"/>
              <w:shd w:val="clear"/>
              <w:spacing w:line="480" w:lineRule="exact"/>
              <w:jc w:val="center"/>
              <w:rPr>
                <w:rFonts w:hint="eastAsia" w:ascii="宋体" w:hAnsi="宋体" w:eastAsia="宋体" w:cs="宋体"/>
                <w:color w:val="auto"/>
                <w:szCs w:val="21"/>
                <w:highlight w:val="none"/>
              </w:rPr>
            </w:pPr>
          </w:p>
        </w:tc>
      </w:tr>
      <w:tr w14:paraId="7491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14:paraId="4A32F191">
            <w:pPr>
              <w:pStyle w:val="29"/>
              <w:shd w:val="clear"/>
              <w:spacing w:line="480" w:lineRule="exact"/>
              <w:jc w:val="center"/>
              <w:rPr>
                <w:rFonts w:hint="eastAsia" w:ascii="宋体" w:hAnsi="宋体" w:eastAsia="宋体" w:cs="宋体"/>
                <w:color w:val="auto"/>
                <w:szCs w:val="21"/>
                <w:highlight w:val="none"/>
              </w:rPr>
            </w:pPr>
          </w:p>
        </w:tc>
        <w:tc>
          <w:tcPr>
            <w:tcW w:w="1026" w:type="dxa"/>
            <w:vAlign w:val="center"/>
          </w:tcPr>
          <w:p w14:paraId="4DBE18D8">
            <w:pPr>
              <w:pStyle w:val="29"/>
              <w:shd w:val="clear"/>
              <w:spacing w:line="480" w:lineRule="exact"/>
              <w:jc w:val="center"/>
              <w:rPr>
                <w:rFonts w:hint="eastAsia" w:ascii="宋体" w:hAnsi="宋体" w:eastAsia="宋体" w:cs="宋体"/>
                <w:color w:val="auto"/>
                <w:szCs w:val="21"/>
                <w:highlight w:val="none"/>
              </w:rPr>
            </w:pPr>
          </w:p>
        </w:tc>
        <w:tc>
          <w:tcPr>
            <w:tcW w:w="877" w:type="dxa"/>
            <w:vAlign w:val="center"/>
          </w:tcPr>
          <w:p w14:paraId="1456B1B3">
            <w:pPr>
              <w:pStyle w:val="29"/>
              <w:shd w:val="clear"/>
              <w:spacing w:line="480" w:lineRule="exact"/>
              <w:jc w:val="center"/>
              <w:rPr>
                <w:rFonts w:hint="eastAsia" w:ascii="宋体" w:hAnsi="宋体" w:eastAsia="宋体" w:cs="宋体"/>
                <w:color w:val="auto"/>
                <w:szCs w:val="21"/>
                <w:highlight w:val="none"/>
              </w:rPr>
            </w:pPr>
          </w:p>
        </w:tc>
        <w:tc>
          <w:tcPr>
            <w:tcW w:w="1533" w:type="dxa"/>
          </w:tcPr>
          <w:p w14:paraId="200B256F">
            <w:pPr>
              <w:pStyle w:val="29"/>
              <w:shd w:val="clear"/>
              <w:spacing w:line="480" w:lineRule="exact"/>
              <w:jc w:val="center"/>
              <w:rPr>
                <w:rFonts w:hint="eastAsia" w:ascii="宋体" w:hAnsi="宋体" w:eastAsia="宋体" w:cs="宋体"/>
                <w:color w:val="auto"/>
                <w:szCs w:val="21"/>
                <w:highlight w:val="none"/>
              </w:rPr>
            </w:pPr>
          </w:p>
        </w:tc>
        <w:tc>
          <w:tcPr>
            <w:tcW w:w="1357" w:type="dxa"/>
            <w:vAlign w:val="center"/>
          </w:tcPr>
          <w:p w14:paraId="365441C2">
            <w:pPr>
              <w:pStyle w:val="29"/>
              <w:shd w:val="clear"/>
              <w:spacing w:line="480" w:lineRule="exact"/>
              <w:jc w:val="center"/>
              <w:rPr>
                <w:rFonts w:hint="eastAsia" w:ascii="宋体" w:hAnsi="宋体" w:eastAsia="宋体" w:cs="宋体"/>
                <w:color w:val="auto"/>
                <w:szCs w:val="21"/>
                <w:highlight w:val="none"/>
              </w:rPr>
            </w:pPr>
          </w:p>
        </w:tc>
        <w:tc>
          <w:tcPr>
            <w:tcW w:w="1200" w:type="dxa"/>
            <w:vAlign w:val="center"/>
          </w:tcPr>
          <w:p w14:paraId="46407249">
            <w:pPr>
              <w:pStyle w:val="29"/>
              <w:shd w:val="clear"/>
              <w:spacing w:line="480" w:lineRule="exact"/>
              <w:jc w:val="center"/>
              <w:rPr>
                <w:rFonts w:hint="eastAsia" w:ascii="宋体" w:hAnsi="宋体" w:eastAsia="宋体" w:cs="宋体"/>
                <w:color w:val="auto"/>
                <w:szCs w:val="21"/>
                <w:highlight w:val="none"/>
              </w:rPr>
            </w:pPr>
          </w:p>
        </w:tc>
        <w:tc>
          <w:tcPr>
            <w:tcW w:w="1403" w:type="dxa"/>
            <w:vAlign w:val="center"/>
          </w:tcPr>
          <w:p w14:paraId="4E74A9BB">
            <w:pPr>
              <w:pStyle w:val="29"/>
              <w:shd w:val="clear"/>
              <w:spacing w:line="480" w:lineRule="exact"/>
              <w:jc w:val="center"/>
              <w:rPr>
                <w:rFonts w:hint="eastAsia" w:ascii="宋体" w:hAnsi="宋体" w:eastAsia="宋体" w:cs="宋体"/>
                <w:color w:val="auto"/>
                <w:szCs w:val="21"/>
                <w:highlight w:val="none"/>
              </w:rPr>
            </w:pPr>
          </w:p>
        </w:tc>
        <w:tc>
          <w:tcPr>
            <w:tcW w:w="1403" w:type="dxa"/>
          </w:tcPr>
          <w:p w14:paraId="02EE98D9">
            <w:pPr>
              <w:pStyle w:val="29"/>
              <w:shd w:val="clear"/>
              <w:spacing w:line="480" w:lineRule="exact"/>
              <w:jc w:val="center"/>
              <w:rPr>
                <w:rFonts w:hint="eastAsia" w:ascii="宋体" w:hAnsi="宋体" w:eastAsia="宋体" w:cs="宋体"/>
                <w:color w:val="auto"/>
                <w:szCs w:val="21"/>
                <w:highlight w:val="none"/>
              </w:rPr>
            </w:pPr>
          </w:p>
        </w:tc>
      </w:tr>
    </w:tbl>
    <w:p w14:paraId="642967C7">
      <w:pPr>
        <w:shd w:val="clea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int="eastAsia" w:ascii="宋体" w:hAnsi="宋体" w:eastAsia="宋体" w:cs="宋体"/>
          <w:color w:val="auto"/>
          <w:sz w:val="22"/>
          <w:szCs w:val="22"/>
          <w:highlight w:val="none"/>
        </w:rPr>
      </w:pPr>
    </w:p>
    <w:p w14:paraId="5FF34033">
      <w:pPr>
        <w:shd w:val="clear"/>
        <w:tabs>
          <w:tab w:val="left" w:pos="654"/>
          <w:tab w:val="left" w:pos="1734"/>
          <w:tab w:val="left" w:pos="2814"/>
          <w:tab w:val="left" w:pos="3894"/>
          <w:tab w:val="left" w:pos="5334"/>
          <w:tab w:val="left" w:pos="6414"/>
          <w:tab w:val="left" w:pos="7254"/>
          <w:tab w:val="left" w:pos="8574"/>
          <w:tab w:val="left" w:pos="9654"/>
        </w:tabs>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p w14:paraId="469F2D8A">
      <w:pPr>
        <w:shd w:val="clea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1.供应商可以根据本表格内容和实际情况制作本表格。</w:t>
      </w:r>
    </w:p>
    <w:p w14:paraId="2B15EC1C">
      <w:pPr>
        <w:shd w:val="clea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2.供应商应当在响应文件中提供评分标准中要求提供的资料。（上述文件均加盖供应商公章）</w:t>
      </w:r>
    </w:p>
    <w:p w14:paraId="6338E752">
      <w:pPr>
        <w:pStyle w:val="21"/>
        <w:shd w:val="clear"/>
        <w:rPr>
          <w:rFonts w:hint="eastAsia" w:ascii="宋体" w:hAnsi="宋体" w:eastAsia="宋体" w:cs="宋体"/>
          <w:color w:val="auto"/>
          <w:sz w:val="21"/>
          <w:szCs w:val="21"/>
          <w:highlight w:val="none"/>
        </w:rPr>
      </w:pPr>
    </w:p>
    <w:p w14:paraId="0CCD794A">
      <w:pPr>
        <w:shd w:val="clear"/>
        <w:overflowPunct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14:paraId="789F58C7">
      <w:pPr>
        <w:shd w:val="clear"/>
        <w:overflowPunct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供应商法定代表人或受委托人（签名或盖私章）：</w:t>
      </w:r>
    </w:p>
    <w:p w14:paraId="195E078A">
      <w:pPr>
        <w:shd w:val="clear"/>
        <w:overflowPunct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日期：年月日</w:t>
      </w:r>
    </w:p>
    <w:p w14:paraId="1DD2B7B8">
      <w:pPr>
        <w:shd w:val="clear"/>
        <w:spacing w:line="480" w:lineRule="exact"/>
        <w:rPr>
          <w:rFonts w:hint="eastAsia" w:ascii="宋体" w:hAnsi="宋体" w:eastAsia="宋体" w:cs="宋体"/>
          <w:b/>
          <w:bCs/>
          <w:color w:val="auto"/>
          <w:szCs w:val="21"/>
          <w:highlight w:val="none"/>
          <w:u w:val="single"/>
        </w:rPr>
      </w:pPr>
    </w:p>
    <w:p w14:paraId="6A01107D">
      <w:pPr>
        <w:pStyle w:val="5"/>
        <w:numPr>
          <w:ilvl w:val="0"/>
          <w:numId w:val="16"/>
        </w:numPr>
        <w:shd w:val="clear"/>
        <w:jc w:val="center"/>
        <w:rPr>
          <w:rFonts w:hint="eastAsia" w:ascii="宋体" w:hAnsi="宋体" w:eastAsia="宋体" w:cs="宋体"/>
          <w:bCs/>
          <w:color w:val="auto"/>
          <w:sz w:val="28"/>
          <w:szCs w:val="28"/>
          <w:highlight w:val="none"/>
        </w:rPr>
      </w:pPr>
      <w:r>
        <w:rPr>
          <w:rFonts w:hint="eastAsia" w:ascii="宋体" w:hAnsi="宋体" w:eastAsia="宋体" w:cs="宋体"/>
          <w:bCs/>
          <w:color w:val="auto"/>
          <w:szCs w:val="21"/>
          <w:highlight w:val="none"/>
        </w:rPr>
        <w:br w:type="page"/>
      </w:r>
      <w:bookmarkEnd w:id="261"/>
      <w:bookmarkEnd w:id="262"/>
      <w:bookmarkEnd w:id="263"/>
      <w:bookmarkEnd w:id="264"/>
      <w:bookmarkEnd w:id="265"/>
      <w:bookmarkEnd w:id="266"/>
      <w:bookmarkEnd w:id="267"/>
      <w:bookmarkEnd w:id="268"/>
      <w:bookmarkEnd w:id="269"/>
      <w:bookmarkEnd w:id="270"/>
      <w:bookmarkEnd w:id="271"/>
      <w:bookmarkEnd w:id="272"/>
      <w:bookmarkStart w:id="277" w:name="_Toc16598"/>
      <w:bookmarkStart w:id="278" w:name="_Toc13441"/>
      <w:r>
        <w:rPr>
          <w:rFonts w:hint="eastAsia" w:ascii="宋体" w:hAnsi="宋体" w:eastAsia="宋体" w:cs="宋体"/>
          <w:bCs/>
          <w:color w:val="auto"/>
          <w:sz w:val="28"/>
          <w:szCs w:val="28"/>
          <w:highlight w:val="none"/>
        </w:rPr>
        <w:t>磋商保证金汇入情况说明（适用于转账、电汇方式）</w:t>
      </w:r>
      <w:bookmarkEnd w:id="277"/>
      <w:bookmarkEnd w:id="278"/>
    </w:p>
    <w:p w14:paraId="7349E0B2">
      <w:pPr>
        <w:shd w:val="clear"/>
        <w:spacing w:line="460" w:lineRule="exact"/>
        <w:rPr>
          <w:rFonts w:hint="eastAsia" w:ascii="宋体" w:hAnsi="宋体" w:eastAsia="宋体" w:cs="宋体"/>
          <w:b/>
          <w:bCs/>
          <w:color w:val="auto"/>
          <w:sz w:val="22"/>
          <w:szCs w:val="22"/>
          <w:highlight w:val="none"/>
        </w:rPr>
      </w:pPr>
    </w:p>
    <w:p w14:paraId="55322277">
      <w:pPr>
        <w:shd w:val="clea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广东志合项目管理有限公司</w:t>
      </w:r>
      <w:r>
        <w:rPr>
          <w:rFonts w:hint="eastAsia" w:ascii="宋体" w:hAnsi="宋体" w:eastAsia="宋体" w:cs="宋体"/>
          <w:color w:val="auto"/>
          <w:sz w:val="21"/>
          <w:szCs w:val="21"/>
          <w:highlight w:val="none"/>
        </w:rPr>
        <w:t xml:space="preserve">： </w:t>
      </w:r>
    </w:p>
    <w:p w14:paraId="57343108">
      <w:pPr>
        <w:shd w:val="clea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本单位已按</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采购编号：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的磋商文件要求，于年月日前以（付款形式）方式汇入指定帐户（帐户名称：，帐号：,开户银行：）。</w:t>
      </w:r>
    </w:p>
    <w:p w14:paraId="70D366DB">
      <w:pPr>
        <w:shd w:val="clea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供应商磋商保证金的汇款情况：（详见附件－磋商保证金进帐单）汇出时间：年月日；</w:t>
      </w:r>
    </w:p>
    <w:p w14:paraId="4206D2BF">
      <w:pPr>
        <w:shd w:val="clear"/>
        <w:spacing w:line="4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汇款金额：（大写）人民币</w:t>
      </w:r>
      <w:r>
        <w:rPr>
          <w:rFonts w:hint="eastAsia" w:ascii="宋体" w:hAnsi="宋体" w:eastAsia="宋体" w:cs="宋体"/>
          <w:color w:val="auto"/>
          <w:sz w:val="21"/>
          <w:szCs w:val="21"/>
          <w:highlight w:val="none"/>
          <w:u w:val="single"/>
        </w:rPr>
        <w:t xml:space="preserve">               元整</w:t>
      </w:r>
    </w:p>
    <w:p w14:paraId="4DB1ECF5">
      <w:pPr>
        <w:shd w:val="clear"/>
        <w:spacing w:line="460" w:lineRule="exact"/>
        <w:ind w:firstLine="1365" w:firstLineChars="6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（小写）￥元。</w:t>
      </w:r>
    </w:p>
    <w:p w14:paraId="2D8AB8BC">
      <w:pPr>
        <w:shd w:val="clear"/>
        <w:spacing w:line="4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汇款帐户名称：</w:t>
      </w:r>
      <w:r>
        <w:rPr>
          <w:rFonts w:hint="eastAsia" w:ascii="宋体" w:hAnsi="宋体" w:eastAsia="宋体" w:cs="宋体"/>
          <w:color w:val="auto"/>
          <w:sz w:val="21"/>
          <w:szCs w:val="21"/>
          <w:highlight w:val="none"/>
          <w:u w:val="single"/>
        </w:rPr>
        <w:t xml:space="preserve">  （必须是磋商时使用的单位名称）   </w:t>
      </w:r>
    </w:p>
    <w:p w14:paraId="1586BE39">
      <w:pPr>
        <w:shd w:val="clea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    号：</w:t>
      </w:r>
      <w:r>
        <w:rPr>
          <w:rFonts w:hint="eastAsia" w:ascii="宋体" w:hAnsi="宋体" w:eastAsia="宋体" w:cs="宋体"/>
          <w:color w:val="auto"/>
          <w:sz w:val="21"/>
          <w:szCs w:val="21"/>
          <w:highlight w:val="none"/>
          <w:u w:val="single"/>
        </w:rPr>
        <w:t xml:space="preserve">  （必须是磋商时使用的帐号）     </w:t>
      </w:r>
    </w:p>
    <w:p w14:paraId="0C67E43E">
      <w:pPr>
        <w:shd w:val="clear"/>
        <w:spacing w:line="4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银行   省    市          (分行/支行)    </w:t>
      </w:r>
    </w:p>
    <w:p w14:paraId="6AA167EF">
      <w:pPr>
        <w:shd w:val="clea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本单位谨承诺上述资料是正确、真实的，如因上述证明与事实不符导致的一切损失，本单位保证承担赔偿等一切法律责任。</w:t>
      </w:r>
    </w:p>
    <w:p w14:paraId="6E83CCE2">
      <w:pPr>
        <w:shd w:val="clea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磋商保证金退回时，请按上述资料退回。</w:t>
      </w:r>
    </w:p>
    <w:p w14:paraId="603991C1">
      <w:pPr>
        <w:shd w:val="clear"/>
        <w:spacing w:line="460" w:lineRule="exact"/>
        <w:rPr>
          <w:rFonts w:hint="eastAsia" w:ascii="宋体" w:hAnsi="宋体" w:eastAsia="宋体" w:cs="宋体"/>
          <w:b/>
          <w:bCs/>
          <w:color w:val="auto"/>
          <w:sz w:val="21"/>
          <w:szCs w:val="21"/>
          <w:highlight w:val="none"/>
        </w:rPr>
      </w:pPr>
    </w:p>
    <w:p w14:paraId="42E8E216">
      <w:pPr>
        <w:shd w:val="clear"/>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附件：磋商保证金进帐单复印件（加盖公章）</w:t>
      </w:r>
    </w:p>
    <w:p w14:paraId="6AC12A45">
      <w:pPr>
        <w:shd w:val="clear"/>
        <w:spacing w:line="460" w:lineRule="exact"/>
        <w:ind w:right="965" w:rightChars="402"/>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（公章）</w:t>
      </w:r>
    </w:p>
    <w:p w14:paraId="5A3E3AE1">
      <w:pPr>
        <w:shd w:val="clear"/>
        <w:spacing w:line="460" w:lineRule="exact"/>
        <w:ind w:right="718" w:rightChars="299"/>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588F04FE">
      <w:pPr>
        <w:shd w:val="clea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单位名称：           </w:t>
      </w:r>
    </w:p>
    <w:p w14:paraId="51F12032">
      <w:pPr>
        <w:shd w:val="clea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单位地址：           </w:t>
      </w:r>
    </w:p>
    <w:p w14:paraId="72473B4B">
      <w:pPr>
        <w:shd w:val="clea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                   </w:t>
      </w:r>
    </w:p>
    <w:p w14:paraId="0110A040">
      <w:pPr>
        <w:shd w:val="clea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单位电话：                 联系人手机：              </w:t>
      </w:r>
    </w:p>
    <w:p w14:paraId="1EBE47CD">
      <w:pPr>
        <w:shd w:val="clear"/>
        <w:spacing w:line="360" w:lineRule="auto"/>
        <w:rPr>
          <w:rFonts w:hint="eastAsia" w:ascii="宋体" w:hAnsi="宋体" w:eastAsia="宋体" w:cs="宋体"/>
          <w:b/>
          <w:color w:val="auto"/>
          <w:sz w:val="21"/>
          <w:szCs w:val="21"/>
          <w:highlight w:val="none"/>
        </w:rPr>
      </w:pPr>
    </w:p>
    <w:p w14:paraId="5DD34534">
      <w:pPr>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注：1、本说明的所有内容（包括所填写内容）均需打印；2、本说明及磋商保证金进帐单复印件（加盖公章）在磋商时放入唱标信封内。</w:t>
      </w:r>
      <w:bookmarkStart w:id="279" w:name="_Toc23871"/>
      <w:bookmarkStart w:id="280" w:name="_Toc1711"/>
      <w:bookmarkStart w:id="281" w:name="_Toc3023"/>
      <w:bookmarkStart w:id="282" w:name="_Toc9804"/>
      <w:bookmarkStart w:id="283" w:name="_Toc5810"/>
      <w:bookmarkStart w:id="284" w:name="_Toc3469"/>
      <w:bookmarkStart w:id="285" w:name="_Toc28312"/>
      <w:bookmarkStart w:id="286" w:name="_Toc10038"/>
      <w:bookmarkStart w:id="287" w:name="_Toc32258"/>
      <w:bookmarkStart w:id="288" w:name="_Toc24921"/>
      <w:bookmarkStart w:id="289" w:name="_Toc25023"/>
    </w:p>
    <w:p w14:paraId="688D49EB">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br w:type="page"/>
      </w:r>
    </w:p>
    <w:bookmarkEnd w:id="279"/>
    <w:bookmarkEnd w:id="280"/>
    <w:bookmarkEnd w:id="281"/>
    <w:bookmarkEnd w:id="282"/>
    <w:bookmarkEnd w:id="283"/>
    <w:bookmarkEnd w:id="284"/>
    <w:bookmarkEnd w:id="285"/>
    <w:bookmarkEnd w:id="286"/>
    <w:bookmarkEnd w:id="287"/>
    <w:bookmarkEnd w:id="288"/>
    <w:bookmarkEnd w:id="289"/>
    <w:p w14:paraId="47A1BE69">
      <w:pPr>
        <w:pStyle w:val="5"/>
        <w:pageBreakBefore/>
        <w:shd w:val="clear"/>
        <w:spacing w:line="360" w:lineRule="auto"/>
        <w:jc w:val="center"/>
        <w:rPr>
          <w:rFonts w:hint="eastAsia" w:ascii="宋体" w:hAnsi="宋体" w:eastAsia="宋体" w:cs="宋体"/>
          <w:bCs/>
          <w:color w:val="auto"/>
          <w:sz w:val="28"/>
          <w:szCs w:val="28"/>
          <w:highlight w:val="none"/>
        </w:rPr>
      </w:pPr>
      <w:bookmarkStart w:id="290" w:name="_Toc19888"/>
      <w:bookmarkStart w:id="291" w:name="_Toc20966"/>
      <w:r>
        <w:rPr>
          <w:rFonts w:hint="eastAsia" w:ascii="宋体" w:hAnsi="宋体" w:eastAsia="宋体" w:cs="宋体"/>
          <w:bCs/>
          <w:color w:val="auto"/>
          <w:sz w:val="28"/>
          <w:szCs w:val="28"/>
          <w:highlight w:val="none"/>
        </w:rPr>
        <w:t>第三部分 技术文件</w:t>
      </w:r>
      <w:bookmarkEnd w:id="290"/>
      <w:bookmarkEnd w:id="291"/>
    </w:p>
    <w:p w14:paraId="643BCC4B">
      <w:pPr>
        <w:shd w:val="clear"/>
        <w:jc w:val="center"/>
        <w:rPr>
          <w:rFonts w:hint="eastAsia" w:ascii="宋体" w:hAnsi="宋体" w:eastAsia="宋体" w:cs="宋体"/>
          <w:color w:val="auto"/>
          <w:highlight w:val="none"/>
        </w:rPr>
      </w:pPr>
    </w:p>
    <w:p w14:paraId="68963E44">
      <w:pPr>
        <w:pStyle w:val="5"/>
        <w:numPr>
          <w:ilvl w:val="0"/>
          <w:numId w:val="17"/>
        </w:numPr>
        <w:shd w:val="clear"/>
        <w:jc w:val="center"/>
        <w:rPr>
          <w:rFonts w:hint="eastAsia" w:ascii="宋体" w:hAnsi="宋体" w:eastAsia="宋体" w:cs="宋体"/>
          <w:color w:val="auto"/>
          <w:highlight w:val="none"/>
        </w:rPr>
      </w:pPr>
      <w:bookmarkStart w:id="292" w:name="_Toc24064"/>
      <w:bookmarkStart w:id="293" w:name="_Toc15167"/>
      <w:bookmarkStart w:id="294" w:name="_Toc1852"/>
      <w:bookmarkStart w:id="295" w:name="_Toc25949"/>
      <w:bookmarkStart w:id="296" w:name="_Toc9540"/>
      <w:bookmarkStart w:id="297" w:name="_Toc28884"/>
      <w:bookmarkStart w:id="298" w:name="_Toc7161"/>
      <w:bookmarkStart w:id="299" w:name="_Toc31683"/>
      <w:bookmarkStart w:id="300" w:name="_Toc9579"/>
      <w:r>
        <w:rPr>
          <w:rFonts w:hint="eastAsia" w:ascii="宋体" w:hAnsi="宋体" w:eastAsia="宋体" w:cs="宋体"/>
          <w:color w:val="auto"/>
          <w:highlight w:val="none"/>
        </w:rPr>
        <w:t>技术方案</w:t>
      </w:r>
      <w:bookmarkEnd w:id="292"/>
      <w:bookmarkEnd w:id="293"/>
      <w:bookmarkEnd w:id="294"/>
      <w:bookmarkEnd w:id="295"/>
      <w:bookmarkEnd w:id="296"/>
      <w:bookmarkEnd w:id="297"/>
      <w:bookmarkEnd w:id="298"/>
      <w:bookmarkEnd w:id="299"/>
      <w:bookmarkEnd w:id="300"/>
    </w:p>
    <w:p w14:paraId="39D4DCB5">
      <w:pPr>
        <w:shd w:val="clear"/>
        <w:snapToGrid w:val="0"/>
        <w:spacing w:line="360" w:lineRule="auto"/>
        <w:rPr>
          <w:rFonts w:hint="eastAsia" w:ascii="宋体" w:hAnsi="宋体" w:eastAsia="宋体" w:cs="宋体"/>
          <w:color w:val="auto"/>
          <w:sz w:val="21"/>
          <w:szCs w:val="21"/>
          <w:highlight w:val="none"/>
        </w:rPr>
      </w:pPr>
    </w:p>
    <w:p w14:paraId="0304C25A">
      <w:pPr>
        <w:shd w:val="clea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根据用户需求书编写。</w:t>
      </w:r>
    </w:p>
    <w:p w14:paraId="299E1BF2">
      <w:pPr>
        <w:shd w:val="clear"/>
        <w:snapToGrid w:val="0"/>
        <w:spacing w:line="360" w:lineRule="auto"/>
        <w:rPr>
          <w:rFonts w:hint="eastAsia" w:ascii="宋体" w:hAnsi="宋体" w:eastAsia="宋体" w:cs="宋体"/>
          <w:color w:val="auto"/>
          <w:sz w:val="21"/>
          <w:szCs w:val="21"/>
          <w:highlight w:val="none"/>
        </w:rPr>
      </w:pPr>
    </w:p>
    <w:p w14:paraId="7B998789">
      <w:pPr>
        <w:pStyle w:val="3"/>
        <w:shd w:val="clear"/>
        <w:rPr>
          <w:rFonts w:hint="eastAsia" w:ascii="宋体" w:hAnsi="宋体" w:eastAsia="宋体" w:cs="宋体"/>
          <w:color w:val="auto"/>
          <w:sz w:val="21"/>
          <w:szCs w:val="21"/>
          <w:highlight w:val="none"/>
        </w:rPr>
      </w:pPr>
    </w:p>
    <w:p w14:paraId="32F8AE99">
      <w:pPr>
        <w:pStyle w:val="3"/>
        <w:shd w:val="clear"/>
        <w:rPr>
          <w:rFonts w:hint="eastAsia" w:ascii="宋体" w:hAnsi="宋体" w:eastAsia="宋体" w:cs="宋体"/>
          <w:color w:val="auto"/>
          <w:sz w:val="21"/>
          <w:szCs w:val="21"/>
          <w:highlight w:val="none"/>
        </w:rPr>
      </w:pPr>
    </w:p>
    <w:p w14:paraId="70769F54">
      <w:pPr>
        <w:pStyle w:val="3"/>
        <w:shd w:val="clear"/>
        <w:rPr>
          <w:rFonts w:hint="eastAsia" w:ascii="宋体" w:hAnsi="宋体" w:eastAsia="宋体" w:cs="宋体"/>
          <w:color w:val="auto"/>
          <w:sz w:val="21"/>
          <w:szCs w:val="21"/>
          <w:highlight w:val="none"/>
        </w:rPr>
      </w:pPr>
    </w:p>
    <w:p w14:paraId="1F2C74B8">
      <w:pPr>
        <w:pStyle w:val="3"/>
        <w:shd w:val="clear"/>
        <w:rPr>
          <w:rFonts w:hint="eastAsia" w:ascii="宋体" w:hAnsi="宋体" w:eastAsia="宋体" w:cs="宋体"/>
          <w:color w:val="auto"/>
          <w:sz w:val="21"/>
          <w:szCs w:val="21"/>
          <w:highlight w:val="none"/>
        </w:rPr>
      </w:pPr>
    </w:p>
    <w:p w14:paraId="1CFDEB97">
      <w:pPr>
        <w:pStyle w:val="3"/>
        <w:shd w:val="clear"/>
        <w:rPr>
          <w:rFonts w:hint="eastAsia" w:ascii="宋体" w:hAnsi="宋体" w:eastAsia="宋体" w:cs="宋体"/>
          <w:color w:val="auto"/>
          <w:sz w:val="21"/>
          <w:szCs w:val="21"/>
          <w:highlight w:val="none"/>
        </w:rPr>
      </w:pPr>
    </w:p>
    <w:p w14:paraId="766FB030">
      <w:pPr>
        <w:pStyle w:val="3"/>
        <w:shd w:val="clear"/>
        <w:rPr>
          <w:rFonts w:hint="eastAsia" w:ascii="宋体" w:hAnsi="宋体" w:eastAsia="宋体" w:cs="宋体"/>
          <w:color w:val="auto"/>
          <w:sz w:val="21"/>
          <w:szCs w:val="21"/>
          <w:highlight w:val="none"/>
        </w:rPr>
      </w:pPr>
    </w:p>
    <w:p w14:paraId="0BB42B77">
      <w:pPr>
        <w:pStyle w:val="3"/>
        <w:shd w:val="clear"/>
        <w:rPr>
          <w:rFonts w:hint="eastAsia" w:ascii="宋体" w:hAnsi="宋体" w:eastAsia="宋体" w:cs="宋体"/>
          <w:color w:val="auto"/>
          <w:sz w:val="21"/>
          <w:szCs w:val="21"/>
          <w:highlight w:val="none"/>
        </w:rPr>
      </w:pPr>
    </w:p>
    <w:p w14:paraId="287F5BE5">
      <w:pPr>
        <w:pStyle w:val="3"/>
        <w:shd w:val="clear"/>
        <w:rPr>
          <w:rFonts w:hint="eastAsia" w:ascii="宋体" w:hAnsi="宋体" w:eastAsia="宋体" w:cs="宋体"/>
          <w:color w:val="auto"/>
          <w:sz w:val="21"/>
          <w:szCs w:val="21"/>
          <w:highlight w:val="none"/>
        </w:rPr>
      </w:pPr>
    </w:p>
    <w:p w14:paraId="3ADEA9CA">
      <w:pPr>
        <w:pStyle w:val="3"/>
        <w:shd w:val="clear"/>
        <w:rPr>
          <w:rFonts w:hint="eastAsia" w:ascii="宋体" w:hAnsi="宋体" w:eastAsia="宋体" w:cs="宋体"/>
          <w:color w:val="auto"/>
          <w:sz w:val="21"/>
          <w:szCs w:val="21"/>
          <w:highlight w:val="none"/>
        </w:rPr>
      </w:pPr>
    </w:p>
    <w:p w14:paraId="40D9D51B">
      <w:pPr>
        <w:pStyle w:val="3"/>
        <w:shd w:val="clear"/>
        <w:rPr>
          <w:rFonts w:hint="eastAsia" w:ascii="宋体" w:hAnsi="宋体" w:eastAsia="宋体" w:cs="宋体"/>
          <w:color w:val="auto"/>
          <w:sz w:val="21"/>
          <w:szCs w:val="21"/>
          <w:highlight w:val="none"/>
        </w:rPr>
      </w:pPr>
    </w:p>
    <w:p w14:paraId="582227CC">
      <w:pPr>
        <w:pStyle w:val="3"/>
        <w:shd w:val="clear"/>
        <w:rPr>
          <w:rFonts w:hint="eastAsia" w:ascii="宋体" w:hAnsi="宋体" w:eastAsia="宋体" w:cs="宋体"/>
          <w:color w:val="auto"/>
          <w:sz w:val="21"/>
          <w:szCs w:val="21"/>
          <w:highlight w:val="none"/>
        </w:rPr>
      </w:pPr>
    </w:p>
    <w:p w14:paraId="228C6A94">
      <w:pPr>
        <w:pStyle w:val="3"/>
        <w:shd w:val="clear"/>
        <w:rPr>
          <w:rFonts w:hint="eastAsia" w:ascii="宋体" w:hAnsi="宋体" w:eastAsia="宋体" w:cs="宋体"/>
          <w:color w:val="auto"/>
          <w:sz w:val="21"/>
          <w:szCs w:val="21"/>
          <w:highlight w:val="none"/>
        </w:rPr>
      </w:pPr>
    </w:p>
    <w:p w14:paraId="7EDE03FD">
      <w:pPr>
        <w:pStyle w:val="3"/>
        <w:shd w:val="clear"/>
        <w:rPr>
          <w:rFonts w:hint="eastAsia" w:ascii="宋体" w:hAnsi="宋体" w:eastAsia="宋体" w:cs="宋体"/>
          <w:color w:val="auto"/>
          <w:sz w:val="21"/>
          <w:szCs w:val="21"/>
          <w:highlight w:val="none"/>
        </w:rPr>
      </w:pPr>
    </w:p>
    <w:p w14:paraId="78A8A03A">
      <w:pPr>
        <w:pStyle w:val="3"/>
        <w:shd w:val="clear"/>
        <w:rPr>
          <w:rFonts w:hint="eastAsia" w:ascii="宋体" w:hAnsi="宋体" w:eastAsia="宋体" w:cs="宋体"/>
          <w:color w:val="auto"/>
          <w:sz w:val="21"/>
          <w:szCs w:val="21"/>
          <w:highlight w:val="none"/>
        </w:rPr>
      </w:pPr>
    </w:p>
    <w:p w14:paraId="5AB0DC73">
      <w:pPr>
        <w:pStyle w:val="3"/>
        <w:shd w:val="clear"/>
        <w:rPr>
          <w:rFonts w:hint="eastAsia" w:ascii="宋体" w:hAnsi="宋体" w:eastAsia="宋体" w:cs="宋体"/>
          <w:color w:val="auto"/>
          <w:sz w:val="21"/>
          <w:szCs w:val="21"/>
          <w:highlight w:val="none"/>
        </w:rPr>
      </w:pPr>
    </w:p>
    <w:p w14:paraId="370E2C78">
      <w:pPr>
        <w:pStyle w:val="3"/>
        <w:shd w:val="clear"/>
        <w:rPr>
          <w:rFonts w:hint="eastAsia" w:ascii="宋体" w:hAnsi="宋体" w:eastAsia="宋体" w:cs="宋体"/>
          <w:color w:val="auto"/>
          <w:sz w:val="21"/>
          <w:szCs w:val="21"/>
          <w:highlight w:val="none"/>
        </w:rPr>
      </w:pPr>
    </w:p>
    <w:p w14:paraId="7DE8508B">
      <w:pPr>
        <w:pStyle w:val="3"/>
        <w:shd w:val="clear"/>
        <w:rPr>
          <w:rFonts w:hint="eastAsia" w:ascii="宋体" w:hAnsi="宋体" w:eastAsia="宋体" w:cs="宋体"/>
          <w:color w:val="auto"/>
          <w:sz w:val="21"/>
          <w:szCs w:val="21"/>
          <w:highlight w:val="none"/>
        </w:rPr>
      </w:pPr>
    </w:p>
    <w:p w14:paraId="290B3F61">
      <w:pPr>
        <w:pStyle w:val="3"/>
        <w:shd w:val="clear"/>
        <w:rPr>
          <w:rFonts w:hint="eastAsia" w:ascii="宋体" w:hAnsi="宋体" w:eastAsia="宋体" w:cs="宋体"/>
          <w:color w:val="auto"/>
          <w:sz w:val="21"/>
          <w:szCs w:val="21"/>
          <w:highlight w:val="none"/>
        </w:rPr>
      </w:pPr>
    </w:p>
    <w:p w14:paraId="0B7DC7DD">
      <w:pPr>
        <w:pStyle w:val="3"/>
        <w:shd w:val="clear"/>
        <w:rPr>
          <w:rFonts w:hint="eastAsia" w:ascii="宋体" w:hAnsi="宋体" w:eastAsia="宋体" w:cs="宋体"/>
          <w:color w:val="auto"/>
          <w:sz w:val="21"/>
          <w:szCs w:val="21"/>
          <w:highlight w:val="none"/>
        </w:rPr>
      </w:pPr>
    </w:p>
    <w:p w14:paraId="07353A45">
      <w:pPr>
        <w:pStyle w:val="3"/>
        <w:shd w:val="clear"/>
        <w:rPr>
          <w:rFonts w:hint="eastAsia" w:ascii="宋体" w:hAnsi="宋体" w:eastAsia="宋体" w:cs="宋体"/>
          <w:color w:val="auto"/>
          <w:sz w:val="21"/>
          <w:szCs w:val="21"/>
          <w:highlight w:val="none"/>
        </w:rPr>
      </w:pPr>
    </w:p>
    <w:p w14:paraId="2741CC32">
      <w:pPr>
        <w:pStyle w:val="3"/>
        <w:shd w:val="clear"/>
        <w:rPr>
          <w:rFonts w:hint="eastAsia" w:ascii="宋体" w:hAnsi="宋体" w:eastAsia="宋体" w:cs="宋体"/>
          <w:color w:val="auto"/>
          <w:sz w:val="21"/>
          <w:szCs w:val="21"/>
          <w:highlight w:val="none"/>
        </w:rPr>
      </w:pPr>
    </w:p>
    <w:p w14:paraId="477B6D5C">
      <w:pPr>
        <w:pStyle w:val="3"/>
        <w:shd w:val="clear"/>
        <w:rPr>
          <w:rFonts w:hint="eastAsia" w:ascii="宋体" w:hAnsi="宋体" w:eastAsia="宋体" w:cs="宋体"/>
          <w:color w:val="auto"/>
          <w:sz w:val="21"/>
          <w:szCs w:val="21"/>
          <w:highlight w:val="none"/>
        </w:rPr>
      </w:pPr>
    </w:p>
    <w:p w14:paraId="0C13AFCC">
      <w:pPr>
        <w:pStyle w:val="3"/>
        <w:shd w:val="clear"/>
        <w:rPr>
          <w:rFonts w:hint="eastAsia" w:ascii="宋体" w:hAnsi="宋体" w:eastAsia="宋体" w:cs="宋体"/>
          <w:color w:val="auto"/>
          <w:sz w:val="21"/>
          <w:szCs w:val="21"/>
          <w:highlight w:val="none"/>
        </w:rPr>
      </w:pPr>
    </w:p>
    <w:p w14:paraId="25824605">
      <w:pPr>
        <w:rPr>
          <w:rFonts w:hint="eastAsia" w:ascii="宋体" w:hAnsi="宋体" w:eastAsia="宋体" w:cs="宋体"/>
          <w:color w:val="auto"/>
          <w:highlight w:val="none"/>
        </w:rPr>
      </w:pPr>
      <w:bookmarkStart w:id="301" w:name="_Toc24947"/>
      <w:bookmarkStart w:id="302" w:name="_Toc30049"/>
      <w:bookmarkStart w:id="303" w:name="_Toc9619"/>
      <w:bookmarkStart w:id="304" w:name="_Toc15530"/>
      <w:bookmarkStart w:id="305" w:name="_Toc23849"/>
      <w:bookmarkStart w:id="306" w:name="_Toc9982"/>
      <w:bookmarkStart w:id="307" w:name="_Toc28953"/>
      <w:bookmarkStart w:id="308" w:name="_Toc11036"/>
      <w:bookmarkStart w:id="309" w:name="_Toc12278"/>
      <w:r>
        <w:rPr>
          <w:rFonts w:hint="eastAsia" w:ascii="宋体" w:hAnsi="宋体" w:eastAsia="宋体" w:cs="宋体"/>
          <w:color w:val="auto"/>
          <w:highlight w:val="none"/>
        </w:rPr>
        <w:br w:type="page"/>
      </w:r>
    </w:p>
    <w:p w14:paraId="09A1F8D7">
      <w:pPr>
        <w:pStyle w:val="5"/>
        <w:numPr>
          <w:ilvl w:val="0"/>
          <w:numId w:val="17"/>
        </w:num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其他资料</w:t>
      </w:r>
      <w:bookmarkEnd w:id="301"/>
      <w:bookmarkEnd w:id="302"/>
      <w:bookmarkEnd w:id="303"/>
      <w:bookmarkEnd w:id="304"/>
      <w:bookmarkEnd w:id="305"/>
      <w:bookmarkEnd w:id="306"/>
      <w:bookmarkEnd w:id="307"/>
      <w:bookmarkEnd w:id="308"/>
      <w:bookmarkEnd w:id="309"/>
    </w:p>
    <w:p w14:paraId="74D5B57F">
      <w:pPr>
        <w:pStyle w:val="29"/>
        <w:shd w:val="clear"/>
        <w:spacing w:line="360" w:lineRule="auto"/>
        <w:ind w:firstLine="420"/>
        <w:rPr>
          <w:rFonts w:hint="eastAsia" w:ascii="宋体" w:hAnsi="宋体" w:eastAsia="宋体" w:cs="宋体"/>
          <w:color w:val="auto"/>
          <w:highlight w:val="none"/>
        </w:rPr>
      </w:pPr>
    </w:p>
    <w:p w14:paraId="088255C3">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1、磋商文件要求提供的其他资料（如有）</w:t>
      </w:r>
    </w:p>
    <w:p w14:paraId="60F713D5">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2、供应商认为需要提供的其他资料（如有）</w:t>
      </w:r>
    </w:p>
    <w:p w14:paraId="7941F423">
      <w:pPr>
        <w:pStyle w:val="3"/>
        <w:shd w:val="clear"/>
        <w:rPr>
          <w:rFonts w:hint="eastAsia" w:ascii="宋体" w:hAnsi="宋体" w:eastAsia="宋体" w:cs="宋体"/>
          <w:color w:val="auto"/>
          <w:sz w:val="21"/>
          <w:szCs w:val="21"/>
          <w:highlight w:val="none"/>
        </w:rPr>
      </w:pPr>
    </w:p>
    <w:p w14:paraId="15A43A8B">
      <w:pPr>
        <w:pStyle w:val="3"/>
        <w:shd w:val="clear"/>
        <w:rPr>
          <w:rFonts w:hint="eastAsia" w:ascii="宋体" w:hAnsi="宋体" w:eastAsia="宋体" w:cs="宋体"/>
          <w:color w:val="auto"/>
          <w:sz w:val="21"/>
          <w:szCs w:val="21"/>
          <w:highlight w:val="none"/>
        </w:rPr>
      </w:pPr>
    </w:p>
    <w:p w14:paraId="535CDD11">
      <w:pPr>
        <w:pStyle w:val="3"/>
        <w:shd w:val="clear"/>
        <w:rPr>
          <w:rFonts w:hint="eastAsia" w:ascii="宋体" w:hAnsi="宋体" w:eastAsia="宋体" w:cs="宋体"/>
          <w:color w:val="auto"/>
          <w:sz w:val="21"/>
          <w:szCs w:val="21"/>
          <w:highlight w:val="none"/>
        </w:rPr>
      </w:pPr>
    </w:p>
    <w:p w14:paraId="2E879B3C">
      <w:pPr>
        <w:pStyle w:val="3"/>
        <w:shd w:val="clear"/>
        <w:rPr>
          <w:rFonts w:hint="eastAsia" w:ascii="宋体" w:hAnsi="宋体" w:eastAsia="宋体" w:cs="宋体"/>
          <w:color w:val="auto"/>
          <w:sz w:val="21"/>
          <w:szCs w:val="21"/>
          <w:highlight w:val="none"/>
        </w:rPr>
      </w:pPr>
    </w:p>
    <w:p w14:paraId="2DE64433">
      <w:pPr>
        <w:pStyle w:val="3"/>
        <w:shd w:val="clear"/>
        <w:rPr>
          <w:rFonts w:hint="eastAsia" w:ascii="宋体" w:hAnsi="宋体" w:eastAsia="宋体" w:cs="宋体"/>
          <w:color w:val="auto"/>
          <w:sz w:val="21"/>
          <w:szCs w:val="21"/>
          <w:highlight w:val="none"/>
        </w:rPr>
      </w:pPr>
    </w:p>
    <w:p w14:paraId="5ABFADBE">
      <w:pPr>
        <w:pStyle w:val="3"/>
        <w:shd w:val="clear"/>
        <w:rPr>
          <w:rFonts w:hint="eastAsia" w:ascii="宋体" w:hAnsi="宋体" w:eastAsia="宋体" w:cs="宋体"/>
          <w:color w:val="auto"/>
          <w:sz w:val="21"/>
          <w:szCs w:val="21"/>
          <w:highlight w:val="none"/>
        </w:rPr>
      </w:pPr>
    </w:p>
    <w:p w14:paraId="6D9CDFC5">
      <w:pPr>
        <w:pStyle w:val="3"/>
        <w:shd w:val="clear"/>
        <w:rPr>
          <w:rFonts w:hint="eastAsia" w:ascii="宋体" w:hAnsi="宋体" w:eastAsia="宋体" w:cs="宋体"/>
          <w:color w:val="auto"/>
          <w:sz w:val="21"/>
          <w:szCs w:val="21"/>
          <w:highlight w:val="none"/>
        </w:rPr>
      </w:pPr>
    </w:p>
    <w:p w14:paraId="0FC73E26">
      <w:pPr>
        <w:pStyle w:val="3"/>
        <w:shd w:val="clear"/>
        <w:rPr>
          <w:rFonts w:hint="eastAsia" w:ascii="宋体" w:hAnsi="宋体" w:eastAsia="宋体" w:cs="宋体"/>
          <w:color w:val="auto"/>
          <w:sz w:val="21"/>
          <w:szCs w:val="21"/>
          <w:highlight w:val="none"/>
        </w:rPr>
      </w:pPr>
    </w:p>
    <w:p w14:paraId="75851A88">
      <w:pPr>
        <w:rPr>
          <w:rFonts w:hint="eastAsia" w:ascii="宋体" w:hAnsi="宋体" w:eastAsia="宋体" w:cs="宋体"/>
          <w:color w:val="auto"/>
          <w:sz w:val="28"/>
          <w:szCs w:val="28"/>
          <w:highlight w:val="none"/>
        </w:rPr>
      </w:pPr>
      <w:bookmarkStart w:id="310" w:name="_Toc17492"/>
      <w:r>
        <w:rPr>
          <w:rFonts w:hint="eastAsia" w:ascii="宋体" w:hAnsi="宋体" w:eastAsia="宋体" w:cs="宋体"/>
          <w:color w:val="auto"/>
          <w:sz w:val="28"/>
          <w:szCs w:val="28"/>
          <w:highlight w:val="none"/>
        </w:rPr>
        <w:br w:type="page"/>
      </w:r>
    </w:p>
    <w:p w14:paraId="07A3F1E7">
      <w:pPr>
        <w:pStyle w:val="5"/>
        <w:shd w:val="clea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第四部分 唱标信封</w:t>
      </w:r>
      <w:r>
        <w:rPr>
          <w:rFonts w:hint="eastAsia" w:ascii="宋体" w:hAnsi="宋体" w:eastAsia="宋体" w:cs="宋体"/>
          <w:bCs/>
          <w:color w:val="auto"/>
          <w:sz w:val="28"/>
          <w:szCs w:val="28"/>
          <w:highlight w:val="none"/>
        </w:rPr>
        <w:t>（单独编制装订成册，单独封装）</w:t>
      </w:r>
      <w:bookmarkEnd w:id="310"/>
    </w:p>
    <w:p w14:paraId="764924D3">
      <w:pPr>
        <w:pStyle w:val="78"/>
        <w:shd w:val="clear"/>
        <w:spacing w:line="4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唱标信封内装：</w:t>
      </w:r>
    </w:p>
    <w:p w14:paraId="69B8A633">
      <w:pPr>
        <w:pStyle w:val="78"/>
        <w:shd w:val="clear"/>
        <w:spacing w:line="460" w:lineRule="exac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（1）磋商保证金汇入情况说明及银行汇款凭证复印件加盖公章；</w:t>
      </w:r>
    </w:p>
    <w:p w14:paraId="7ED658E5">
      <w:pPr>
        <w:pStyle w:val="78"/>
        <w:shd w:val="clear"/>
        <w:spacing w:line="460" w:lineRule="exac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（2）法定代表人证明书原件或正本复印件加盖公章；</w:t>
      </w:r>
    </w:p>
    <w:p w14:paraId="651696EB">
      <w:pPr>
        <w:pStyle w:val="78"/>
        <w:shd w:val="clear"/>
        <w:spacing w:line="460" w:lineRule="exac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（3）法定代表人授权委托书原件或正本复印件加盖公章（法定代表人磋商的除外）；</w:t>
      </w:r>
    </w:p>
    <w:p w14:paraId="0A1F8947">
      <w:pPr>
        <w:pStyle w:val="78"/>
        <w:shd w:val="clear"/>
        <w:spacing w:line="460" w:lineRule="exact"/>
        <w:ind w:firstLine="433"/>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（4）磋商文件电子文件（须含盖章版PDF磋商响应文件和WORD版磋商响应文件各一版，文字采用WORD文档，计算表格采用 EXCEL文档, 可采用光盘介质或U盘装载）；</w:t>
      </w:r>
    </w:p>
    <w:p w14:paraId="292C2CB3">
      <w:pPr>
        <w:pStyle w:val="78"/>
        <w:shd w:val="clear"/>
        <w:spacing w:line="460" w:lineRule="exact"/>
        <w:ind w:firstLine="453"/>
        <w:rPr>
          <w:rFonts w:hint="eastAsia" w:ascii="宋体" w:hAnsi="宋体" w:eastAsia="宋体" w:cs="宋体"/>
          <w:color w:val="auto"/>
          <w:sz w:val="22"/>
          <w:szCs w:val="22"/>
          <w:highlight w:val="none"/>
        </w:rPr>
      </w:pPr>
    </w:p>
    <w:p w14:paraId="048FEE88">
      <w:pPr>
        <w:pStyle w:val="78"/>
        <w:shd w:val="clear"/>
        <w:spacing w:line="460" w:lineRule="exact"/>
        <w:ind w:firstLine="453"/>
        <w:rPr>
          <w:rFonts w:hint="eastAsia" w:ascii="宋体" w:hAnsi="宋体" w:eastAsia="宋体" w:cs="宋体"/>
          <w:color w:val="auto"/>
          <w:sz w:val="22"/>
          <w:szCs w:val="22"/>
          <w:highlight w:val="none"/>
        </w:rPr>
      </w:pPr>
    </w:p>
    <w:p w14:paraId="4B17B00B">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14:paraId="340E9885">
      <w:pPr>
        <w:pStyle w:val="5"/>
        <w:numPr>
          <w:ilvl w:val="0"/>
          <w:numId w:val="18"/>
        </w:numPr>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其他格式</w:t>
      </w:r>
    </w:p>
    <w:p w14:paraId="5C15E8F9">
      <w:pPr>
        <w:pStyle w:val="7"/>
        <w:numPr>
          <w:ilvl w:val="255"/>
          <w:numId w:val="0"/>
        </w:numPr>
        <w:tabs>
          <w:tab w:val="left" w:pos="720"/>
          <w:tab w:val="left" w:pos="3840"/>
        </w:tabs>
        <w:ind w:left="283"/>
        <w:jc w:val="both"/>
        <w:rPr>
          <w:rFonts w:hint="eastAsia" w:ascii="宋体" w:hAnsi="宋体" w:eastAsia="宋体" w:cs="宋体"/>
          <w:color w:val="auto"/>
          <w:sz w:val="21"/>
          <w:szCs w:val="21"/>
          <w:highlight w:val="none"/>
        </w:rPr>
      </w:pPr>
      <w:bookmarkStart w:id="311" w:name="_Toc4866"/>
      <w:bookmarkStart w:id="312" w:name="_Toc1562"/>
      <w:bookmarkStart w:id="313" w:name="_Toc29855"/>
      <w:bookmarkStart w:id="314" w:name="_Toc19947"/>
      <w:bookmarkStart w:id="315" w:name="_Toc28623"/>
      <w:bookmarkStart w:id="316" w:name="_Toc17028"/>
      <w:bookmarkStart w:id="317" w:name="_Toc2801"/>
      <w:bookmarkStart w:id="318" w:name="_Toc18296"/>
      <w:bookmarkStart w:id="319" w:name="_Toc2144"/>
      <w:bookmarkStart w:id="320" w:name="_Toc14605"/>
      <w:bookmarkStart w:id="321" w:name="_Toc25861"/>
      <w:r>
        <w:rPr>
          <w:rFonts w:hint="eastAsia" w:ascii="宋体" w:hAnsi="宋体" w:eastAsia="宋体" w:cs="宋体"/>
          <w:color w:val="auto"/>
          <w:sz w:val="21"/>
          <w:szCs w:val="21"/>
          <w:highlight w:val="none"/>
        </w:rPr>
        <w:t>附件1.不可撤销履约保函</w:t>
      </w:r>
      <w:bookmarkEnd w:id="311"/>
      <w:bookmarkEnd w:id="312"/>
      <w:bookmarkEnd w:id="313"/>
      <w:bookmarkEnd w:id="314"/>
      <w:bookmarkEnd w:id="315"/>
      <w:bookmarkEnd w:id="316"/>
      <w:bookmarkEnd w:id="317"/>
      <w:bookmarkEnd w:id="318"/>
      <w:bookmarkEnd w:id="319"/>
      <w:bookmarkEnd w:id="320"/>
      <w:bookmarkEnd w:id="321"/>
    </w:p>
    <w:p w14:paraId="1F0A772B">
      <w:pPr>
        <w:jc w:val="center"/>
        <w:rPr>
          <w:rFonts w:hint="eastAsia" w:ascii="宋体" w:hAnsi="宋体" w:eastAsia="宋体" w:cs="宋体"/>
          <w:color w:val="auto"/>
          <w:highlight w:val="none"/>
        </w:rPr>
      </w:pPr>
      <w:r>
        <w:rPr>
          <w:rFonts w:hint="eastAsia" w:ascii="宋体" w:hAnsi="宋体" w:eastAsia="宋体" w:cs="宋体"/>
          <w:color w:val="auto"/>
          <w:highlight w:val="none"/>
        </w:rPr>
        <w:t>银行编号：</w:t>
      </w:r>
    </w:p>
    <w:p w14:paraId="64CE51BB">
      <w:pPr>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p>
    <w:p w14:paraId="7563B7B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（地址：          ，下称 “乙方” ）</w:t>
      </w:r>
      <w:r>
        <w:rPr>
          <w:rFonts w:hint="eastAsia" w:ascii="宋体" w:hAnsi="宋体" w:eastAsia="宋体" w:cs="宋体"/>
          <w:color w:val="auto"/>
          <w:highlight w:val="none"/>
        </w:rPr>
        <w:t>已保证按</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合同（合同编号：    ）</w:t>
      </w:r>
      <w:r>
        <w:rPr>
          <w:rFonts w:hint="eastAsia" w:ascii="宋体" w:hAnsi="宋体" w:eastAsia="宋体" w:cs="宋体"/>
          <w:color w:val="auto"/>
          <w:highlight w:val="none"/>
        </w:rPr>
        <w:t>中规定的义务履行合同。</w:t>
      </w:r>
    </w:p>
    <w:p w14:paraId="4BCD2BD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根据上述合同约定，乙方应向甲方提供一份金额为合同总价的10%即</w:t>
      </w:r>
      <w:r>
        <w:rPr>
          <w:rFonts w:hint="eastAsia" w:ascii="宋体" w:hAnsi="宋体" w:eastAsia="宋体" w:cs="宋体"/>
          <w:color w:val="auto"/>
          <w:highlight w:val="none"/>
          <w:u w:val="single"/>
        </w:rPr>
        <w:t>人民币      （RMB    元）</w:t>
      </w:r>
      <w:r>
        <w:rPr>
          <w:rFonts w:hint="eastAsia" w:ascii="宋体" w:hAnsi="宋体" w:eastAsia="宋体" w:cs="宋体"/>
          <w:color w:val="auto"/>
          <w:highlight w:val="none"/>
        </w:rPr>
        <w:t>的</w:t>
      </w:r>
      <w:r>
        <w:rPr>
          <w:rFonts w:hint="eastAsia" w:ascii="宋体" w:hAnsi="宋体" w:eastAsia="宋体" w:cs="宋体"/>
          <w:bCs/>
          <w:color w:val="auto"/>
          <w:highlight w:val="none"/>
        </w:rPr>
        <w:t>不可撤销</w:t>
      </w:r>
      <w:r>
        <w:rPr>
          <w:rFonts w:hint="eastAsia" w:ascii="宋体" w:hAnsi="宋体" w:eastAsia="宋体" w:cs="宋体"/>
          <w:color w:val="auto"/>
          <w:highlight w:val="none"/>
        </w:rPr>
        <w:t>银行履约保函，作为乙方履行上述合同的担保。</w:t>
      </w:r>
    </w:p>
    <w:p w14:paraId="08DF477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我方</w:t>
      </w:r>
      <w:r>
        <w:rPr>
          <w:rFonts w:hint="eastAsia" w:ascii="宋体" w:hAnsi="宋体" w:eastAsia="宋体" w:cs="宋体"/>
          <w:color w:val="auto"/>
          <w:highlight w:val="none"/>
          <w:u w:val="single"/>
        </w:rPr>
        <w:t xml:space="preserve">            （银行名称）</w:t>
      </w:r>
      <w:r>
        <w:rPr>
          <w:rFonts w:hint="eastAsia" w:ascii="宋体" w:hAnsi="宋体" w:eastAsia="宋体" w:cs="宋体"/>
          <w:color w:val="auto"/>
          <w:highlight w:val="none"/>
        </w:rPr>
        <w:t>，受乙方的委托，不仅作为连带责任保证人而且作为主要的责任人，无条件和不可撤销地同意在甲方提出因乙方没有履行上述合同规定，而要求扣划保证金的书面要求后，7个工作日内为甲方扣划金额不超过</w:t>
      </w:r>
      <w:r>
        <w:rPr>
          <w:rFonts w:hint="eastAsia" w:ascii="宋体" w:hAnsi="宋体" w:eastAsia="宋体" w:cs="宋体"/>
          <w:color w:val="auto"/>
          <w:highlight w:val="none"/>
          <w:u w:val="single"/>
        </w:rPr>
        <w:t>人民币          （RMB       元）</w:t>
      </w:r>
      <w:r>
        <w:rPr>
          <w:rFonts w:hint="eastAsia" w:ascii="宋体" w:hAnsi="宋体" w:eastAsia="宋体" w:cs="宋体"/>
          <w:color w:val="auto"/>
          <w:highlight w:val="none"/>
        </w:rPr>
        <w:t>的保证金。</w:t>
      </w:r>
    </w:p>
    <w:p w14:paraId="0B4A84A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我方还同意，任何甲方与乙方之间可能对合同条款的修改、规范或其他合同文件的变动补充，都不能免除我方按本保函所承担的责任。因此，有关上述变动、补充和修改无须通知我方。</w:t>
      </w:r>
    </w:p>
    <w:p w14:paraId="3424505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本保函从上述</w:t>
      </w:r>
      <w:r>
        <w:rPr>
          <w:rFonts w:hint="eastAsia" w:ascii="宋体" w:hAnsi="宋体" w:eastAsia="宋体" w:cs="宋体"/>
          <w:color w:val="auto"/>
          <w:szCs w:val="21"/>
          <w:highlight w:val="none"/>
        </w:rPr>
        <w:t>合同签订之日起至项目完工验收合格并结算完毕后，经双方签字</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天内保持有效</w:t>
      </w:r>
      <w:r>
        <w:rPr>
          <w:rFonts w:hint="eastAsia" w:ascii="宋体" w:hAnsi="宋体" w:eastAsia="宋体" w:cs="宋体"/>
          <w:color w:val="auto"/>
          <w:highlight w:val="none"/>
        </w:rPr>
        <w:t>。</w:t>
      </w:r>
    </w:p>
    <w:p w14:paraId="29838B98">
      <w:pPr>
        <w:ind w:firstLine="3228" w:firstLineChars="1345"/>
        <w:rPr>
          <w:rFonts w:hint="eastAsia" w:ascii="宋体" w:hAnsi="宋体" w:eastAsia="宋体" w:cs="宋体"/>
          <w:color w:val="auto"/>
          <w:highlight w:val="none"/>
        </w:rPr>
      </w:pPr>
    </w:p>
    <w:p w14:paraId="7A71CE93">
      <w:pPr>
        <w:ind w:firstLine="5760" w:firstLineChars="2400"/>
        <w:rPr>
          <w:rFonts w:hint="eastAsia" w:ascii="宋体" w:hAnsi="宋体" w:eastAsia="宋体" w:cs="宋体"/>
          <w:color w:val="auto"/>
          <w:highlight w:val="none"/>
        </w:rPr>
      </w:pPr>
      <w:r>
        <w:rPr>
          <w:rFonts w:hint="eastAsia" w:ascii="宋体" w:hAnsi="宋体" w:eastAsia="宋体" w:cs="宋体"/>
          <w:color w:val="auto"/>
          <w:highlight w:val="none"/>
        </w:rPr>
        <w:t>保证人：（盖章）</w:t>
      </w:r>
      <w:r>
        <w:rPr>
          <w:rFonts w:hint="eastAsia" w:ascii="宋体" w:hAnsi="宋体" w:eastAsia="宋体" w:cs="宋体"/>
          <w:color w:val="auto"/>
          <w:highlight w:val="none"/>
          <w:u w:val="single"/>
        </w:rPr>
        <w:t xml:space="preserve">                        </w:t>
      </w:r>
    </w:p>
    <w:p w14:paraId="2FA56838">
      <w:pPr>
        <w:ind w:firstLine="5760" w:firstLineChars="2400"/>
        <w:rPr>
          <w:rFonts w:hint="eastAsia" w:ascii="宋体" w:hAnsi="宋体" w:eastAsia="宋体" w:cs="宋体"/>
          <w:color w:val="auto"/>
          <w:highlight w:val="none"/>
        </w:rPr>
      </w:pPr>
      <w:r>
        <w:rPr>
          <w:rFonts w:hint="eastAsia" w:ascii="宋体" w:hAnsi="宋体" w:eastAsia="宋体" w:cs="宋体"/>
          <w:color w:val="auto"/>
          <w:highlight w:val="none"/>
        </w:rPr>
        <w:t>负责人：（签字）</w:t>
      </w:r>
      <w:r>
        <w:rPr>
          <w:rFonts w:hint="eastAsia" w:ascii="宋体" w:hAnsi="宋体" w:eastAsia="宋体" w:cs="宋体"/>
          <w:color w:val="auto"/>
          <w:highlight w:val="none"/>
          <w:u w:val="single"/>
        </w:rPr>
        <w:t xml:space="preserve">                        </w:t>
      </w:r>
    </w:p>
    <w:p w14:paraId="0A47E8AE">
      <w:pPr>
        <w:ind w:firstLine="5760" w:firstLineChars="24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1EB42E0A">
      <w:pPr>
        <w:ind w:firstLine="5760" w:firstLineChars="24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14:paraId="7DFB4855">
      <w:pPr>
        <w:ind w:firstLine="5760" w:firstLineChars="24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14:paraId="41ACE939">
      <w:pPr>
        <w:pStyle w:val="22"/>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说明：投标人在投标时不需提交正式保函，在投标文件中盖投标人公章确认保函格式即可，乙方</w:t>
      </w:r>
      <w:r>
        <w:rPr>
          <w:rFonts w:hint="eastAsia" w:ascii="宋体" w:hAnsi="宋体" w:eastAsia="宋体" w:cs="宋体"/>
          <w:color w:val="auto"/>
          <w:highlight w:val="none"/>
        </w:rPr>
        <w:t>在签订合同时</w:t>
      </w:r>
      <w:r>
        <w:rPr>
          <w:rFonts w:hint="eastAsia" w:ascii="宋体" w:hAnsi="宋体" w:eastAsia="宋体" w:cs="宋体"/>
          <w:color w:val="auto"/>
          <w:szCs w:val="24"/>
          <w:highlight w:val="none"/>
        </w:rPr>
        <w:t>提交正式保函。</w:t>
      </w:r>
    </w:p>
    <w:p w14:paraId="1DFAC0F3">
      <w:pPr>
        <w:pStyle w:val="23"/>
        <w:rPr>
          <w:rFonts w:hint="eastAsia" w:ascii="宋体" w:hAnsi="宋体" w:eastAsia="宋体" w:cs="宋体"/>
          <w:color w:val="auto"/>
          <w:szCs w:val="24"/>
          <w:highlight w:val="none"/>
        </w:rPr>
      </w:pPr>
    </w:p>
    <w:p w14:paraId="5F78E626">
      <w:pPr>
        <w:pStyle w:val="23"/>
        <w:rPr>
          <w:rFonts w:hint="eastAsia" w:ascii="宋体" w:hAnsi="宋体" w:eastAsia="宋体" w:cs="宋体"/>
          <w:color w:val="auto"/>
          <w:szCs w:val="24"/>
          <w:highlight w:val="none"/>
        </w:rPr>
      </w:pPr>
    </w:p>
    <w:p w14:paraId="003A3270">
      <w:pPr>
        <w:pStyle w:val="23"/>
        <w:rPr>
          <w:rFonts w:hint="eastAsia" w:ascii="宋体" w:hAnsi="宋体" w:eastAsia="宋体" w:cs="宋体"/>
          <w:color w:val="auto"/>
          <w:szCs w:val="24"/>
          <w:highlight w:val="none"/>
        </w:rPr>
      </w:pPr>
    </w:p>
    <w:p w14:paraId="17E24B80">
      <w:pPr>
        <w:rPr>
          <w:rFonts w:hint="eastAsia" w:ascii="宋体" w:hAnsi="宋体" w:eastAsia="宋体" w:cs="宋体"/>
          <w:color w:val="auto"/>
          <w:sz w:val="21"/>
          <w:szCs w:val="21"/>
          <w:highlight w:val="none"/>
        </w:rPr>
      </w:pPr>
      <w:bookmarkStart w:id="322" w:name="_Toc29098"/>
      <w:r>
        <w:rPr>
          <w:rFonts w:hint="eastAsia" w:ascii="宋体" w:hAnsi="宋体" w:eastAsia="宋体" w:cs="宋体"/>
          <w:color w:val="auto"/>
          <w:sz w:val="21"/>
          <w:szCs w:val="21"/>
          <w:highlight w:val="none"/>
        </w:rPr>
        <w:br w:type="page"/>
      </w:r>
    </w:p>
    <w:p w14:paraId="1B6B2457">
      <w:pPr>
        <w:pStyle w:val="7"/>
        <w:numPr>
          <w:ilvl w:val="255"/>
          <w:numId w:val="0"/>
        </w:numPr>
        <w:tabs>
          <w:tab w:val="left" w:pos="720"/>
          <w:tab w:val="left" w:pos="3840"/>
        </w:tabs>
        <w:ind w:left="28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附件2.预付款保函（适用于预付款支付）</w:t>
      </w:r>
      <w:bookmarkEnd w:id="322"/>
    </w:p>
    <w:p w14:paraId="2F184360">
      <w:pPr>
        <w:pStyle w:val="22"/>
        <w:rPr>
          <w:rFonts w:hint="eastAsia" w:ascii="宋体" w:hAnsi="宋体" w:eastAsia="宋体" w:cs="宋体"/>
          <w:color w:val="auto"/>
          <w:szCs w:val="24"/>
          <w:highlight w:val="none"/>
        </w:rPr>
      </w:pPr>
    </w:p>
    <w:p w14:paraId="10077471">
      <w:pPr>
        <w:jc w:val="center"/>
        <w:rPr>
          <w:rFonts w:hint="eastAsia" w:ascii="宋体" w:hAnsi="宋体" w:eastAsia="宋体" w:cs="宋体"/>
          <w:color w:val="auto"/>
          <w:sz w:val="28"/>
          <w:szCs w:val="28"/>
          <w:highlight w:val="none"/>
        </w:rPr>
      </w:pPr>
      <w:bookmarkStart w:id="323" w:name="_Toc31418"/>
      <w:bookmarkStart w:id="324" w:name="_Toc29728"/>
      <w:bookmarkStart w:id="325" w:name="_Toc25494"/>
      <w:bookmarkStart w:id="326" w:name="_Toc1039"/>
      <w:bookmarkStart w:id="327" w:name="_Toc5034"/>
      <w:bookmarkStart w:id="328" w:name="_Toc6877"/>
      <w:bookmarkStart w:id="329" w:name="_Toc3295"/>
      <w:bookmarkStart w:id="330" w:name="_Toc29054"/>
      <w:bookmarkStart w:id="331" w:name="_Toc27545"/>
      <w:bookmarkStart w:id="332" w:name="_Toc20669"/>
      <w:bookmarkStart w:id="333" w:name="_Toc10315"/>
      <w:bookmarkStart w:id="334" w:name="_Toc7374"/>
      <w:r>
        <w:rPr>
          <w:rFonts w:hint="eastAsia" w:ascii="宋体" w:hAnsi="宋体" w:eastAsia="宋体" w:cs="宋体"/>
          <w:color w:val="auto"/>
          <w:sz w:val="28"/>
          <w:szCs w:val="28"/>
          <w:highlight w:val="none"/>
        </w:rPr>
        <w:t>不可撤销预付款保函</w:t>
      </w:r>
      <w:bookmarkEnd w:id="323"/>
      <w:bookmarkEnd w:id="324"/>
      <w:bookmarkEnd w:id="325"/>
      <w:bookmarkEnd w:id="326"/>
      <w:bookmarkEnd w:id="327"/>
      <w:bookmarkEnd w:id="328"/>
      <w:bookmarkEnd w:id="329"/>
      <w:bookmarkEnd w:id="330"/>
      <w:bookmarkEnd w:id="331"/>
      <w:bookmarkEnd w:id="332"/>
      <w:bookmarkEnd w:id="333"/>
      <w:bookmarkEnd w:id="334"/>
    </w:p>
    <w:p w14:paraId="74A41BD2">
      <w:pPr>
        <w:ind w:firstLine="6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银行编号：</w:t>
      </w:r>
      <w:r>
        <w:rPr>
          <w:rFonts w:hint="eastAsia" w:ascii="宋体" w:hAnsi="宋体" w:eastAsia="宋体" w:cs="宋体"/>
          <w:color w:val="auto"/>
          <w:szCs w:val="21"/>
          <w:highlight w:val="none"/>
          <w:u w:val="single"/>
        </w:rPr>
        <w:t xml:space="preserve">             </w:t>
      </w:r>
    </w:p>
    <w:p w14:paraId="1A19C613">
      <w:pPr>
        <w:ind w:firstLine="6300"/>
        <w:rPr>
          <w:rFonts w:hint="eastAsia" w:ascii="宋体" w:hAnsi="宋体" w:eastAsia="宋体" w:cs="宋体"/>
          <w:color w:val="auto"/>
          <w:szCs w:val="21"/>
          <w:highlight w:val="none"/>
        </w:rPr>
      </w:pPr>
    </w:p>
    <w:p w14:paraId="3C12DE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（下称“采购人”）</w:t>
      </w:r>
    </w:p>
    <w:p w14:paraId="4D65226C">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4"/>
          <w:highlight w:val="none"/>
          <w:u w:val="single"/>
        </w:rPr>
        <w:t>（地址：          ，下称 “中标人” ）</w:t>
      </w:r>
      <w:r>
        <w:rPr>
          <w:rFonts w:hint="eastAsia" w:ascii="宋体" w:hAnsi="宋体" w:eastAsia="宋体" w:cs="宋体"/>
          <w:color w:val="auto"/>
          <w:szCs w:val="21"/>
          <w:highlight w:val="none"/>
        </w:rPr>
        <w:t>，已保证按</w:t>
      </w:r>
      <w:r>
        <w:rPr>
          <w:rFonts w:hint="eastAsia" w:ascii="宋体" w:hAnsi="宋体" w:eastAsia="宋体" w:cs="宋体"/>
          <w:color w:val="auto"/>
          <w:szCs w:val="21"/>
          <w:highlight w:val="none"/>
          <w:u w:val="single"/>
        </w:rPr>
        <w:t xml:space="preserve">          承包合同书（合同编号：    ）</w:t>
      </w:r>
      <w:r>
        <w:rPr>
          <w:rFonts w:hint="eastAsia" w:ascii="宋体" w:hAnsi="宋体" w:eastAsia="宋体" w:cs="宋体"/>
          <w:color w:val="auto"/>
          <w:szCs w:val="21"/>
          <w:highlight w:val="none"/>
        </w:rPr>
        <w:t>中规定的义务履行合同。</w:t>
      </w:r>
    </w:p>
    <w:p w14:paraId="55DAD3C1">
      <w:pPr>
        <w:ind w:firstLine="437"/>
        <w:rPr>
          <w:rFonts w:hint="eastAsia" w:ascii="宋体" w:hAnsi="宋体" w:eastAsia="宋体" w:cs="宋体"/>
          <w:color w:val="auto"/>
          <w:szCs w:val="21"/>
          <w:highlight w:val="none"/>
        </w:rPr>
      </w:pPr>
      <w:r>
        <w:rPr>
          <w:rFonts w:hint="eastAsia" w:ascii="宋体" w:hAnsi="宋体" w:eastAsia="宋体" w:cs="宋体"/>
          <w:color w:val="auto"/>
          <w:szCs w:val="24"/>
          <w:highlight w:val="none"/>
        </w:rPr>
        <w:t>根据上述合同（招标文件）规定，中标人应向采购人提供一份金额为合同总价的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即人民币</w:t>
      </w:r>
      <w:r>
        <w:rPr>
          <w:rFonts w:hint="eastAsia" w:ascii="宋体" w:hAnsi="宋体" w:eastAsia="宋体" w:cs="宋体"/>
          <w:color w:val="auto"/>
          <w:szCs w:val="21"/>
          <w:highlight w:val="none"/>
          <w:u w:val="single"/>
        </w:rPr>
        <w:t xml:space="preserve">      （RMB      元）</w:t>
      </w:r>
      <w:r>
        <w:rPr>
          <w:rFonts w:hint="eastAsia" w:ascii="宋体" w:hAnsi="宋体" w:eastAsia="宋体" w:cs="宋体"/>
          <w:color w:val="auto"/>
          <w:szCs w:val="21"/>
          <w:highlight w:val="none"/>
        </w:rPr>
        <w:t>的不可撤销银行预付款保函，以保证中标人履行合同的相关条款。</w:t>
      </w:r>
    </w:p>
    <w:p w14:paraId="09D43561">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u w:val="single"/>
        </w:rPr>
        <w:t xml:space="preserve">  （银行名称）  </w:t>
      </w:r>
      <w:r>
        <w:rPr>
          <w:rFonts w:hint="eastAsia" w:ascii="宋体" w:hAnsi="宋体" w:eastAsia="宋体" w:cs="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79EE5373">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14:paraId="0D7CAF83">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本保函有效期从保函开立之日起至采购人向中标人抵扣完所有预付款之日止。</w:t>
      </w:r>
    </w:p>
    <w:p w14:paraId="37A316D6">
      <w:pPr>
        <w:rPr>
          <w:rFonts w:hint="eastAsia" w:ascii="宋体" w:hAnsi="宋体" w:eastAsia="宋体" w:cs="宋体"/>
          <w:color w:val="auto"/>
          <w:szCs w:val="21"/>
          <w:highlight w:val="none"/>
        </w:rPr>
      </w:pPr>
    </w:p>
    <w:p w14:paraId="2150ED94">
      <w:pPr>
        <w:ind w:firstLine="437"/>
        <w:rPr>
          <w:rFonts w:hint="eastAsia" w:ascii="宋体" w:hAnsi="宋体" w:eastAsia="宋体" w:cs="宋体"/>
          <w:color w:val="auto"/>
          <w:szCs w:val="21"/>
          <w:highlight w:val="none"/>
        </w:rPr>
      </w:pPr>
    </w:p>
    <w:p w14:paraId="0914AF44">
      <w:pPr>
        <w:ind w:firstLine="48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r>
        <w:rPr>
          <w:rFonts w:hint="eastAsia" w:ascii="宋体" w:hAnsi="宋体" w:eastAsia="宋体" w:cs="宋体"/>
          <w:color w:val="auto"/>
          <w:szCs w:val="21"/>
          <w:highlight w:val="none"/>
          <w:u w:val="single"/>
        </w:rPr>
        <w:t xml:space="preserve">                     </w:t>
      </w:r>
    </w:p>
    <w:p w14:paraId="242FFCC1">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负责人：（签字）</w:t>
      </w:r>
      <w:r>
        <w:rPr>
          <w:rFonts w:hint="eastAsia" w:ascii="宋体" w:hAnsi="宋体" w:eastAsia="宋体" w:cs="宋体"/>
          <w:color w:val="auto"/>
          <w:szCs w:val="21"/>
          <w:highlight w:val="none"/>
          <w:u w:val="single"/>
        </w:rPr>
        <w:t xml:space="preserve">                     </w:t>
      </w:r>
    </w:p>
    <w:p w14:paraId="6AF53381">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p w14:paraId="2552E004">
      <w:pPr>
        <w:ind w:firstLine="486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4D4AF524">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14:paraId="2B180301">
      <w:pPr>
        <w:pStyle w:val="22"/>
        <w:rPr>
          <w:rFonts w:hint="eastAsia" w:ascii="宋体" w:hAnsi="宋体" w:eastAsia="宋体" w:cs="宋体"/>
          <w:color w:val="auto"/>
          <w:szCs w:val="21"/>
          <w:highlight w:val="none"/>
        </w:rPr>
      </w:pPr>
    </w:p>
    <w:p w14:paraId="691F4B99">
      <w:pPr>
        <w:pStyle w:val="22"/>
        <w:rPr>
          <w:rFonts w:hint="eastAsia" w:ascii="宋体" w:hAnsi="宋体" w:eastAsia="宋体" w:cs="宋体"/>
          <w:color w:val="auto"/>
          <w:szCs w:val="21"/>
          <w:highlight w:val="none"/>
        </w:rPr>
      </w:pPr>
    </w:p>
    <w:p w14:paraId="4E819A80">
      <w:pPr>
        <w:ind w:firstLine="472" w:firstLineChars="196"/>
        <w:rPr>
          <w:rFonts w:hint="eastAsia" w:ascii="宋体" w:hAnsi="宋体" w:eastAsia="宋体" w:cs="宋体"/>
          <w:color w:val="auto"/>
          <w:highlight w:val="none"/>
          <w:lang w:val="zh-CN"/>
        </w:rPr>
      </w:pPr>
      <w:r>
        <w:rPr>
          <w:rFonts w:hint="eastAsia" w:ascii="宋体" w:hAnsi="宋体" w:eastAsia="宋体" w:cs="宋体"/>
          <w:b/>
          <w:color w:val="auto"/>
          <w:szCs w:val="21"/>
          <w:highlight w:val="none"/>
        </w:rPr>
        <w:t>说明：投标人在投标文件中盖投标人公章确认保函内容即可，如中标再由银行出具保函</w:t>
      </w:r>
      <w:r>
        <w:rPr>
          <w:rFonts w:hint="eastAsia" w:ascii="宋体" w:hAnsi="宋体" w:eastAsia="宋体" w:cs="宋体"/>
          <w:b/>
          <w:color w:val="auto"/>
          <w:szCs w:val="21"/>
          <w:highlight w:val="none"/>
          <w:lang w:eastAsia="zh-CN"/>
        </w:rPr>
        <w:t>。</w:t>
      </w:r>
    </w:p>
    <w:sectPr>
      <w:headerReference r:id="rId9" w:type="default"/>
      <w:footerReference r:id="rId10" w:type="default"/>
      <w:pgSz w:w="11907" w:h="16840"/>
      <w:pgMar w:top="1440" w:right="1134" w:bottom="1440" w:left="1134" w:header="850" w:footer="720" w:gutter="0"/>
      <w:pgBorders>
        <w:top w:val="none" w:sz="0" w:space="0"/>
        <w:left w:val="none" w:sz="0" w:space="0"/>
        <w:bottom w:val="none" w:sz="0" w:space="0"/>
        <w:right w:val="none" w:sz="0" w:space="0"/>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DFKai-SB">
    <w:panose1 w:val="03000509000000000000"/>
    <w:charset w:val="88"/>
    <w:family w:val="script"/>
    <w:pitch w:val="default"/>
    <w:sig w:usb0="00000003" w:usb1="082E0000" w:usb2="00000016" w:usb3="00000000" w:csb0="00100001" w:csb1="00000000"/>
  </w:font>
  <w:font w:name="Arial Black">
    <w:panose1 w:val="020B0A04020102020204"/>
    <w:charset w:val="00"/>
    <w:family w:val="swiss"/>
    <w:pitch w:val="default"/>
    <w:sig w:usb0="00000287" w:usb1="00000000" w:usb2="00000000" w:usb3="00000000" w:csb0="2000009F" w:csb1="DFD70000"/>
  </w:font>
  <w:font w:name="思源黑体 CN Regular">
    <w:altName w:val="黑体"/>
    <w:panose1 w:val="00000000000000000000"/>
    <w:charset w:val="00"/>
    <w:family w:val="auto"/>
    <w:pitch w:val="default"/>
    <w:sig w:usb0="00000000" w:usb1="00000000" w:usb2="00000000" w:usb3="00000000" w:csb0="00040001" w:csb1="00000000"/>
  </w:font>
  <w:font w:name="时尚中黑简体">
    <w:altName w:val="黑体"/>
    <w:panose1 w:val="00000000000000000000"/>
    <w:charset w:val="86"/>
    <w:family w:val="auto"/>
    <w:pitch w:val="default"/>
    <w:sig w:usb0="00000000" w:usb1="00000000" w:usb2="00000012" w:usb3="00000000" w:csb0="00040001" w:csb1="00000000"/>
    <w:embedRegular r:id="rId1" w:fontKey="{22B34D69-60DB-4D71-86CA-EAC7A3742CDE}"/>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3D2D1">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D5C7">
    <w:pPr>
      <w:pStyle w:val="34"/>
      <w:framePr w:wrap="around" w:vAnchor="text" w:hAnchor="margin" w:xAlign="right" w:y="1"/>
      <w:rPr>
        <w:rStyle w:val="58"/>
      </w:rPr>
    </w:pPr>
    <w:r>
      <w:fldChar w:fldCharType="begin"/>
    </w:r>
    <w:r>
      <w:rPr>
        <w:rStyle w:val="58"/>
      </w:rPr>
      <w:instrText xml:space="preserve">PAGE  </w:instrText>
    </w:r>
    <w:r>
      <w:fldChar w:fldCharType="separate"/>
    </w:r>
    <w:r>
      <w:rPr>
        <w:rStyle w:val="58"/>
      </w:rPr>
      <w:t>5</w:t>
    </w:r>
    <w:r>
      <w:fldChar w:fldCharType="end"/>
    </w:r>
  </w:p>
  <w:p w14:paraId="3DEC39DF">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C52A8">
    <w:pPr>
      <w:spacing w:line="219" w:lineRule="auto"/>
      <w:ind w:left="3260"/>
      <w:rPr>
        <w:rFonts w:hAnsi="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7A3B3">
                          <w:pPr>
                            <w:pStyle w:val="3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8B7A3B3">
                    <w:pPr>
                      <w:pStyle w:val="3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BF522">
    <w:pPr>
      <w:pStyle w:val="34"/>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14:paraId="37CED583">
                          <w:pPr>
                            <w:pStyle w:val="34"/>
                          </w:pPr>
                          <w:r>
                            <w:fldChar w:fldCharType="begin"/>
                          </w:r>
                          <w:r>
                            <w:instrText xml:space="preserve"> PAGE  \* MERGEFORMAT </w:instrText>
                          </w:r>
                          <w:r>
                            <w:fldChar w:fldCharType="separate"/>
                          </w:r>
                          <w:r>
                            <w:t>75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TtW31AAAAAIBAAAPAAAAAAAAAAEAIAAAACIA&#10;AABkcnMvZG93bnJldi54bWxQSwECFAAUAAAACACHTuJAElaCJtQBAACiAwAADgAAAAAAAAABACAA&#10;AAAjAQAAZHJzL2Uyb0RvYy54bWxQSwUGAAAAAAYABgBZAQAAaQUAAAAA&#10;">
              <v:fill on="f" focussize="0,0"/>
              <v:stroke on="f" weight="1.25pt"/>
              <v:imagedata o:title=""/>
              <o:lock v:ext="edit" aspectratio="f"/>
              <v:textbox inset="0mm,0mm,0mm,0mm" style="mso-fit-shape-to-text:t;">
                <w:txbxContent>
                  <w:p w14:paraId="37CED583">
                    <w:pPr>
                      <w:pStyle w:val="3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9EE44">
    <w:pPr>
      <w:pStyle w:val="35"/>
      <w:pBdr>
        <w:bottom w:val="none" w:color="auto" w:sz="0" w:space="1"/>
      </w:pBdr>
      <w:tabs>
        <w:tab w:val="left" w:pos="5049"/>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AE981">
    <w:pPr>
      <w:pStyle w:val="35"/>
      <w:pBdr>
        <w:bottom w:val="thickThinLargeGap" w:color="auto" w:sz="4" w:space="1"/>
      </w:pBdr>
      <w:wordWrap w:val="0"/>
      <w:jc w:val="right"/>
      <w:rPr>
        <w:bCs/>
        <w:sz w:val="21"/>
        <w:szCs w:val="21"/>
      </w:rPr>
    </w:pPr>
    <w:r>
      <w:rPr>
        <w:rFonts w:hint="eastAsia" w:ascii="时尚中黑简体" w:hAnsi="时尚中黑简体" w:eastAsia="时尚中黑简体" w:cs="时尚中黑简体"/>
        <w:bCs/>
        <w:sz w:val="21"/>
        <w:szCs w:val="21"/>
        <w:lang w:eastAsia="zh-CN"/>
      </w:rPr>
      <w:t>广东志合项目管理有限公司</w:t>
    </w:r>
    <w:r>
      <w:rPr>
        <w:rFonts w:hint="eastAsia" w:ascii="时尚中黑简体" w:hAnsi="时尚中黑简体" w:eastAsia="时尚中黑简体" w:cs="时尚中黑简体"/>
        <w:bCs/>
        <w:sz w:val="21"/>
        <w:szCs w:val="21"/>
      </w:rPr>
      <w:t xml:space="preserve">  编制</w:t>
    </w:r>
  </w:p>
  <w:p w14:paraId="498C96D4">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A69D3">
    <w:pPr>
      <w:pStyle w:val="35"/>
      <w:pBdr>
        <w:bottom w:val="thickThinLargeGap" w:color="auto" w:sz="4" w:space="1"/>
      </w:pBdr>
      <w:wordWrap w:val="0"/>
      <w:jc w:val="right"/>
      <w:rPr>
        <w:bCs/>
        <w:sz w:val="21"/>
        <w:szCs w:val="21"/>
      </w:rPr>
    </w:pPr>
    <w:r>
      <w:rPr>
        <w:rFonts w:hint="eastAsia" w:ascii="时尚中黑简体" w:hAnsi="时尚中黑简体" w:eastAsia="时尚中黑简体" w:cs="时尚中黑简体"/>
        <w:bCs/>
        <w:sz w:val="21"/>
        <w:szCs w:val="21"/>
        <w:lang w:eastAsia="zh-CN"/>
      </w:rPr>
      <w:t>广东志合项目管理有限公司</w:t>
    </w:r>
    <w:r>
      <w:rPr>
        <w:rFonts w:hint="eastAsia" w:ascii="时尚中黑简体" w:hAnsi="时尚中黑简体" w:eastAsia="时尚中黑简体" w:cs="时尚中黑简体"/>
        <w:bCs/>
        <w:sz w:val="21"/>
        <w:szCs w:val="21"/>
      </w:rPr>
      <w:t xml:space="preserve">  编制</w:t>
    </w:r>
  </w:p>
  <w:p w14:paraId="106CA601">
    <w:pPr>
      <w:pStyle w:val="35"/>
      <w:pBdr>
        <w:bottom w:val="none" w:color="auto" w:sz="0" w:space="1"/>
      </w:pBdr>
      <w:tabs>
        <w:tab w:val="left" w:pos="5049"/>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4ECA1">
    <w:pPr>
      <w:pStyle w:val="35"/>
      <w:pBdr>
        <w:bottom w:val="thickThinLargeGap" w:color="auto" w:sz="4" w:space="1"/>
      </w:pBdr>
      <w:wordWrap w:val="0"/>
      <w:jc w:val="right"/>
      <w:rPr>
        <w:bCs/>
        <w:sz w:val="21"/>
        <w:szCs w:val="21"/>
      </w:rPr>
    </w:pPr>
    <w:r>
      <w:rPr>
        <w:rFonts w:hint="eastAsia" w:ascii="时尚中黑简体" w:hAnsi="时尚中黑简体" w:eastAsia="时尚中黑简体" w:cs="时尚中黑简体"/>
        <w:bCs/>
        <w:sz w:val="21"/>
        <w:szCs w:val="21"/>
        <w:lang w:eastAsia="zh-CN"/>
      </w:rPr>
      <w:t>广东志合项目管理有限公司</w:t>
    </w:r>
    <w:r>
      <w:rPr>
        <w:rFonts w:hint="eastAsia" w:ascii="时尚中黑简体" w:hAnsi="时尚中黑简体" w:eastAsia="时尚中黑简体" w:cs="时尚中黑简体"/>
        <w:bCs/>
        <w:sz w:val="21"/>
        <w:szCs w:val="21"/>
      </w:rPr>
      <w:t xml:space="preserve">  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EAC35"/>
    <w:multiLevelType w:val="singleLevel"/>
    <w:tmpl w:val="92EEAC35"/>
    <w:lvl w:ilvl="0" w:tentative="0">
      <w:start w:val="1"/>
      <w:numFmt w:val="chineseCounting"/>
      <w:suff w:val="nothing"/>
      <w:lvlText w:val="%1、"/>
      <w:lvlJc w:val="left"/>
      <w:pPr>
        <w:ind w:left="0" w:firstLine="420"/>
      </w:pPr>
      <w:rPr>
        <w:rFonts w:hint="eastAsia"/>
      </w:rPr>
    </w:lvl>
  </w:abstractNum>
  <w:abstractNum w:abstractNumId="1">
    <w:nsid w:val="EC01E890"/>
    <w:multiLevelType w:val="singleLevel"/>
    <w:tmpl w:val="EC01E890"/>
    <w:lvl w:ilvl="0" w:tentative="0">
      <w:start w:val="1"/>
      <w:numFmt w:val="chineseCounting"/>
      <w:suff w:val="nothing"/>
      <w:lvlText w:val="%1、"/>
      <w:lvlJc w:val="left"/>
      <w:pPr>
        <w:ind w:left="0" w:firstLine="420"/>
      </w:pPr>
      <w:rPr>
        <w:rFonts w:hint="eastAsia"/>
      </w:rPr>
    </w:lvl>
  </w:abstractNum>
  <w:abstractNum w:abstractNumId="2">
    <w:nsid w:val="00000010"/>
    <w:multiLevelType w:val="multilevel"/>
    <w:tmpl w:val="00000010"/>
    <w:lvl w:ilvl="0" w:tentative="0">
      <w:start w:val="1"/>
      <w:numFmt w:val="decimal"/>
      <w:lvlText w:val="%1"/>
      <w:lvlJc w:val="left"/>
      <w:pPr>
        <w:tabs>
          <w:tab w:val="left" w:pos="425"/>
        </w:tabs>
        <w:ind w:left="425" w:hanging="425"/>
      </w:pPr>
    </w:lvl>
    <w:lvl w:ilvl="1" w:tentative="0">
      <w:start w:val="1"/>
      <w:numFmt w:val="decimal"/>
      <w:pStyle w:val="105"/>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0000011"/>
    <w:multiLevelType w:val="multilevel"/>
    <w:tmpl w:val="00000011"/>
    <w:lvl w:ilvl="0" w:tentative="0">
      <w:start w:val="4"/>
      <w:numFmt w:val="japaneseCounting"/>
      <w:lvlText w:val="第%1篇"/>
      <w:lvlJc w:val="left"/>
      <w:pPr>
        <w:tabs>
          <w:tab w:val="left" w:pos="1080"/>
        </w:tabs>
        <w:ind w:left="1080" w:hanging="1080"/>
      </w:pPr>
      <w:rPr>
        <w:rFonts w:hint="default"/>
      </w:rPr>
    </w:lvl>
    <w:lvl w:ilvl="1" w:tentative="0">
      <w:start w:val="3"/>
      <w:numFmt w:val="japaneseCounting"/>
      <w:lvlText w:val="%2、"/>
      <w:lvlJc w:val="left"/>
      <w:pPr>
        <w:tabs>
          <w:tab w:val="left" w:pos="900"/>
        </w:tabs>
        <w:ind w:left="900" w:hanging="48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bullet"/>
      <w:pStyle w:val="9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3"/>
    <w:multiLevelType w:val="multilevel"/>
    <w:tmpl w:val="00000013"/>
    <w:lvl w:ilvl="0" w:tentative="0">
      <w:start w:val="1"/>
      <w:numFmt w:val="decimal"/>
      <w:pStyle w:val="113"/>
      <w:lvlText w:val="%1、"/>
      <w:lvlJc w:val="left"/>
      <w:pPr>
        <w:tabs>
          <w:tab w:val="left" w:pos="786"/>
        </w:tabs>
        <w:ind w:left="786" w:hanging="360"/>
      </w:pPr>
    </w:lvl>
    <w:lvl w:ilvl="1" w:tentative="0">
      <w:start w:val="1"/>
      <w:numFmt w:val="decimal"/>
      <w:lvlText w:val="%2、"/>
      <w:lvlJc w:val="left"/>
      <w:pPr>
        <w:tabs>
          <w:tab w:val="left" w:pos="1206"/>
        </w:tabs>
        <w:ind w:left="1206" w:hanging="360"/>
      </w:pPr>
    </w:lvl>
    <w:lvl w:ilvl="2" w:tentative="0">
      <w:start w:val="1"/>
      <w:numFmt w:val="lowerRoman"/>
      <w:lvlText w:val="%3."/>
      <w:lvlJc w:val="right"/>
      <w:pPr>
        <w:tabs>
          <w:tab w:val="left" w:pos="1686"/>
        </w:tabs>
        <w:ind w:left="1686" w:hanging="420"/>
      </w:pPr>
    </w:lvl>
    <w:lvl w:ilvl="3" w:tentative="0">
      <w:start w:val="2"/>
      <w:numFmt w:val="decimal"/>
      <w:lvlText w:val="%4）"/>
      <w:lvlJc w:val="left"/>
      <w:pPr>
        <w:tabs>
          <w:tab w:val="left" w:pos="2046"/>
        </w:tabs>
        <w:ind w:left="2046"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16"/>
    <w:multiLevelType w:val="multilevel"/>
    <w:tmpl w:val="00000016"/>
    <w:lvl w:ilvl="0" w:tentative="0">
      <w:start w:val="1"/>
      <w:numFmt w:val="decimal"/>
      <w:pStyle w:val="15"/>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0"/>
    <w:multiLevelType w:val="multilevel"/>
    <w:tmpl w:val="00000020"/>
    <w:lvl w:ilvl="0" w:tentative="0">
      <w:start w:val="1"/>
      <w:numFmt w:val="bullet"/>
      <w:pStyle w:val="9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9">
    <w:nsid w:val="00000028"/>
    <w:multiLevelType w:val="multilevel"/>
    <w:tmpl w:val="00000028"/>
    <w:lvl w:ilvl="0" w:tentative="0">
      <w:start w:val="1"/>
      <w:numFmt w:val="japaneseCounting"/>
      <w:lvlText w:val="第%1篇"/>
      <w:lvlJc w:val="left"/>
      <w:pPr>
        <w:ind w:left="1080" w:hanging="1080"/>
      </w:pPr>
      <w:rPr>
        <w:rFonts w:hint="default"/>
      </w:rPr>
    </w:lvl>
    <w:lvl w:ilvl="1" w:tentative="0">
      <w:start w:val="1"/>
      <w:numFmt w:val="japaneseCounting"/>
      <w:lvlText w:val="（%2）"/>
      <w:lvlJc w:val="left"/>
      <w:pPr>
        <w:ind w:left="1185" w:hanging="7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9"/>
    <w:multiLevelType w:val="multilevel"/>
    <w:tmpl w:val="00000029"/>
    <w:lvl w:ilvl="0" w:tentative="0">
      <w:start w:val="1"/>
      <w:numFmt w:val="bullet"/>
      <w:pStyle w:val="49"/>
      <w:lvlText w:val=""/>
      <w:lvlJc w:val="left"/>
      <w:pPr>
        <w:tabs>
          <w:tab w:val="left" w:pos="2121"/>
        </w:tabs>
        <w:ind w:left="2121" w:hanging="420"/>
      </w:pPr>
      <w:rPr>
        <w:rFonts w:hint="default" w:ascii="Wingdings" w:hAnsi="Wingdings"/>
      </w:rPr>
    </w:lvl>
    <w:lvl w:ilvl="1" w:tentative="0">
      <w:start w:val="1"/>
      <w:numFmt w:val="bullet"/>
      <w:lvlText w:val=""/>
      <w:lvlJc w:val="left"/>
      <w:pPr>
        <w:tabs>
          <w:tab w:val="left" w:pos="2541"/>
        </w:tabs>
        <w:ind w:left="2541" w:hanging="420"/>
      </w:pPr>
      <w:rPr>
        <w:rFonts w:hint="default" w:ascii="Wingdings" w:hAnsi="Wingdings"/>
      </w:rPr>
    </w:lvl>
    <w:lvl w:ilvl="2" w:tentative="0">
      <w:start w:val="1"/>
      <w:numFmt w:val="bullet"/>
      <w:lvlText w:val=""/>
      <w:lvlJc w:val="left"/>
      <w:pPr>
        <w:tabs>
          <w:tab w:val="left" w:pos="2961"/>
        </w:tabs>
        <w:ind w:left="2961" w:hanging="420"/>
      </w:pPr>
      <w:rPr>
        <w:rFonts w:hint="default" w:ascii="Wingdings" w:hAnsi="Wingdings"/>
      </w:rPr>
    </w:lvl>
    <w:lvl w:ilvl="3" w:tentative="0">
      <w:start w:val="1"/>
      <w:numFmt w:val="bullet"/>
      <w:lvlText w:val=""/>
      <w:lvlJc w:val="left"/>
      <w:pPr>
        <w:tabs>
          <w:tab w:val="left" w:pos="3381"/>
        </w:tabs>
        <w:ind w:left="3381" w:hanging="420"/>
      </w:pPr>
      <w:rPr>
        <w:rFonts w:hint="default" w:ascii="Wingdings" w:hAnsi="Wingdings"/>
      </w:rPr>
    </w:lvl>
    <w:lvl w:ilvl="4" w:tentative="0">
      <w:start w:val="1"/>
      <w:numFmt w:val="bullet"/>
      <w:lvlText w:val=""/>
      <w:lvlJc w:val="left"/>
      <w:pPr>
        <w:tabs>
          <w:tab w:val="left" w:pos="3801"/>
        </w:tabs>
        <w:ind w:left="3801" w:hanging="420"/>
      </w:pPr>
      <w:rPr>
        <w:rFonts w:hint="default" w:ascii="Wingdings" w:hAnsi="Wingdings"/>
      </w:rPr>
    </w:lvl>
    <w:lvl w:ilvl="5" w:tentative="0">
      <w:start w:val="1"/>
      <w:numFmt w:val="bullet"/>
      <w:lvlText w:val=""/>
      <w:lvlJc w:val="left"/>
      <w:pPr>
        <w:tabs>
          <w:tab w:val="left" w:pos="4221"/>
        </w:tabs>
        <w:ind w:left="4221" w:hanging="420"/>
      </w:pPr>
      <w:rPr>
        <w:rFonts w:hint="default" w:ascii="Wingdings" w:hAnsi="Wingdings"/>
      </w:rPr>
    </w:lvl>
    <w:lvl w:ilvl="6" w:tentative="0">
      <w:start w:val="1"/>
      <w:numFmt w:val="bullet"/>
      <w:lvlText w:val=""/>
      <w:lvlJc w:val="left"/>
      <w:pPr>
        <w:tabs>
          <w:tab w:val="left" w:pos="4641"/>
        </w:tabs>
        <w:ind w:left="4641" w:hanging="420"/>
      </w:pPr>
      <w:rPr>
        <w:rFonts w:hint="default" w:ascii="Wingdings" w:hAnsi="Wingdings"/>
      </w:rPr>
    </w:lvl>
    <w:lvl w:ilvl="7" w:tentative="0">
      <w:start w:val="1"/>
      <w:numFmt w:val="bullet"/>
      <w:lvlText w:val=""/>
      <w:lvlJc w:val="left"/>
      <w:pPr>
        <w:tabs>
          <w:tab w:val="left" w:pos="5061"/>
        </w:tabs>
        <w:ind w:left="5061" w:hanging="420"/>
      </w:pPr>
      <w:rPr>
        <w:rFonts w:hint="default" w:ascii="Wingdings" w:hAnsi="Wingdings"/>
      </w:rPr>
    </w:lvl>
    <w:lvl w:ilvl="8" w:tentative="0">
      <w:start w:val="1"/>
      <w:numFmt w:val="bullet"/>
      <w:lvlText w:val=""/>
      <w:lvlJc w:val="left"/>
      <w:pPr>
        <w:tabs>
          <w:tab w:val="left" w:pos="5481"/>
        </w:tabs>
        <w:ind w:left="5481" w:hanging="420"/>
      </w:pPr>
      <w:rPr>
        <w:rFonts w:hint="default" w:ascii="Wingdings" w:hAnsi="Wingdings"/>
      </w:rPr>
    </w:lvl>
  </w:abstractNum>
  <w:abstractNum w:abstractNumId="11">
    <w:nsid w:val="00000031"/>
    <w:multiLevelType w:val="multilevel"/>
    <w:tmpl w:val="00000031"/>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BBEE17"/>
    <w:multiLevelType w:val="singleLevel"/>
    <w:tmpl w:val="21BBEE17"/>
    <w:lvl w:ilvl="0" w:tentative="0">
      <w:start w:val="5"/>
      <w:numFmt w:val="chineseCounting"/>
      <w:suff w:val="space"/>
      <w:lvlText w:val="第%1部分"/>
      <w:lvlJc w:val="left"/>
      <w:rPr>
        <w:rFonts w:hint="eastAsia"/>
      </w:rPr>
    </w:lvl>
  </w:abstractNum>
  <w:abstractNum w:abstractNumId="13">
    <w:nsid w:val="2727DD9B"/>
    <w:multiLevelType w:val="multilevel"/>
    <w:tmpl w:val="2727DD9B"/>
    <w:lvl w:ilvl="0" w:tentative="0">
      <w:start w:val="1"/>
      <w:numFmt w:val="decimal"/>
      <w:pStyle w:val="16"/>
      <w:lvlText w:val="%1、"/>
      <w:lvlJc w:val="left"/>
      <w:pPr>
        <w:tabs>
          <w:tab w:val="left" w:pos="420"/>
        </w:tabs>
        <w:ind w:left="840" w:hanging="420"/>
      </w:pPr>
      <w:rPr>
        <w:rFonts w:ascii="Times New Roman" w:hAnsi="Times New Roman" w:eastAsia="Times New Roman" w:cs="Times New Roman"/>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4">
    <w:nsid w:val="37402185"/>
    <w:multiLevelType w:val="singleLevel"/>
    <w:tmpl w:val="37402185"/>
    <w:lvl w:ilvl="0" w:tentative="0">
      <w:start w:val="1"/>
      <w:numFmt w:val="decimal"/>
      <w:pStyle w:val="24"/>
      <w:lvlText w:val="%1."/>
      <w:lvlJc w:val="left"/>
      <w:pPr>
        <w:tabs>
          <w:tab w:val="left" w:pos="1200"/>
        </w:tabs>
        <w:ind w:left="1200" w:hanging="360"/>
      </w:pPr>
    </w:lvl>
  </w:abstractNum>
  <w:abstractNum w:abstractNumId="15">
    <w:nsid w:val="52F421C6"/>
    <w:multiLevelType w:val="singleLevel"/>
    <w:tmpl w:val="52F421C6"/>
    <w:lvl w:ilvl="0" w:tentative="0">
      <w:start w:val="1"/>
      <w:numFmt w:val="chineseCounting"/>
      <w:suff w:val="nothing"/>
      <w:lvlText w:val="%1、"/>
      <w:lvlJc w:val="left"/>
      <w:pPr>
        <w:ind w:left="0" w:firstLine="420"/>
      </w:pPr>
      <w:rPr>
        <w:rFonts w:hint="eastAsia"/>
      </w:rPr>
    </w:lvl>
  </w:abstractNum>
  <w:abstractNum w:abstractNumId="16">
    <w:nsid w:val="6024697C"/>
    <w:multiLevelType w:val="singleLevel"/>
    <w:tmpl w:val="6024697C"/>
    <w:lvl w:ilvl="0" w:tentative="0">
      <w:start w:val="1"/>
      <w:numFmt w:val="decimal"/>
      <w:suff w:val="nothing"/>
      <w:lvlText w:val="（%1）"/>
      <w:lvlJc w:val="left"/>
    </w:lvl>
  </w:abstractNum>
  <w:abstractNum w:abstractNumId="17">
    <w:nsid w:val="618695AE"/>
    <w:multiLevelType w:val="singleLevel"/>
    <w:tmpl w:val="618695AE"/>
    <w:lvl w:ilvl="0" w:tentative="0">
      <w:start w:val="4"/>
      <w:numFmt w:val="decimal"/>
      <w:suff w:val="nothing"/>
      <w:lvlText w:val="%1、"/>
      <w:lvlJc w:val="left"/>
    </w:lvl>
  </w:abstractNum>
  <w:num w:numId="1">
    <w:abstractNumId w:val="6"/>
  </w:num>
  <w:num w:numId="2">
    <w:abstractNumId w:val="13"/>
  </w:num>
  <w:num w:numId="3">
    <w:abstractNumId w:val="14"/>
  </w:num>
  <w:num w:numId="4">
    <w:abstractNumId w:val="10"/>
  </w:num>
  <w:num w:numId="5">
    <w:abstractNumId w:val="7"/>
  </w:num>
  <w:num w:numId="6">
    <w:abstractNumId w:val="4"/>
  </w:num>
  <w:num w:numId="7">
    <w:abstractNumId w:val="2"/>
  </w:num>
  <w:num w:numId="8">
    <w:abstractNumId w:val="5"/>
  </w:num>
  <w:num w:numId="9">
    <w:abstractNumId w:val="11"/>
  </w:num>
  <w:num w:numId="10">
    <w:abstractNumId w:val="9"/>
  </w:num>
  <w:num w:numId="11">
    <w:abstractNumId w:val="3"/>
  </w:num>
  <w:num w:numId="12">
    <w:abstractNumId w:val="8"/>
  </w:num>
  <w:num w:numId="13">
    <w:abstractNumId w:val="16"/>
  </w:num>
  <w:num w:numId="14">
    <w:abstractNumId w:val="17"/>
  </w:num>
  <w:num w:numId="15">
    <w:abstractNumId w:val="0"/>
  </w:num>
  <w:num w:numId="16">
    <w:abstractNumId w:val="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720"/>
  <w:drawingGridHorizontalSpacing w:val="120"/>
  <w:drawingGridVerticalSpacing w:val="16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lMzA3MDEyMDY3MjYxOGQyODQ5YTg2NWMwMTY1OTMifQ=="/>
  </w:docVars>
  <w:rsids>
    <w:rsidRoot w:val="00172A27"/>
    <w:rsid w:val="00003320"/>
    <w:rsid w:val="00010435"/>
    <w:rsid w:val="0002249C"/>
    <w:rsid w:val="00027890"/>
    <w:rsid w:val="000310C4"/>
    <w:rsid w:val="00036141"/>
    <w:rsid w:val="00055CD6"/>
    <w:rsid w:val="00060BFF"/>
    <w:rsid w:val="000656BF"/>
    <w:rsid w:val="00075200"/>
    <w:rsid w:val="000823D9"/>
    <w:rsid w:val="000E3D5A"/>
    <w:rsid w:val="000F69BF"/>
    <w:rsid w:val="00106809"/>
    <w:rsid w:val="00113D74"/>
    <w:rsid w:val="00114009"/>
    <w:rsid w:val="0011439F"/>
    <w:rsid w:val="00114927"/>
    <w:rsid w:val="00124125"/>
    <w:rsid w:val="00135223"/>
    <w:rsid w:val="00145E79"/>
    <w:rsid w:val="00152EFD"/>
    <w:rsid w:val="001617C8"/>
    <w:rsid w:val="00172A27"/>
    <w:rsid w:val="001749FA"/>
    <w:rsid w:val="001B549E"/>
    <w:rsid w:val="001B72E4"/>
    <w:rsid w:val="001C49E6"/>
    <w:rsid w:val="001C51E0"/>
    <w:rsid w:val="001D4260"/>
    <w:rsid w:val="001E2687"/>
    <w:rsid w:val="001E68CA"/>
    <w:rsid w:val="002002A4"/>
    <w:rsid w:val="00201FF9"/>
    <w:rsid w:val="00216ABC"/>
    <w:rsid w:val="002172C9"/>
    <w:rsid w:val="00217AB8"/>
    <w:rsid w:val="002326CA"/>
    <w:rsid w:val="0025621E"/>
    <w:rsid w:val="00265319"/>
    <w:rsid w:val="00265A37"/>
    <w:rsid w:val="00267764"/>
    <w:rsid w:val="00270A95"/>
    <w:rsid w:val="002877C1"/>
    <w:rsid w:val="002908F6"/>
    <w:rsid w:val="00291FAB"/>
    <w:rsid w:val="002C0888"/>
    <w:rsid w:val="002C53F2"/>
    <w:rsid w:val="002D14E4"/>
    <w:rsid w:val="002D4AB1"/>
    <w:rsid w:val="002D687C"/>
    <w:rsid w:val="002E58AE"/>
    <w:rsid w:val="003537B6"/>
    <w:rsid w:val="00354336"/>
    <w:rsid w:val="003613BD"/>
    <w:rsid w:val="00376337"/>
    <w:rsid w:val="003824C3"/>
    <w:rsid w:val="00391ED7"/>
    <w:rsid w:val="00393E42"/>
    <w:rsid w:val="003A2560"/>
    <w:rsid w:val="003C228D"/>
    <w:rsid w:val="003C2F31"/>
    <w:rsid w:val="00414870"/>
    <w:rsid w:val="004167E4"/>
    <w:rsid w:val="004207FB"/>
    <w:rsid w:val="0044257A"/>
    <w:rsid w:val="0045071E"/>
    <w:rsid w:val="0046288B"/>
    <w:rsid w:val="00465BC3"/>
    <w:rsid w:val="00473DA1"/>
    <w:rsid w:val="004D1919"/>
    <w:rsid w:val="004D2652"/>
    <w:rsid w:val="005471BA"/>
    <w:rsid w:val="00553F3A"/>
    <w:rsid w:val="00555F92"/>
    <w:rsid w:val="00563F71"/>
    <w:rsid w:val="005663EA"/>
    <w:rsid w:val="00585BAB"/>
    <w:rsid w:val="005A06DF"/>
    <w:rsid w:val="005A5A0D"/>
    <w:rsid w:val="005B5C14"/>
    <w:rsid w:val="005C3A06"/>
    <w:rsid w:val="005C7F93"/>
    <w:rsid w:val="005E0DBE"/>
    <w:rsid w:val="005F37C4"/>
    <w:rsid w:val="006023DD"/>
    <w:rsid w:val="006071A1"/>
    <w:rsid w:val="00636A66"/>
    <w:rsid w:val="00637720"/>
    <w:rsid w:val="006421D2"/>
    <w:rsid w:val="00643C95"/>
    <w:rsid w:val="006529BE"/>
    <w:rsid w:val="00661DDF"/>
    <w:rsid w:val="00662A8A"/>
    <w:rsid w:val="00675141"/>
    <w:rsid w:val="006B678C"/>
    <w:rsid w:val="006C4ED2"/>
    <w:rsid w:val="006E2C33"/>
    <w:rsid w:val="006F7565"/>
    <w:rsid w:val="00722579"/>
    <w:rsid w:val="007266BA"/>
    <w:rsid w:val="00737573"/>
    <w:rsid w:val="0075111E"/>
    <w:rsid w:val="00766AFF"/>
    <w:rsid w:val="0079444F"/>
    <w:rsid w:val="007A6701"/>
    <w:rsid w:val="007B21FC"/>
    <w:rsid w:val="007B3581"/>
    <w:rsid w:val="007D280B"/>
    <w:rsid w:val="007F1FF8"/>
    <w:rsid w:val="007F2B89"/>
    <w:rsid w:val="00803F10"/>
    <w:rsid w:val="00813E25"/>
    <w:rsid w:val="00821042"/>
    <w:rsid w:val="00821BD7"/>
    <w:rsid w:val="00823A4E"/>
    <w:rsid w:val="00831E15"/>
    <w:rsid w:val="00835AD1"/>
    <w:rsid w:val="00847835"/>
    <w:rsid w:val="008A0878"/>
    <w:rsid w:val="008A3562"/>
    <w:rsid w:val="008B5078"/>
    <w:rsid w:val="008B52E4"/>
    <w:rsid w:val="008C4084"/>
    <w:rsid w:val="008C4968"/>
    <w:rsid w:val="008D2C58"/>
    <w:rsid w:val="008E129D"/>
    <w:rsid w:val="008E37B0"/>
    <w:rsid w:val="008E464C"/>
    <w:rsid w:val="008E4970"/>
    <w:rsid w:val="009009BC"/>
    <w:rsid w:val="00904619"/>
    <w:rsid w:val="00915614"/>
    <w:rsid w:val="00915F7F"/>
    <w:rsid w:val="00921F1A"/>
    <w:rsid w:val="009229CB"/>
    <w:rsid w:val="00926978"/>
    <w:rsid w:val="009368EA"/>
    <w:rsid w:val="009422CE"/>
    <w:rsid w:val="00944D1A"/>
    <w:rsid w:val="00951A8F"/>
    <w:rsid w:val="009628FD"/>
    <w:rsid w:val="009B27B4"/>
    <w:rsid w:val="009C6B18"/>
    <w:rsid w:val="009E2C75"/>
    <w:rsid w:val="009E6598"/>
    <w:rsid w:val="009F7268"/>
    <w:rsid w:val="00A03228"/>
    <w:rsid w:val="00A1101A"/>
    <w:rsid w:val="00A11A47"/>
    <w:rsid w:val="00A36EC6"/>
    <w:rsid w:val="00A37D41"/>
    <w:rsid w:val="00A52F6D"/>
    <w:rsid w:val="00A613B6"/>
    <w:rsid w:val="00A71C09"/>
    <w:rsid w:val="00A72DA8"/>
    <w:rsid w:val="00A752A6"/>
    <w:rsid w:val="00A82229"/>
    <w:rsid w:val="00A943C3"/>
    <w:rsid w:val="00A95831"/>
    <w:rsid w:val="00A975B4"/>
    <w:rsid w:val="00AA7D8C"/>
    <w:rsid w:val="00AB4015"/>
    <w:rsid w:val="00AC148A"/>
    <w:rsid w:val="00AF6912"/>
    <w:rsid w:val="00B04B0E"/>
    <w:rsid w:val="00B16495"/>
    <w:rsid w:val="00B225FD"/>
    <w:rsid w:val="00B248DA"/>
    <w:rsid w:val="00B50EA0"/>
    <w:rsid w:val="00B71A50"/>
    <w:rsid w:val="00B74DE3"/>
    <w:rsid w:val="00B80D89"/>
    <w:rsid w:val="00B818AE"/>
    <w:rsid w:val="00B96173"/>
    <w:rsid w:val="00BB48AD"/>
    <w:rsid w:val="00BB6F89"/>
    <w:rsid w:val="00BC02E2"/>
    <w:rsid w:val="00BE183C"/>
    <w:rsid w:val="00BE779E"/>
    <w:rsid w:val="00BF09ED"/>
    <w:rsid w:val="00BF27E1"/>
    <w:rsid w:val="00C00F5A"/>
    <w:rsid w:val="00C03F08"/>
    <w:rsid w:val="00C12379"/>
    <w:rsid w:val="00C16CB7"/>
    <w:rsid w:val="00C25C61"/>
    <w:rsid w:val="00C40AF8"/>
    <w:rsid w:val="00C41180"/>
    <w:rsid w:val="00C5753E"/>
    <w:rsid w:val="00C61390"/>
    <w:rsid w:val="00C62932"/>
    <w:rsid w:val="00C760CD"/>
    <w:rsid w:val="00C9047D"/>
    <w:rsid w:val="00C9061D"/>
    <w:rsid w:val="00C97323"/>
    <w:rsid w:val="00CB45F9"/>
    <w:rsid w:val="00CC3CDE"/>
    <w:rsid w:val="00CD0AE3"/>
    <w:rsid w:val="00CD3B80"/>
    <w:rsid w:val="00CE7558"/>
    <w:rsid w:val="00D17FB1"/>
    <w:rsid w:val="00D31F0D"/>
    <w:rsid w:val="00D34EDF"/>
    <w:rsid w:val="00D35C22"/>
    <w:rsid w:val="00D954DE"/>
    <w:rsid w:val="00DB7E8A"/>
    <w:rsid w:val="00DC735D"/>
    <w:rsid w:val="00DE49C8"/>
    <w:rsid w:val="00DF0CE0"/>
    <w:rsid w:val="00E023D0"/>
    <w:rsid w:val="00E419FA"/>
    <w:rsid w:val="00E438D2"/>
    <w:rsid w:val="00E53F8C"/>
    <w:rsid w:val="00E61200"/>
    <w:rsid w:val="00E63FBE"/>
    <w:rsid w:val="00E678C7"/>
    <w:rsid w:val="00E80F9B"/>
    <w:rsid w:val="00E82600"/>
    <w:rsid w:val="00E90F29"/>
    <w:rsid w:val="00EB1ABE"/>
    <w:rsid w:val="00EB4346"/>
    <w:rsid w:val="00ED1779"/>
    <w:rsid w:val="00EE7CA8"/>
    <w:rsid w:val="00EF189B"/>
    <w:rsid w:val="00EF6736"/>
    <w:rsid w:val="00EF6B76"/>
    <w:rsid w:val="00F014C7"/>
    <w:rsid w:val="00F02C24"/>
    <w:rsid w:val="00F04A9D"/>
    <w:rsid w:val="00F07594"/>
    <w:rsid w:val="00F31719"/>
    <w:rsid w:val="00F32C3A"/>
    <w:rsid w:val="00F53394"/>
    <w:rsid w:val="00F54AFB"/>
    <w:rsid w:val="00F67D80"/>
    <w:rsid w:val="00F718C6"/>
    <w:rsid w:val="00FC4DD8"/>
    <w:rsid w:val="00FC6B2E"/>
    <w:rsid w:val="00FD40C9"/>
    <w:rsid w:val="01016788"/>
    <w:rsid w:val="010B18A0"/>
    <w:rsid w:val="01101FD4"/>
    <w:rsid w:val="013511BC"/>
    <w:rsid w:val="01547328"/>
    <w:rsid w:val="01630778"/>
    <w:rsid w:val="01857C73"/>
    <w:rsid w:val="01964C25"/>
    <w:rsid w:val="01A12C3F"/>
    <w:rsid w:val="01CD1195"/>
    <w:rsid w:val="01D142D7"/>
    <w:rsid w:val="01EB797B"/>
    <w:rsid w:val="021F4C81"/>
    <w:rsid w:val="02414B92"/>
    <w:rsid w:val="028339A0"/>
    <w:rsid w:val="028366E4"/>
    <w:rsid w:val="02A56B80"/>
    <w:rsid w:val="02B5383F"/>
    <w:rsid w:val="02C560C8"/>
    <w:rsid w:val="02F741FF"/>
    <w:rsid w:val="03077BF2"/>
    <w:rsid w:val="03240B2D"/>
    <w:rsid w:val="03404A6C"/>
    <w:rsid w:val="035324D3"/>
    <w:rsid w:val="036719BE"/>
    <w:rsid w:val="03772BBD"/>
    <w:rsid w:val="038413BE"/>
    <w:rsid w:val="038C71B9"/>
    <w:rsid w:val="0396442E"/>
    <w:rsid w:val="03C53166"/>
    <w:rsid w:val="03E3700D"/>
    <w:rsid w:val="04082941"/>
    <w:rsid w:val="0437435F"/>
    <w:rsid w:val="043948C2"/>
    <w:rsid w:val="0441683D"/>
    <w:rsid w:val="04755FE3"/>
    <w:rsid w:val="04897AAE"/>
    <w:rsid w:val="048D3C72"/>
    <w:rsid w:val="04946A57"/>
    <w:rsid w:val="049E01CA"/>
    <w:rsid w:val="04A67F3F"/>
    <w:rsid w:val="04AA7A54"/>
    <w:rsid w:val="04DC1E95"/>
    <w:rsid w:val="05056F9C"/>
    <w:rsid w:val="053B507A"/>
    <w:rsid w:val="056B6415"/>
    <w:rsid w:val="056F7E9D"/>
    <w:rsid w:val="05A04252"/>
    <w:rsid w:val="05B531D5"/>
    <w:rsid w:val="05D17368"/>
    <w:rsid w:val="05D64E8C"/>
    <w:rsid w:val="05D70893"/>
    <w:rsid w:val="05D879EE"/>
    <w:rsid w:val="05E66954"/>
    <w:rsid w:val="05EF3BF5"/>
    <w:rsid w:val="061B4DCC"/>
    <w:rsid w:val="0631131C"/>
    <w:rsid w:val="065C4ACB"/>
    <w:rsid w:val="0684556E"/>
    <w:rsid w:val="06B72B51"/>
    <w:rsid w:val="06D773BE"/>
    <w:rsid w:val="07005EC6"/>
    <w:rsid w:val="07144968"/>
    <w:rsid w:val="071F2807"/>
    <w:rsid w:val="07231446"/>
    <w:rsid w:val="074D0B91"/>
    <w:rsid w:val="07667537"/>
    <w:rsid w:val="076F789A"/>
    <w:rsid w:val="0784472B"/>
    <w:rsid w:val="079B0031"/>
    <w:rsid w:val="079F5559"/>
    <w:rsid w:val="07B00267"/>
    <w:rsid w:val="07B55B45"/>
    <w:rsid w:val="07E16810"/>
    <w:rsid w:val="08091249"/>
    <w:rsid w:val="08213B81"/>
    <w:rsid w:val="084C0B9D"/>
    <w:rsid w:val="0873640D"/>
    <w:rsid w:val="08783888"/>
    <w:rsid w:val="087D7A26"/>
    <w:rsid w:val="08AE00F7"/>
    <w:rsid w:val="08C30F20"/>
    <w:rsid w:val="08D1467C"/>
    <w:rsid w:val="08D23011"/>
    <w:rsid w:val="08DD3BDB"/>
    <w:rsid w:val="08ED6EB4"/>
    <w:rsid w:val="093F4ABD"/>
    <w:rsid w:val="09583AE9"/>
    <w:rsid w:val="09717CB2"/>
    <w:rsid w:val="099F3397"/>
    <w:rsid w:val="09A37C42"/>
    <w:rsid w:val="09B71979"/>
    <w:rsid w:val="09CA4C87"/>
    <w:rsid w:val="09EC0032"/>
    <w:rsid w:val="0A1846AD"/>
    <w:rsid w:val="0A334DE9"/>
    <w:rsid w:val="0A3673D1"/>
    <w:rsid w:val="0A391C61"/>
    <w:rsid w:val="0A747C95"/>
    <w:rsid w:val="0A7E31A9"/>
    <w:rsid w:val="0A99628C"/>
    <w:rsid w:val="0AA12C61"/>
    <w:rsid w:val="0AD50B07"/>
    <w:rsid w:val="0B0D3780"/>
    <w:rsid w:val="0B192E69"/>
    <w:rsid w:val="0B1E5674"/>
    <w:rsid w:val="0B2B6432"/>
    <w:rsid w:val="0B481D54"/>
    <w:rsid w:val="0B504CAD"/>
    <w:rsid w:val="0B567FBC"/>
    <w:rsid w:val="0BA32867"/>
    <w:rsid w:val="0C405D06"/>
    <w:rsid w:val="0C417DC3"/>
    <w:rsid w:val="0C5F45C4"/>
    <w:rsid w:val="0C6352C9"/>
    <w:rsid w:val="0C694A19"/>
    <w:rsid w:val="0C6E22F8"/>
    <w:rsid w:val="0C752414"/>
    <w:rsid w:val="0C781DA4"/>
    <w:rsid w:val="0CA4014A"/>
    <w:rsid w:val="0CC23CB2"/>
    <w:rsid w:val="0CD86DE7"/>
    <w:rsid w:val="0CE51F42"/>
    <w:rsid w:val="0CF9441B"/>
    <w:rsid w:val="0CFE63A4"/>
    <w:rsid w:val="0D0807FC"/>
    <w:rsid w:val="0D282054"/>
    <w:rsid w:val="0D33119A"/>
    <w:rsid w:val="0D4A2577"/>
    <w:rsid w:val="0D4D7EA2"/>
    <w:rsid w:val="0D596969"/>
    <w:rsid w:val="0D6D348A"/>
    <w:rsid w:val="0D9C0739"/>
    <w:rsid w:val="0DC77E1F"/>
    <w:rsid w:val="0DC87629"/>
    <w:rsid w:val="0DE500C7"/>
    <w:rsid w:val="0DFF5312"/>
    <w:rsid w:val="0E30061A"/>
    <w:rsid w:val="0E565A26"/>
    <w:rsid w:val="0E6759EA"/>
    <w:rsid w:val="0E693E94"/>
    <w:rsid w:val="0E88287D"/>
    <w:rsid w:val="0EAB15DF"/>
    <w:rsid w:val="0EB71B66"/>
    <w:rsid w:val="0EBD4ECC"/>
    <w:rsid w:val="0EC12B61"/>
    <w:rsid w:val="0ECB16D0"/>
    <w:rsid w:val="0F0F3E67"/>
    <w:rsid w:val="0F36681E"/>
    <w:rsid w:val="0F4B3B77"/>
    <w:rsid w:val="0F513C81"/>
    <w:rsid w:val="0F554B61"/>
    <w:rsid w:val="0F684139"/>
    <w:rsid w:val="0FA658B8"/>
    <w:rsid w:val="0FA725F9"/>
    <w:rsid w:val="0FB125A0"/>
    <w:rsid w:val="0FD32B55"/>
    <w:rsid w:val="0FF75B36"/>
    <w:rsid w:val="1007384E"/>
    <w:rsid w:val="107962EB"/>
    <w:rsid w:val="107D7A08"/>
    <w:rsid w:val="108C6692"/>
    <w:rsid w:val="109E5300"/>
    <w:rsid w:val="10BF5108"/>
    <w:rsid w:val="10C4053D"/>
    <w:rsid w:val="10D064F7"/>
    <w:rsid w:val="10D24A7B"/>
    <w:rsid w:val="10D763F7"/>
    <w:rsid w:val="10DA580F"/>
    <w:rsid w:val="10DF7BBC"/>
    <w:rsid w:val="111A2A3D"/>
    <w:rsid w:val="11244D2A"/>
    <w:rsid w:val="114253E0"/>
    <w:rsid w:val="11461A94"/>
    <w:rsid w:val="115D274C"/>
    <w:rsid w:val="115E3727"/>
    <w:rsid w:val="11B472DB"/>
    <w:rsid w:val="11EC1420"/>
    <w:rsid w:val="11EE2FAE"/>
    <w:rsid w:val="11FA2120"/>
    <w:rsid w:val="1207493D"/>
    <w:rsid w:val="120D27E9"/>
    <w:rsid w:val="124364E9"/>
    <w:rsid w:val="12835C65"/>
    <w:rsid w:val="129E014D"/>
    <w:rsid w:val="12AC1D0D"/>
    <w:rsid w:val="12BA6A0A"/>
    <w:rsid w:val="12C2266E"/>
    <w:rsid w:val="12CB160F"/>
    <w:rsid w:val="12D77FEC"/>
    <w:rsid w:val="12DB00BA"/>
    <w:rsid w:val="12F90EE0"/>
    <w:rsid w:val="1306089F"/>
    <w:rsid w:val="13276FF6"/>
    <w:rsid w:val="134F0DA1"/>
    <w:rsid w:val="13693296"/>
    <w:rsid w:val="1394783B"/>
    <w:rsid w:val="139726F4"/>
    <w:rsid w:val="139B4F53"/>
    <w:rsid w:val="13CE5FC4"/>
    <w:rsid w:val="13F53443"/>
    <w:rsid w:val="144C6770"/>
    <w:rsid w:val="147778EA"/>
    <w:rsid w:val="14943CCC"/>
    <w:rsid w:val="14BA4603"/>
    <w:rsid w:val="14CD7B2A"/>
    <w:rsid w:val="14F16B6F"/>
    <w:rsid w:val="14F865C3"/>
    <w:rsid w:val="14FD2DF1"/>
    <w:rsid w:val="150F189B"/>
    <w:rsid w:val="1517294D"/>
    <w:rsid w:val="153642D6"/>
    <w:rsid w:val="15457698"/>
    <w:rsid w:val="154A5906"/>
    <w:rsid w:val="155558C2"/>
    <w:rsid w:val="15753037"/>
    <w:rsid w:val="158A75E1"/>
    <w:rsid w:val="1592511B"/>
    <w:rsid w:val="159C567E"/>
    <w:rsid w:val="15A520DA"/>
    <w:rsid w:val="15BA178C"/>
    <w:rsid w:val="15C0221F"/>
    <w:rsid w:val="15D77617"/>
    <w:rsid w:val="15D85E33"/>
    <w:rsid w:val="15E6513C"/>
    <w:rsid w:val="15E819C1"/>
    <w:rsid w:val="15F81571"/>
    <w:rsid w:val="161124BB"/>
    <w:rsid w:val="16483E1A"/>
    <w:rsid w:val="16554F68"/>
    <w:rsid w:val="165B5F0F"/>
    <w:rsid w:val="166320D6"/>
    <w:rsid w:val="166C4896"/>
    <w:rsid w:val="167B7AAC"/>
    <w:rsid w:val="169140C1"/>
    <w:rsid w:val="169B4AF9"/>
    <w:rsid w:val="16DB0595"/>
    <w:rsid w:val="16DF2F08"/>
    <w:rsid w:val="16E051E8"/>
    <w:rsid w:val="16ED26EB"/>
    <w:rsid w:val="17066EDE"/>
    <w:rsid w:val="1713214D"/>
    <w:rsid w:val="17945C52"/>
    <w:rsid w:val="17970727"/>
    <w:rsid w:val="17DD1C51"/>
    <w:rsid w:val="18092CD5"/>
    <w:rsid w:val="180D00A7"/>
    <w:rsid w:val="181A6207"/>
    <w:rsid w:val="18214341"/>
    <w:rsid w:val="18336B8F"/>
    <w:rsid w:val="1874792B"/>
    <w:rsid w:val="18C00D35"/>
    <w:rsid w:val="18D13A9A"/>
    <w:rsid w:val="18DE453C"/>
    <w:rsid w:val="18E514CE"/>
    <w:rsid w:val="190848C5"/>
    <w:rsid w:val="190A3B3E"/>
    <w:rsid w:val="191474B7"/>
    <w:rsid w:val="191911EB"/>
    <w:rsid w:val="192616BB"/>
    <w:rsid w:val="192C0FEE"/>
    <w:rsid w:val="19331160"/>
    <w:rsid w:val="19496281"/>
    <w:rsid w:val="196F6FC1"/>
    <w:rsid w:val="19711A8D"/>
    <w:rsid w:val="19992BD1"/>
    <w:rsid w:val="19AB5ACC"/>
    <w:rsid w:val="19C3351E"/>
    <w:rsid w:val="19CA0483"/>
    <w:rsid w:val="1A1D464D"/>
    <w:rsid w:val="1A5F77D3"/>
    <w:rsid w:val="1A6E6871"/>
    <w:rsid w:val="1A8635C8"/>
    <w:rsid w:val="1AB56D4E"/>
    <w:rsid w:val="1ADA1355"/>
    <w:rsid w:val="1B006539"/>
    <w:rsid w:val="1B194961"/>
    <w:rsid w:val="1B195DEC"/>
    <w:rsid w:val="1B285C20"/>
    <w:rsid w:val="1B4A6BAE"/>
    <w:rsid w:val="1B4B370A"/>
    <w:rsid w:val="1B537FF8"/>
    <w:rsid w:val="1B767B01"/>
    <w:rsid w:val="1B860FD9"/>
    <w:rsid w:val="1BB05E26"/>
    <w:rsid w:val="1BC40E99"/>
    <w:rsid w:val="1BC8314E"/>
    <w:rsid w:val="1BCA7890"/>
    <w:rsid w:val="1BCB6A47"/>
    <w:rsid w:val="1BFB1779"/>
    <w:rsid w:val="1BFD00F2"/>
    <w:rsid w:val="1C1327C3"/>
    <w:rsid w:val="1C3670C8"/>
    <w:rsid w:val="1C43363D"/>
    <w:rsid w:val="1C4628F7"/>
    <w:rsid w:val="1C5E28E7"/>
    <w:rsid w:val="1C79295A"/>
    <w:rsid w:val="1CA03602"/>
    <w:rsid w:val="1CC16689"/>
    <w:rsid w:val="1CCC24BC"/>
    <w:rsid w:val="1CE512E6"/>
    <w:rsid w:val="1CEF2480"/>
    <w:rsid w:val="1D061139"/>
    <w:rsid w:val="1D155742"/>
    <w:rsid w:val="1D870AB9"/>
    <w:rsid w:val="1D8A0E3C"/>
    <w:rsid w:val="1D8F4459"/>
    <w:rsid w:val="1D9254CD"/>
    <w:rsid w:val="1DA15E50"/>
    <w:rsid w:val="1DB01096"/>
    <w:rsid w:val="1DB27B15"/>
    <w:rsid w:val="1DB87E85"/>
    <w:rsid w:val="1DC85751"/>
    <w:rsid w:val="1DC934BA"/>
    <w:rsid w:val="1DEB61F5"/>
    <w:rsid w:val="1E0A627C"/>
    <w:rsid w:val="1E16086E"/>
    <w:rsid w:val="1E3A6AB1"/>
    <w:rsid w:val="1E80319B"/>
    <w:rsid w:val="1E885A3B"/>
    <w:rsid w:val="1E927FD6"/>
    <w:rsid w:val="1E9860A5"/>
    <w:rsid w:val="1EA838E7"/>
    <w:rsid w:val="1ED20877"/>
    <w:rsid w:val="1ED94E4B"/>
    <w:rsid w:val="1EDE5D5E"/>
    <w:rsid w:val="1EF77DC5"/>
    <w:rsid w:val="1F383ACC"/>
    <w:rsid w:val="1F394458"/>
    <w:rsid w:val="1F596305"/>
    <w:rsid w:val="1F8811C7"/>
    <w:rsid w:val="1F8D31BC"/>
    <w:rsid w:val="1F9062F5"/>
    <w:rsid w:val="1FEB5C6A"/>
    <w:rsid w:val="1FFF5A5F"/>
    <w:rsid w:val="202209B9"/>
    <w:rsid w:val="20280066"/>
    <w:rsid w:val="202C0E96"/>
    <w:rsid w:val="20304AD2"/>
    <w:rsid w:val="203B6599"/>
    <w:rsid w:val="204F6722"/>
    <w:rsid w:val="20782C9F"/>
    <w:rsid w:val="20902778"/>
    <w:rsid w:val="20AF30C4"/>
    <w:rsid w:val="20C20F88"/>
    <w:rsid w:val="20FD5C7C"/>
    <w:rsid w:val="21096CBA"/>
    <w:rsid w:val="21142ADE"/>
    <w:rsid w:val="2115662C"/>
    <w:rsid w:val="211E06F8"/>
    <w:rsid w:val="21361A04"/>
    <w:rsid w:val="214418DF"/>
    <w:rsid w:val="21B95143"/>
    <w:rsid w:val="21C04FD1"/>
    <w:rsid w:val="21D51B3D"/>
    <w:rsid w:val="21FE0CB2"/>
    <w:rsid w:val="2201295E"/>
    <w:rsid w:val="220D6242"/>
    <w:rsid w:val="22196712"/>
    <w:rsid w:val="2272212A"/>
    <w:rsid w:val="22EC4950"/>
    <w:rsid w:val="22ED5F44"/>
    <w:rsid w:val="23197F12"/>
    <w:rsid w:val="231A56E2"/>
    <w:rsid w:val="231F7C19"/>
    <w:rsid w:val="232B5FAF"/>
    <w:rsid w:val="233F76E0"/>
    <w:rsid w:val="23481CC9"/>
    <w:rsid w:val="235F1272"/>
    <w:rsid w:val="23AE10BA"/>
    <w:rsid w:val="23E56B32"/>
    <w:rsid w:val="24142B46"/>
    <w:rsid w:val="24183F62"/>
    <w:rsid w:val="241D037F"/>
    <w:rsid w:val="2433149D"/>
    <w:rsid w:val="246270E4"/>
    <w:rsid w:val="24703D25"/>
    <w:rsid w:val="24772C2B"/>
    <w:rsid w:val="248B2E3F"/>
    <w:rsid w:val="24DF22D5"/>
    <w:rsid w:val="25241FCD"/>
    <w:rsid w:val="25314C51"/>
    <w:rsid w:val="254A4C11"/>
    <w:rsid w:val="257008BE"/>
    <w:rsid w:val="258A0443"/>
    <w:rsid w:val="259B6286"/>
    <w:rsid w:val="25E86FC2"/>
    <w:rsid w:val="260C3AE7"/>
    <w:rsid w:val="261B35E2"/>
    <w:rsid w:val="261D7A35"/>
    <w:rsid w:val="263A612D"/>
    <w:rsid w:val="26483965"/>
    <w:rsid w:val="26684108"/>
    <w:rsid w:val="268B0B22"/>
    <w:rsid w:val="26BB607A"/>
    <w:rsid w:val="26BB7E4E"/>
    <w:rsid w:val="26C10F08"/>
    <w:rsid w:val="26D075A8"/>
    <w:rsid w:val="26D17DBC"/>
    <w:rsid w:val="26D24757"/>
    <w:rsid w:val="274D17E4"/>
    <w:rsid w:val="27506176"/>
    <w:rsid w:val="275D4096"/>
    <w:rsid w:val="276C3DD0"/>
    <w:rsid w:val="277B4947"/>
    <w:rsid w:val="27A57C3A"/>
    <w:rsid w:val="27D20BC1"/>
    <w:rsid w:val="27EB7AF0"/>
    <w:rsid w:val="280553D3"/>
    <w:rsid w:val="280F6C60"/>
    <w:rsid w:val="281253C2"/>
    <w:rsid w:val="28163476"/>
    <w:rsid w:val="282455AC"/>
    <w:rsid w:val="28261D0F"/>
    <w:rsid w:val="2838738D"/>
    <w:rsid w:val="286F250E"/>
    <w:rsid w:val="287D2504"/>
    <w:rsid w:val="2886147E"/>
    <w:rsid w:val="28A87389"/>
    <w:rsid w:val="28AB0694"/>
    <w:rsid w:val="28AE6A69"/>
    <w:rsid w:val="28B81772"/>
    <w:rsid w:val="28E6171F"/>
    <w:rsid w:val="290A4DA8"/>
    <w:rsid w:val="291176CC"/>
    <w:rsid w:val="291B6CB7"/>
    <w:rsid w:val="291C67BC"/>
    <w:rsid w:val="2944347B"/>
    <w:rsid w:val="29503AAE"/>
    <w:rsid w:val="29573123"/>
    <w:rsid w:val="297F7A53"/>
    <w:rsid w:val="2992095F"/>
    <w:rsid w:val="29AC6651"/>
    <w:rsid w:val="29C4608A"/>
    <w:rsid w:val="29E769C8"/>
    <w:rsid w:val="29F21662"/>
    <w:rsid w:val="29F51AC1"/>
    <w:rsid w:val="29F51D07"/>
    <w:rsid w:val="29FC30C2"/>
    <w:rsid w:val="2A406B43"/>
    <w:rsid w:val="2A481CFC"/>
    <w:rsid w:val="2A6D3E9B"/>
    <w:rsid w:val="2A706411"/>
    <w:rsid w:val="2A783D0E"/>
    <w:rsid w:val="2A9C0461"/>
    <w:rsid w:val="2AD0515C"/>
    <w:rsid w:val="2AE8528D"/>
    <w:rsid w:val="2AF16E8B"/>
    <w:rsid w:val="2B0B7CEC"/>
    <w:rsid w:val="2B27452A"/>
    <w:rsid w:val="2B2D4BDC"/>
    <w:rsid w:val="2B4503EF"/>
    <w:rsid w:val="2B767712"/>
    <w:rsid w:val="2BBA7AC6"/>
    <w:rsid w:val="2BFC26B9"/>
    <w:rsid w:val="2BFF2965"/>
    <w:rsid w:val="2C3C0A88"/>
    <w:rsid w:val="2C51001B"/>
    <w:rsid w:val="2C596FFF"/>
    <w:rsid w:val="2C906216"/>
    <w:rsid w:val="2C9A17D6"/>
    <w:rsid w:val="2CA6566A"/>
    <w:rsid w:val="2CAE7599"/>
    <w:rsid w:val="2CB749B3"/>
    <w:rsid w:val="2CBB6294"/>
    <w:rsid w:val="2CBF39BD"/>
    <w:rsid w:val="2D016EDC"/>
    <w:rsid w:val="2D2E04D4"/>
    <w:rsid w:val="2D3878C4"/>
    <w:rsid w:val="2D3A4057"/>
    <w:rsid w:val="2D5343E6"/>
    <w:rsid w:val="2D994DBE"/>
    <w:rsid w:val="2DD53F02"/>
    <w:rsid w:val="2E0A0263"/>
    <w:rsid w:val="2E6932C2"/>
    <w:rsid w:val="2E73484D"/>
    <w:rsid w:val="2E734C4D"/>
    <w:rsid w:val="2E9A7164"/>
    <w:rsid w:val="2ED21188"/>
    <w:rsid w:val="2EE1137A"/>
    <w:rsid w:val="2EE6759F"/>
    <w:rsid w:val="2EEB0819"/>
    <w:rsid w:val="2EF44200"/>
    <w:rsid w:val="2F010E90"/>
    <w:rsid w:val="2F0C69E6"/>
    <w:rsid w:val="2F0D5CED"/>
    <w:rsid w:val="2F110235"/>
    <w:rsid w:val="2F16689C"/>
    <w:rsid w:val="2F1C6FC0"/>
    <w:rsid w:val="2F236129"/>
    <w:rsid w:val="2F2C56BA"/>
    <w:rsid w:val="2F2D0218"/>
    <w:rsid w:val="2F356A16"/>
    <w:rsid w:val="2F4614DA"/>
    <w:rsid w:val="2F636A54"/>
    <w:rsid w:val="2F796556"/>
    <w:rsid w:val="2FA00DAE"/>
    <w:rsid w:val="30081603"/>
    <w:rsid w:val="30420830"/>
    <w:rsid w:val="309C224F"/>
    <w:rsid w:val="31190489"/>
    <w:rsid w:val="311C3987"/>
    <w:rsid w:val="31232963"/>
    <w:rsid w:val="312C101E"/>
    <w:rsid w:val="313071E7"/>
    <w:rsid w:val="314C7D21"/>
    <w:rsid w:val="31540C79"/>
    <w:rsid w:val="315857B1"/>
    <w:rsid w:val="31650177"/>
    <w:rsid w:val="31A43DC9"/>
    <w:rsid w:val="31AB6658"/>
    <w:rsid w:val="31BC3F1B"/>
    <w:rsid w:val="31C37B9C"/>
    <w:rsid w:val="31EA7F55"/>
    <w:rsid w:val="32137CF0"/>
    <w:rsid w:val="321E50BD"/>
    <w:rsid w:val="32224344"/>
    <w:rsid w:val="32340C69"/>
    <w:rsid w:val="32363F32"/>
    <w:rsid w:val="32471F5A"/>
    <w:rsid w:val="3253078F"/>
    <w:rsid w:val="325E3A96"/>
    <w:rsid w:val="32B7356F"/>
    <w:rsid w:val="330C088A"/>
    <w:rsid w:val="330D0F43"/>
    <w:rsid w:val="332A5E08"/>
    <w:rsid w:val="33310C6F"/>
    <w:rsid w:val="333E728C"/>
    <w:rsid w:val="334F202E"/>
    <w:rsid w:val="33A03A4B"/>
    <w:rsid w:val="33A04007"/>
    <w:rsid w:val="33A60671"/>
    <w:rsid w:val="33AF4FB4"/>
    <w:rsid w:val="33CF2119"/>
    <w:rsid w:val="33DE4357"/>
    <w:rsid w:val="341D5AAB"/>
    <w:rsid w:val="342732F1"/>
    <w:rsid w:val="342B2E3E"/>
    <w:rsid w:val="344517CB"/>
    <w:rsid w:val="3454463B"/>
    <w:rsid w:val="346B507B"/>
    <w:rsid w:val="347A0A28"/>
    <w:rsid w:val="347B293F"/>
    <w:rsid w:val="348C37FE"/>
    <w:rsid w:val="349B5AE7"/>
    <w:rsid w:val="34AA4F73"/>
    <w:rsid w:val="34CE6938"/>
    <w:rsid w:val="34F52FDD"/>
    <w:rsid w:val="352B6C5A"/>
    <w:rsid w:val="35520294"/>
    <w:rsid w:val="357A04F1"/>
    <w:rsid w:val="357C1D84"/>
    <w:rsid w:val="35887A53"/>
    <w:rsid w:val="35AF4576"/>
    <w:rsid w:val="35B4397E"/>
    <w:rsid w:val="360300F8"/>
    <w:rsid w:val="36034EE1"/>
    <w:rsid w:val="36237D2D"/>
    <w:rsid w:val="363503EB"/>
    <w:rsid w:val="3647637B"/>
    <w:rsid w:val="367F686D"/>
    <w:rsid w:val="36A14C50"/>
    <w:rsid w:val="36B412F5"/>
    <w:rsid w:val="36B66A91"/>
    <w:rsid w:val="36CC7A6D"/>
    <w:rsid w:val="36E17616"/>
    <w:rsid w:val="37076693"/>
    <w:rsid w:val="372B30FF"/>
    <w:rsid w:val="372F768E"/>
    <w:rsid w:val="375E41FD"/>
    <w:rsid w:val="3765223E"/>
    <w:rsid w:val="376A4278"/>
    <w:rsid w:val="377870B5"/>
    <w:rsid w:val="377D54A5"/>
    <w:rsid w:val="377D5E16"/>
    <w:rsid w:val="377E65D4"/>
    <w:rsid w:val="37872B44"/>
    <w:rsid w:val="379A0642"/>
    <w:rsid w:val="379F77DA"/>
    <w:rsid w:val="37A7041E"/>
    <w:rsid w:val="37A80A27"/>
    <w:rsid w:val="37C914D9"/>
    <w:rsid w:val="37D63EC9"/>
    <w:rsid w:val="37F02038"/>
    <w:rsid w:val="38280519"/>
    <w:rsid w:val="38304C4D"/>
    <w:rsid w:val="38321297"/>
    <w:rsid w:val="386D019E"/>
    <w:rsid w:val="38894B13"/>
    <w:rsid w:val="38A42A5B"/>
    <w:rsid w:val="38C10BFB"/>
    <w:rsid w:val="38DD791D"/>
    <w:rsid w:val="3920221B"/>
    <w:rsid w:val="39334BFF"/>
    <w:rsid w:val="393667C3"/>
    <w:rsid w:val="39457CAF"/>
    <w:rsid w:val="3948048E"/>
    <w:rsid w:val="39812B9C"/>
    <w:rsid w:val="399208A7"/>
    <w:rsid w:val="39B565E1"/>
    <w:rsid w:val="39D4235F"/>
    <w:rsid w:val="39FD6163"/>
    <w:rsid w:val="3A257802"/>
    <w:rsid w:val="3A606A76"/>
    <w:rsid w:val="3A8231F1"/>
    <w:rsid w:val="3A921749"/>
    <w:rsid w:val="3AA81B41"/>
    <w:rsid w:val="3ADD242D"/>
    <w:rsid w:val="3B143086"/>
    <w:rsid w:val="3B147A5B"/>
    <w:rsid w:val="3B1A2D8C"/>
    <w:rsid w:val="3B4042AB"/>
    <w:rsid w:val="3B4E6CEA"/>
    <w:rsid w:val="3B66210B"/>
    <w:rsid w:val="3B814E71"/>
    <w:rsid w:val="3B964D74"/>
    <w:rsid w:val="3B972AF7"/>
    <w:rsid w:val="3BB62FA9"/>
    <w:rsid w:val="3BB70D15"/>
    <w:rsid w:val="3BBB09FC"/>
    <w:rsid w:val="3BC91BB9"/>
    <w:rsid w:val="3C120308"/>
    <w:rsid w:val="3C42650A"/>
    <w:rsid w:val="3C762DF2"/>
    <w:rsid w:val="3C7D1D40"/>
    <w:rsid w:val="3C9B51F8"/>
    <w:rsid w:val="3CDD0DBD"/>
    <w:rsid w:val="3D101034"/>
    <w:rsid w:val="3D544EBB"/>
    <w:rsid w:val="3D882CF1"/>
    <w:rsid w:val="3D9814F2"/>
    <w:rsid w:val="3DAF40CD"/>
    <w:rsid w:val="3DE32AFA"/>
    <w:rsid w:val="3DE454C2"/>
    <w:rsid w:val="3E0456CC"/>
    <w:rsid w:val="3E115C36"/>
    <w:rsid w:val="3E136ED4"/>
    <w:rsid w:val="3E2418CD"/>
    <w:rsid w:val="3E2726B6"/>
    <w:rsid w:val="3E3A6B14"/>
    <w:rsid w:val="3E8A1A02"/>
    <w:rsid w:val="3E8E765E"/>
    <w:rsid w:val="3EA9393D"/>
    <w:rsid w:val="3EAD0498"/>
    <w:rsid w:val="3EC56D78"/>
    <w:rsid w:val="3EC7715A"/>
    <w:rsid w:val="3ED16A4F"/>
    <w:rsid w:val="3ED17EBE"/>
    <w:rsid w:val="3EDC543E"/>
    <w:rsid w:val="3EED5016"/>
    <w:rsid w:val="3EF52FF7"/>
    <w:rsid w:val="3EF62F89"/>
    <w:rsid w:val="3EF75B65"/>
    <w:rsid w:val="3EFB570C"/>
    <w:rsid w:val="3F204493"/>
    <w:rsid w:val="3F2B7413"/>
    <w:rsid w:val="3F5871FB"/>
    <w:rsid w:val="3F8E35DC"/>
    <w:rsid w:val="3F8F5DC2"/>
    <w:rsid w:val="3FA46F4F"/>
    <w:rsid w:val="3FA624AC"/>
    <w:rsid w:val="3FB00475"/>
    <w:rsid w:val="3FBF5991"/>
    <w:rsid w:val="3FE10717"/>
    <w:rsid w:val="40023F34"/>
    <w:rsid w:val="40090025"/>
    <w:rsid w:val="40181902"/>
    <w:rsid w:val="402F5A4D"/>
    <w:rsid w:val="40411288"/>
    <w:rsid w:val="404742BD"/>
    <w:rsid w:val="40600DD5"/>
    <w:rsid w:val="40660F91"/>
    <w:rsid w:val="407A1958"/>
    <w:rsid w:val="407D57C8"/>
    <w:rsid w:val="40B26892"/>
    <w:rsid w:val="40E21CB8"/>
    <w:rsid w:val="410F31C3"/>
    <w:rsid w:val="4112553B"/>
    <w:rsid w:val="41344AAB"/>
    <w:rsid w:val="41550C30"/>
    <w:rsid w:val="41875FCE"/>
    <w:rsid w:val="4190424D"/>
    <w:rsid w:val="41BA6E78"/>
    <w:rsid w:val="41E43D07"/>
    <w:rsid w:val="41F6399A"/>
    <w:rsid w:val="41F94DC7"/>
    <w:rsid w:val="41FA3A29"/>
    <w:rsid w:val="42137C42"/>
    <w:rsid w:val="422E57D7"/>
    <w:rsid w:val="42555DF7"/>
    <w:rsid w:val="42A27001"/>
    <w:rsid w:val="42C507A4"/>
    <w:rsid w:val="42F07508"/>
    <w:rsid w:val="43270B23"/>
    <w:rsid w:val="43366434"/>
    <w:rsid w:val="434A0913"/>
    <w:rsid w:val="436A64E9"/>
    <w:rsid w:val="4370434B"/>
    <w:rsid w:val="43711057"/>
    <w:rsid w:val="43891ADB"/>
    <w:rsid w:val="439C4F5E"/>
    <w:rsid w:val="43B65B15"/>
    <w:rsid w:val="43E630D7"/>
    <w:rsid w:val="43EF2D9F"/>
    <w:rsid w:val="43F02783"/>
    <w:rsid w:val="44656E26"/>
    <w:rsid w:val="4468183E"/>
    <w:rsid w:val="44786783"/>
    <w:rsid w:val="449457D3"/>
    <w:rsid w:val="44A25A9F"/>
    <w:rsid w:val="44A61055"/>
    <w:rsid w:val="44BE5C95"/>
    <w:rsid w:val="44DD6EB7"/>
    <w:rsid w:val="44E01145"/>
    <w:rsid w:val="450018DF"/>
    <w:rsid w:val="450F2BC2"/>
    <w:rsid w:val="451D2C75"/>
    <w:rsid w:val="45203860"/>
    <w:rsid w:val="454746DD"/>
    <w:rsid w:val="455367B2"/>
    <w:rsid w:val="45555732"/>
    <w:rsid w:val="455F10D7"/>
    <w:rsid w:val="456355DA"/>
    <w:rsid w:val="45741675"/>
    <w:rsid w:val="459C4648"/>
    <w:rsid w:val="45A02EDD"/>
    <w:rsid w:val="45E61BCA"/>
    <w:rsid w:val="45EE32D7"/>
    <w:rsid w:val="460A6FE4"/>
    <w:rsid w:val="461A323C"/>
    <w:rsid w:val="4638018C"/>
    <w:rsid w:val="46416C3D"/>
    <w:rsid w:val="46433285"/>
    <w:rsid w:val="46526D41"/>
    <w:rsid w:val="46584865"/>
    <w:rsid w:val="46681B67"/>
    <w:rsid w:val="468200E4"/>
    <w:rsid w:val="46903F4D"/>
    <w:rsid w:val="469815BE"/>
    <w:rsid w:val="46A14FC5"/>
    <w:rsid w:val="46B27CB1"/>
    <w:rsid w:val="46D34E98"/>
    <w:rsid w:val="47001117"/>
    <w:rsid w:val="47246805"/>
    <w:rsid w:val="47492E75"/>
    <w:rsid w:val="474F7F9F"/>
    <w:rsid w:val="475F3AC1"/>
    <w:rsid w:val="47844901"/>
    <w:rsid w:val="479A2ED2"/>
    <w:rsid w:val="47B328B4"/>
    <w:rsid w:val="47C13542"/>
    <w:rsid w:val="48113D01"/>
    <w:rsid w:val="484C7B11"/>
    <w:rsid w:val="485E0A04"/>
    <w:rsid w:val="48740F1D"/>
    <w:rsid w:val="48761BE3"/>
    <w:rsid w:val="489E0EB1"/>
    <w:rsid w:val="48A4548A"/>
    <w:rsid w:val="48A57E1F"/>
    <w:rsid w:val="48B50D92"/>
    <w:rsid w:val="48D80297"/>
    <w:rsid w:val="48DE3BBF"/>
    <w:rsid w:val="48E77164"/>
    <w:rsid w:val="491D19DF"/>
    <w:rsid w:val="49304CB2"/>
    <w:rsid w:val="49620FF1"/>
    <w:rsid w:val="496F6EBE"/>
    <w:rsid w:val="49814F4C"/>
    <w:rsid w:val="49836E4C"/>
    <w:rsid w:val="49A364F7"/>
    <w:rsid w:val="49B42429"/>
    <w:rsid w:val="49C4569B"/>
    <w:rsid w:val="4A074043"/>
    <w:rsid w:val="4A090DC7"/>
    <w:rsid w:val="4A091441"/>
    <w:rsid w:val="4A14567E"/>
    <w:rsid w:val="4A1C1271"/>
    <w:rsid w:val="4A1E6180"/>
    <w:rsid w:val="4A2308FE"/>
    <w:rsid w:val="4A2412C3"/>
    <w:rsid w:val="4A287AB1"/>
    <w:rsid w:val="4A5133EE"/>
    <w:rsid w:val="4A5D4EF8"/>
    <w:rsid w:val="4A791824"/>
    <w:rsid w:val="4A915C19"/>
    <w:rsid w:val="4A955A49"/>
    <w:rsid w:val="4A9C5501"/>
    <w:rsid w:val="4AAF7BD4"/>
    <w:rsid w:val="4AD80F53"/>
    <w:rsid w:val="4AD86EA7"/>
    <w:rsid w:val="4B2C75A6"/>
    <w:rsid w:val="4B2F25FD"/>
    <w:rsid w:val="4BB15678"/>
    <w:rsid w:val="4BB635D2"/>
    <w:rsid w:val="4BB76960"/>
    <w:rsid w:val="4BC655C8"/>
    <w:rsid w:val="4BD03593"/>
    <w:rsid w:val="4BD63363"/>
    <w:rsid w:val="4BD87666"/>
    <w:rsid w:val="4BE63621"/>
    <w:rsid w:val="4BE6691C"/>
    <w:rsid w:val="4BF467F9"/>
    <w:rsid w:val="4BF83E44"/>
    <w:rsid w:val="4C276C17"/>
    <w:rsid w:val="4C73767A"/>
    <w:rsid w:val="4C7C0669"/>
    <w:rsid w:val="4C7D0871"/>
    <w:rsid w:val="4C850277"/>
    <w:rsid w:val="4C9904F2"/>
    <w:rsid w:val="4CC52EB8"/>
    <w:rsid w:val="4D2572CD"/>
    <w:rsid w:val="4D354FF0"/>
    <w:rsid w:val="4D4C32B8"/>
    <w:rsid w:val="4DBB048A"/>
    <w:rsid w:val="4DCE336E"/>
    <w:rsid w:val="4DE07DE4"/>
    <w:rsid w:val="4E0D5D14"/>
    <w:rsid w:val="4E2809CC"/>
    <w:rsid w:val="4E2F45C0"/>
    <w:rsid w:val="4E363F2F"/>
    <w:rsid w:val="4E682F97"/>
    <w:rsid w:val="4EA42281"/>
    <w:rsid w:val="4EA546F0"/>
    <w:rsid w:val="4EAF3AED"/>
    <w:rsid w:val="4EB0019E"/>
    <w:rsid w:val="4ECB1385"/>
    <w:rsid w:val="4ED32851"/>
    <w:rsid w:val="4ED35762"/>
    <w:rsid w:val="4EDF1745"/>
    <w:rsid w:val="4EF5014E"/>
    <w:rsid w:val="4EFA3C4E"/>
    <w:rsid w:val="4F235A8E"/>
    <w:rsid w:val="4F26262A"/>
    <w:rsid w:val="4F33554E"/>
    <w:rsid w:val="4F612BE4"/>
    <w:rsid w:val="4F6461D6"/>
    <w:rsid w:val="4F7B292B"/>
    <w:rsid w:val="4F865749"/>
    <w:rsid w:val="4F9E59ED"/>
    <w:rsid w:val="4FDC58FD"/>
    <w:rsid w:val="4FDE1C0C"/>
    <w:rsid w:val="4FE54A2D"/>
    <w:rsid w:val="4FF958E6"/>
    <w:rsid w:val="50202BC7"/>
    <w:rsid w:val="50216FE4"/>
    <w:rsid w:val="502D2C76"/>
    <w:rsid w:val="50614DD7"/>
    <w:rsid w:val="506B628A"/>
    <w:rsid w:val="507663CE"/>
    <w:rsid w:val="50787CFE"/>
    <w:rsid w:val="50AE1AE4"/>
    <w:rsid w:val="50DE21C3"/>
    <w:rsid w:val="50FE2631"/>
    <w:rsid w:val="51151D83"/>
    <w:rsid w:val="51167E7F"/>
    <w:rsid w:val="51390032"/>
    <w:rsid w:val="515426DE"/>
    <w:rsid w:val="515C74D2"/>
    <w:rsid w:val="51652C0F"/>
    <w:rsid w:val="518D4538"/>
    <w:rsid w:val="51960DFD"/>
    <w:rsid w:val="51BB2BF3"/>
    <w:rsid w:val="51C87FCE"/>
    <w:rsid w:val="51FD0367"/>
    <w:rsid w:val="52377D55"/>
    <w:rsid w:val="525F7483"/>
    <w:rsid w:val="52862351"/>
    <w:rsid w:val="52984624"/>
    <w:rsid w:val="52F10B24"/>
    <w:rsid w:val="534A2585"/>
    <w:rsid w:val="53921453"/>
    <w:rsid w:val="539D3FE2"/>
    <w:rsid w:val="53A03056"/>
    <w:rsid w:val="53A31787"/>
    <w:rsid w:val="53D7503B"/>
    <w:rsid w:val="53E637C7"/>
    <w:rsid w:val="53E8647E"/>
    <w:rsid w:val="53F45929"/>
    <w:rsid w:val="53FC0907"/>
    <w:rsid w:val="5468198B"/>
    <w:rsid w:val="54951AB4"/>
    <w:rsid w:val="549A0B06"/>
    <w:rsid w:val="54A655A6"/>
    <w:rsid w:val="54AC5365"/>
    <w:rsid w:val="54D53B13"/>
    <w:rsid w:val="54EB74E4"/>
    <w:rsid w:val="55284AD7"/>
    <w:rsid w:val="5530324E"/>
    <w:rsid w:val="55457E29"/>
    <w:rsid w:val="555B0657"/>
    <w:rsid w:val="556032BE"/>
    <w:rsid w:val="55B86023"/>
    <w:rsid w:val="55C151DC"/>
    <w:rsid w:val="55E556DC"/>
    <w:rsid w:val="55FF3036"/>
    <w:rsid w:val="56213505"/>
    <w:rsid w:val="56292705"/>
    <w:rsid w:val="5632227A"/>
    <w:rsid w:val="56482C0E"/>
    <w:rsid w:val="564E3203"/>
    <w:rsid w:val="568C03E5"/>
    <w:rsid w:val="56E60496"/>
    <w:rsid w:val="57360834"/>
    <w:rsid w:val="57374E0B"/>
    <w:rsid w:val="57444728"/>
    <w:rsid w:val="575B090B"/>
    <w:rsid w:val="577439B5"/>
    <w:rsid w:val="57926FF9"/>
    <w:rsid w:val="57A355F8"/>
    <w:rsid w:val="57E6509B"/>
    <w:rsid w:val="57E738F8"/>
    <w:rsid w:val="57EB5B27"/>
    <w:rsid w:val="57EC2D60"/>
    <w:rsid w:val="58263426"/>
    <w:rsid w:val="583C0E12"/>
    <w:rsid w:val="5856757B"/>
    <w:rsid w:val="58630650"/>
    <w:rsid w:val="58A14304"/>
    <w:rsid w:val="58A3772F"/>
    <w:rsid w:val="58CC5EFE"/>
    <w:rsid w:val="58E3487B"/>
    <w:rsid w:val="58FB3B6A"/>
    <w:rsid w:val="59026288"/>
    <w:rsid w:val="590668BB"/>
    <w:rsid w:val="59205FDE"/>
    <w:rsid w:val="59336ED5"/>
    <w:rsid w:val="59393A95"/>
    <w:rsid w:val="59432CA0"/>
    <w:rsid w:val="594A3241"/>
    <w:rsid w:val="594D3E46"/>
    <w:rsid w:val="595C3DA0"/>
    <w:rsid w:val="595E62F2"/>
    <w:rsid w:val="596658B9"/>
    <w:rsid w:val="59693F87"/>
    <w:rsid w:val="59851D75"/>
    <w:rsid w:val="59B42F07"/>
    <w:rsid w:val="59BB77BA"/>
    <w:rsid w:val="5A2C4220"/>
    <w:rsid w:val="5A316507"/>
    <w:rsid w:val="5A497C34"/>
    <w:rsid w:val="5A4C0E52"/>
    <w:rsid w:val="5A7B33E5"/>
    <w:rsid w:val="5A8C664D"/>
    <w:rsid w:val="5ABD43B1"/>
    <w:rsid w:val="5AC20EBF"/>
    <w:rsid w:val="5ACD5B73"/>
    <w:rsid w:val="5ADF42CD"/>
    <w:rsid w:val="5B050809"/>
    <w:rsid w:val="5B1038C0"/>
    <w:rsid w:val="5B366061"/>
    <w:rsid w:val="5B3846E5"/>
    <w:rsid w:val="5B440B6E"/>
    <w:rsid w:val="5B553BEC"/>
    <w:rsid w:val="5B5B4ABD"/>
    <w:rsid w:val="5B5C5E93"/>
    <w:rsid w:val="5B5E3394"/>
    <w:rsid w:val="5B74024A"/>
    <w:rsid w:val="5B792560"/>
    <w:rsid w:val="5B8A7735"/>
    <w:rsid w:val="5B9D0E06"/>
    <w:rsid w:val="5BA172F8"/>
    <w:rsid w:val="5BB151A5"/>
    <w:rsid w:val="5BB6027C"/>
    <w:rsid w:val="5BBB47C2"/>
    <w:rsid w:val="5BE568D3"/>
    <w:rsid w:val="5BF62976"/>
    <w:rsid w:val="5C16597D"/>
    <w:rsid w:val="5C576F8B"/>
    <w:rsid w:val="5C707C6C"/>
    <w:rsid w:val="5C8D5239"/>
    <w:rsid w:val="5C8E0CD7"/>
    <w:rsid w:val="5C9E2C36"/>
    <w:rsid w:val="5CB21C23"/>
    <w:rsid w:val="5CB6579C"/>
    <w:rsid w:val="5CBB2347"/>
    <w:rsid w:val="5CC6320E"/>
    <w:rsid w:val="5CC76C7C"/>
    <w:rsid w:val="5CF36024"/>
    <w:rsid w:val="5CFF01AA"/>
    <w:rsid w:val="5D1344DD"/>
    <w:rsid w:val="5D7726AE"/>
    <w:rsid w:val="5D7B6EDD"/>
    <w:rsid w:val="5D806796"/>
    <w:rsid w:val="5D827D40"/>
    <w:rsid w:val="5DC43C07"/>
    <w:rsid w:val="5DCA3A55"/>
    <w:rsid w:val="5DCD3255"/>
    <w:rsid w:val="5DE640E1"/>
    <w:rsid w:val="5E297761"/>
    <w:rsid w:val="5E33770D"/>
    <w:rsid w:val="5E532ADD"/>
    <w:rsid w:val="5E610B28"/>
    <w:rsid w:val="5E66579C"/>
    <w:rsid w:val="5E91320F"/>
    <w:rsid w:val="5E915A7A"/>
    <w:rsid w:val="5E9345FF"/>
    <w:rsid w:val="5EA33A97"/>
    <w:rsid w:val="5ED134B6"/>
    <w:rsid w:val="5EF55DBA"/>
    <w:rsid w:val="5F6B1358"/>
    <w:rsid w:val="5F803CFA"/>
    <w:rsid w:val="5FC51458"/>
    <w:rsid w:val="5FC866E5"/>
    <w:rsid w:val="5FDC13D8"/>
    <w:rsid w:val="60090629"/>
    <w:rsid w:val="60413F7F"/>
    <w:rsid w:val="60660F52"/>
    <w:rsid w:val="606A3C6B"/>
    <w:rsid w:val="609B5019"/>
    <w:rsid w:val="60B4769E"/>
    <w:rsid w:val="60B55083"/>
    <w:rsid w:val="610242F6"/>
    <w:rsid w:val="6119401A"/>
    <w:rsid w:val="611D2CA6"/>
    <w:rsid w:val="61200642"/>
    <w:rsid w:val="612C581B"/>
    <w:rsid w:val="61652DB1"/>
    <w:rsid w:val="61970BE7"/>
    <w:rsid w:val="61A20E5D"/>
    <w:rsid w:val="61B8332B"/>
    <w:rsid w:val="61F17268"/>
    <w:rsid w:val="61FC7432"/>
    <w:rsid w:val="620A3859"/>
    <w:rsid w:val="62204E0F"/>
    <w:rsid w:val="62207D5C"/>
    <w:rsid w:val="624063A3"/>
    <w:rsid w:val="62533606"/>
    <w:rsid w:val="62845968"/>
    <w:rsid w:val="628E2B97"/>
    <w:rsid w:val="62A86B6F"/>
    <w:rsid w:val="62B35B81"/>
    <w:rsid w:val="62B75EDD"/>
    <w:rsid w:val="62BA2CE3"/>
    <w:rsid w:val="62C01D55"/>
    <w:rsid w:val="62C92F2D"/>
    <w:rsid w:val="62D93169"/>
    <w:rsid w:val="62E40282"/>
    <w:rsid w:val="631D5B18"/>
    <w:rsid w:val="631E201F"/>
    <w:rsid w:val="63320961"/>
    <w:rsid w:val="634E6C76"/>
    <w:rsid w:val="63577D60"/>
    <w:rsid w:val="636514C6"/>
    <w:rsid w:val="636F701B"/>
    <w:rsid w:val="6382662F"/>
    <w:rsid w:val="63B23C71"/>
    <w:rsid w:val="63C95202"/>
    <w:rsid w:val="63CB4107"/>
    <w:rsid w:val="63DB551D"/>
    <w:rsid w:val="63ED3A09"/>
    <w:rsid w:val="64090834"/>
    <w:rsid w:val="64116EAE"/>
    <w:rsid w:val="64272A3B"/>
    <w:rsid w:val="6467063D"/>
    <w:rsid w:val="648F4A0E"/>
    <w:rsid w:val="64937E71"/>
    <w:rsid w:val="6495646A"/>
    <w:rsid w:val="64C02EBC"/>
    <w:rsid w:val="64FA320D"/>
    <w:rsid w:val="65797FD4"/>
    <w:rsid w:val="658D5E16"/>
    <w:rsid w:val="65953363"/>
    <w:rsid w:val="65B841DE"/>
    <w:rsid w:val="65CA03C9"/>
    <w:rsid w:val="65E1661E"/>
    <w:rsid w:val="65E36C18"/>
    <w:rsid w:val="660918F9"/>
    <w:rsid w:val="663C1302"/>
    <w:rsid w:val="665F0112"/>
    <w:rsid w:val="666E3D14"/>
    <w:rsid w:val="667F18FA"/>
    <w:rsid w:val="669A5886"/>
    <w:rsid w:val="66BF54E4"/>
    <w:rsid w:val="67101119"/>
    <w:rsid w:val="67151BB5"/>
    <w:rsid w:val="671C67EA"/>
    <w:rsid w:val="67400D4D"/>
    <w:rsid w:val="677A414A"/>
    <w:rsid w:val="67C952B3"/>
    <w:rsid w:val="67CB697C"/>
    <w:rsid w:val="67DB4341"/>
    <w:rsid w:val="68720AE2"/>
    <w:rsid w:val="689554F5"/>
    <w:rsid w:val="68AA7215"/>
    <w:rsid w:val="68ED6911"/>
    <w:rsid w:val="6903642B"/>
    <w:rsid w:val="690F1870"/>
    <w:rsid w:val="692F5E27"/>
    <w:rsid w:val="6934046F"/>
    <w:rsid w:val="69466675"/>
    <w:rsid w:val="698C2B7F"/>
    <w:rsid w:val="69A231E6"/>
    <w:rsid w:val="69AB5D7A"/>
    <w:rsid w:val="69DF7BDF"/>
    <w:rsid w:val="69F21353"/>
    <w:rsid w:val="69F575F2"/>
    <w:rsid w:val="6A1E730C"/>
    <w:rsid w:val="6A4C7335"/>
    <w:rsid w:val="6A531E39"/>
    <w:rsid w:val="6A545ADB"/>
    <w:rsid w:val="6A5D05BD"/>
    <w:rsid w:val="6A6B273C"/>
    <w:rsid w:val="6A703222"/>
    <w:rsid w:val="6AAA18E6"/>
    <w:rsid w:val="6AB66294"/>
    <w:rsid w:val="6AC60849"/>
    <w:rsid w:val="6AC938A9"/>
    <w:rsid w:val="6B2F05BC"/>
    <w:rsid w:val="6B435167"/>
    <w:rsid w:val="6BB237C9"/>
    <w:rsid w:val="6BB37104"/>
    <w:rsid w:val="6BDF1336"/>
    <w:rsid w:val="6C3161F1"/>
    <w:rsid w:val="6C3745DF"/>
    <w:rsid w:val="6C3D4127"/>
    <w:rsid w:val="6C6253EB"/>
    <w:rsid w:val="6C666B72"/>
    <w:rsid w:val="6C6D2D24"/>
    <w:rsid w:val="6C8F3EF6"/>
    <w:rsid w:val="6CAD55CC"/>
    <w:rsid w:val="6CBE1616"/>
    <w:rsid w:val="6CC15D2B"/>
    <w:rsid w:val="6CC15F94"/>
    <w:rsid w:val="6CDA118A"/>
    <w:rsid w:val="6D0C01A9"/>
    <w:rsid w:val="6D2A44DD"/>
    <w:rsid w:val="6D493A0A"/>
    <w:rsid w:val="6D551BE3"/>
    <w:rsid w:val="6D5C2995"/>
    <w:rsid w:val="6D8E2C9C"/>
    <w:rsid w:val="6DAD51A4"/>
    <w:rsid w:val="6E017D0E"/>
    <w:rsid w:val="6E053E0B"/>
    <w:rsid w:val="6E1E1DB6"/>
    <w:rsid w:val="6E201C15"/>
    <w:rsid w:val="6E3F4BAC"/>
    <w:rsid w:val="6E524DE3"/>
    <w:rsid w:val="6E735A03"/>
    <w:rsid w:val="6E7D3005"/>
    <w:rsid w:val="6EA04E08"/>
    <w:rsid w:val="6EAA18F7"/>
    <w:rsid w:val="6EBB6601"/>
    <w:rsid w:val="6ECF710B"/>
    <w:rsid w:val="6EEE5D94"/>
    <w:rsid w:val="6F050882"/>
    <w:rsid w:val="6F0B5A13"/>
    <w:rsid w:val="6F1579C7"/>
    <w:rsid w:val="6F62521C"/>
    <w:rsid w:val="6FBC6483"/>
    <w:rsid w:val="6FC130A1"/>
    <w:rsid w:val="6FC26F58"/>
    <w:rsid w:val="6FD761EC"/>
    <w:rsid w:val="6FE52312"/>
    <w:rsid w:val="6FF1085F"/>
    <w:rsid w:val="700F6510"/>
    <w:rsid w:val="70750A7A"/>
    <w:rsid w:val="70991D59"/>
    <w:rsid w:val="709A5C21"/>
    <w:rsid w:val="70C51917"/>
    <w:rsid w:val="70D02722"/>
    <w:rsid w:val="70F067F3"/>
    <w:rsid w:val="711A09D1"/>
    <w:rsid w:val="71275E70"/>
    <w:rsid w:val="712F60DB"/>
    <w:rsid w:val="714B6CD7"/>
    <w:rsid w:val="71653B96"/>
    <w:rsid w:val="71D8215F"/>
    <w:rsid w:val="71DF1D07"/>
    <w:rsid w:val="71FB7CB1"/>
    <w:rsid w:val="720D209A"/>
    <w:rsid w:val="7221044F"/>
    <w:rsid w:val="72252F84"/>
    <w:rsid w:val="722F089D"/>
    <w:rsid w:val="723126FD"/>
    <w:rsid w:val="723E2E01"/>
    <w:rsid w:val="72404D8A"/>
    <w:rsid w:val="724C22E8"/>
    <w:rsid w:val="725F0F01"/>
    <w:rsid w:val="729D5E1F"/>
    <w:rsid w:val="72E72EAA"/>
    <w:rsid w:val="72F27051"/>
    <w:rsid w:val="7331658B"/>
    <w:rsid w:val="733C6C97"/>
    <w:rsid w:val="734B4A4B"/>
    <w:rsid w:val="734C70B6"/>
    <w:rsid w:val="73560C2B"/>
    <w:rsid w:val="735E4E1D"/>
    <w:rsid w:val="7388314F"/>
    <w:rsid w:val="73C30699"/>
    <w:rsid w:val="73CB394C"/>
    <w:rsid w:val="73D51780"/>
    <w:rsid w:val="73E34188"/>
    <w:rsid w:val="73F006A6"/>
    <w:rsid w:val="73F022C4"/>
    <w:rsid w:val="73F63EFE"/>
    <w:rsid w:val="73FF26B3"/>
    <w:rsid w:val="74071758"/>
    <w:rsid w:val="741425AC"/>
    <w:rsid w:val="741D773B"/>
    <w:rsid w:val="74280680"/>
    <w:rsid w:val="744F658E"/>
    <w:rsid w:val="7463178E"/>
    <w:rsid w:val="746371B3"/>
    <w:rsid w:val="746E5228"/>
    <w:rsid w:val="747A43C9"/>
    <w:rsid w:val="74922B66"/>
    <w:rsid w:val="74A5696C"/>
    <w:rsid w:val="74DB20FA"/>
    <w:rsid w:val="7508529D"/>
    <w:rsid w:val="752C3218"/>
    <w:rsid w:val="75397634"/>
    <w:rsid w:val="75537CD8"/>
    <w:rsid w:val="75595BE3"/>
    <w:rsid w:val="755E58D5"/>
    <w:rsid w:val="757606EF"/>
    <w:rsid w:val="75844FC1"/>
    <w:rsid w:val="75EE069B"/>
    <w:rsid w:val="75FC15CE"/>
    <w:rsid w:val="7615419A"/>
    <w:rsid w:val="76172D6A"/>
    <w:rsid w:val="761A409E"/>
    <w:rsid w:val="762F02D7"/>
    <w:rsid w:val="763D7340"/>
    <w:rsid w:val="76512EE8"/>
    <w:rsid w:val="767A6C09"/>
    <w:rsid w:val="767F5650"/>
    <w:rsid w:val="76880BA0"/>
    <w:rsid w:val="76885BC7"/>
    <w:rsid w:val="768C19C1"/>
    <w:rsid w:val="768C2564"/>
    <w:rsid w:val="76991D18"/>
    <w:rsid w:val="76BA43D5"/>
    <w:rsid w:val="76BE21DC"/>
    <w:rsid w:val="76CD5B13"/>
    <w:rsid w:val="76DF3C76"/>
    <w:rsid w:val="76EB41A9"/>
    <w:rsid w:val="76F71295"/>
    <w:rsid w:val="76FC2CE2"/>
    <w:rsid w:val="7706359E"/>
    <w:rsid w:val="771A5653"/>
    <w:rsid w:val="771B5FB2"/>
    <w:rsid w:val="772A75AD"/>
    <w:rsid w:val="7734542F"/>
    <w:rsid w:val="774073C9"/>
    <w:rsid w:val="77460079"/>
    <w:rsid w:val="77567D26"/>
    <w:rsid w:val="77574E5D"/>
    <w:rsid w:val="77592E82"/>
    <w:rsid w:val="775D2B17"/>
    <w:rsid w:val="7760235E"/>
    <w:rsid w:val="777D4FBC"/>
    <w:rsid w:val="77C64121"/>
    <w:rsid w:val="77CD3C5D"/>
    <w:rsid w:val="77FD4667"/>
    <w:rsid w:val="781200C6"/>
    <w:rsid w:val="78150104"/>
    <w:rsid w:val="786B1829"/>
    <w:rsid w:val="78C7234E"/>
    <w:rsid w:val="791063B8"/>
    <w:rsid w:val="79235A1B"/>
    <w:rsid w:val="793842B6"/>
    <w:rsid w:val="793E7F2E"/>
    <w:rsid w:val="796362D3"/>
    <w:rsid w:val="79774ECD"/>
    <w:rsid w:val="79827C27"/>
    <w:rsid w:val="798834D2"/>
    <w:rsid w:val="799B7D73"/>
    <w:rsid w:val="79B07BB3"/>
    <w:rsid w:val="79B7369F"/>
    <w:rsid w:val="79C03278"/>
    <w:rsid w:val="79D510F0"/>
    <w:rsid w:val="79ED59B1"/>
    <w:rsid w:val="79F56CDC"/>
    <w:rsid w:val="7A032271"/>
    <w:rsid w:val="7A320BDB"/>
    <w:rsid w:val="7A491583"/>
    <w:rsid w:val="7A5B6EDF"/>
    <w:rsid w:val="7A5D2F7E"/>
    <w:rsid w:val="7A676444"/>
    <w:rsid w:val="7A72534A"/>
    <w:rsid w:val="7A832DB1"/>
    <w:rsid w:val="7A8F7D69"/>
    <w:rsid w:val="7A9C5FF5"/>
    <w:rsid w:val="7AA27F96"/>
    <w:rsid w:val="7AB320ED"/>
    <w:rsid w:val="7AC2422A"/>
    <w:rsid w:val="7AD44A1D"/>
    <w:rsid w:val="7B045A0E"/>
    <w:rsid w:val="7B137629"/>
    <w:rsid w:val="7B1B29C2"/>
    <w:rsid w:val="7B5D2C25"/>
    <w:rsid w:val="7B832034"/>
    <w:rsid w:val="7BA57F90"/>
    <w:rsid w:val="7BBC18FF"/>
    <w:rsid w:val="7C100290"/>
    <w:rsid w:val="7C151FE3"/>
    <w:rsid w:val="7C1D63E0"/>
    <w:rsid w:val="7C2925EF"/>
    <w:rsid w:val="7C463AF9"/>
    <w:rsid w:val="7C4673AC"/>
    <w:rsid w:val="7C691C0E"/>
    <w:rsid w:val="7C6D0FAF"/>
    <w:rsid w:val="7C7654E0"/>
    <w:rsid w:val="7C9D56FC"/>
    <w:rsid w:val="7C9E2AE3"/>
    <w:rsid w:val="7CA34E3A"/>
    <w:rsid w:val="7CC7797E"/>
    <w:rsid w:val="7CDE5607"/>
    <w:rsid w:val="7D0D23F8"/>
    <w:rsid w:val="7D1819A4"/>
    <w:rsid w:val="7D57537E"/>
    <w:rsid w:val="7D657DFF"/>
    <w:rsid w:val="7D79413D"/>
    <w:rsid w:val="7D7F5BFA"/>
    <w:rsid w:val="7D872924"/>
    <w:rsid w:val="7D8B2DD3"/>
    <w:rsid w:val="7D8F5F9C"/>
    <w:rsid w:val="7D97637C"/>
    <w:rsid w:val="7DE5359B"/>
    <w:rsid w:val="7E180A37"/>
    <w:rsid w:val="7E252BD1"/>
    <w:rsid w:val="7E2D4483"/>
    <w:rsid w:val="7E324C0E"/>
    <w:rsid w:val="7E327A3B"/>
    <w:rsid w:val="7E621BA9"/>
    <w:rsid w:val="7E665892"/>
    <w:rsid w:val="7E782BA9"/>
    <w:rsid w:val="7E8926E1"/>
    <w:rsid w:val="7E9213CC"/>
    <w:rsid w:val="7EA926FF"/>
    <w:rsid w:val="7EAA18EA"/>
    <w:rsid w:val="7EC93E9C"/>
    <w:rsid w:val="7ED12906"/>
    <w:rsid w:val="7EF33F65"/>
    <w:rsid w:val="7EFA1C61"/>
    <w:rsid w:val="7F0300DD"/>
    <w:rsid w:val="7F2569C6"/>
    <w:rsid w:val="7F6C7183"/>
    <w:rsid w:val="7F826632"/>
    <w:rsid w:val="7FA31856"/>
    <w:rsid w:val="7FAF2DF8"/>
    <w:rsid w:val="7FB2207D"/>
    <w:rsid w:val="7FFA71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styleId="4">
    <w:name w:val="heading 1"/>
    <w:basedOn w:val="1"/>
    <w:next w:val="1"/>
    <w:link w:val="73"/>
    <w:qFormat/>
    <w:uiPriority w:val="0"/>
    <w:pPr>
      <w:outlineLvl w:val="0"/>
    </w:pPr>
  </w:style>
  <w:style w:type="paragraph" w:styleId="5">
    <w:name w:val="heading 2"/>
    <w:basedOn w:val="1"/>
    <w:next w:val="1"/>
    <w:qFormat/>
    <w:uiPriority w:val="0"/>
    <w:pPr>
      <w:outlineLvl w:val="1"/>
    </w:pPr>
    <w:rPr>
      <w:rFonts w:hAnsi="宋体"/>
      <w:b/>
    </w:rPr>
  </w:style>
  <w:style w:type="paragraph" w:styleId="6">
    <w:name w:val="heading 3"/>
    <w:basedOn w:val="1"/>
    <w:next w:val="1"/>
    <w:qFormat/>
    <w:uiPriority w:val="0"/>
    <w:pPr>
      <w:outlineLvl w:val="2"/>
    </w:p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widowControl/>
      <w:tabs>
        <w:tab w:val="left" w:pos="1008"/>
      </w:tabs>
      <w:autoSpaceDE/>
      <w:autoSpaceDN/>
      <w:adjustRightInd/>
      <w:spacing w:before="280" w:after="290" w:line="376" w:lineRule="auto"/>
      <w:ind w:left="1008" w:hanging="1008"/>
      <w:outlineLvl w:val="4"/>
    </w:pPr>
    <w:rPr>
      <w:rFonts w:ascii="Times New Roman"/>
      <w:b/>
      <w:bCs/>
      <w:sz w:val="28"/>
      <w:szCs w:val="28"/>
    </w:rPr>
  </w:style>
  <w:style w:type="paragraph" w:styleId="9">
    <w:name w:val="heading 6"/>
    <w:basedOn w:val="1"/>
    <w:next w:val="1"/>
    <w:qFormat/>
    <w:uiPriority w:val="0"/>
    <w:pPr>
      <w:keepNext/>
      <w:keepLines/>
      <w:widowControl/>
      <w:tabs>
        <w:tab w:val="left" w:pos="1152"/>
      </w:tabs>
      <w:autoSpaceDE/>
      <w:autoSpaceDN/>
      <w:adjustRightInd/>
      <w:spacing w:before="240" w:after="64" w:line="320" w:lineRule="auto"/>
      <w:ind w:left="1152" w:hanging="1152"/>
      <w:outlineLvl w:val="5"/>
    </w:pPr>
    <w:rPr>
      <w:rFonts w:ascii="Arial" w:hAnsi="Arial" w:eastAsia="黑体"/>
      <w:b/>
      <w:bCs/>
    </w:rPr>
  </w:style>
  <w:style w:type="paragraph" w:styleId="10">
    <w:name w:val="heading 7"/>
    <w:basedOn w:val="1"/>
    <w:next w:val="1"/>
    <w:qFormat/>
    <w:uiPriority w:val="0"/>
    <w:pPr>
      <w:keepNext/>
      <w:keepLines/>
      <w:widowControl/>
      <w:tabs>
        <w:tab w:val="left" w:pos="1296"/>
      </w:tabs>
      <w:autoSpaceDE/>
      <w:autoSpaceDN/>
      <w:adjustRightInd/>
      <w:spacing w:before="240" w:after="64" w:line="320" w:lineRule="auto"/>
      <w:ind w:left="1296" w:hanging="1296"/>
      <w:outlineLvl w:val="6"/>
    </w:pPr>
    <w:rPr>
      <w:rFonts w:ascii="Times New Roman"/>
      <w:b/>
      <w:bCs/>
    </w:rPr>
  </w:style>
  <w:style w:type="paragraph" w:styleId="11">
    <w:name w:val="heading 8"/>
    <w:basedOn w:val="1"/>
    <w:next w:val="1"/>
    <w:qFormat/>
    <w:uiPriority w:val="0"/>
    <w:pPr>
      <w:keepNext/>
      <w:keepLines/>
      <w:widowControl/>
      <w:tabs>
        <w:tab w:val="left" w:pos="1440"/>
      </w:tabs>
      <w:autoSpaceDE/>
      <w:autoSpaceDN/>
      <w:adjustRightInd/>
      <w:spacing w:before="240" w:after="64" w:line="320" w:lineRule="auto"/>
      <w:ind w:left="1440" w:hanging="1440"/>
      <w:outlineLvl w:val="7"/>
    </w:pPr>
    <w:rPr>
      <w:rFonts w:ascii="Arial" w:hAnsi="Arial" w:eastAsia="黑体"/>
    </w:rPr>
  </w:style>
  <w:style w:type="paragraph" w:styleId="12">
    <w:name w:val="heading 9"/>
    <w:basedOn w:val="1"/>
    <w:next w:val="1"/>
    <w:qFormat/>
    <w:uiPriority w:val="0"/>
    <w:pPr>
      <w:keepNext/>
      <w:keepLines/>
      <w:widowControl/>
      <w:tabs>
        <w:tab w:val="left" w:pos="1584"/>
      </w:tabs>
      <w:autoSpaceDE/>
      <w:autoSpaceDN/>
      <w:adjustRightInd/>
      <w:spacing w:before="240" w:after="64" w:line="320" w:lineRule="auto"/>
      <w:ind w:left="1584" w:hanging="1584"/>
      <w:outlineLvl w:val="8"/>
    </w:pPr>
    <w:rPr>
      <w:rFonts w:ascii="Arial" w:hAnsi="Arial" w:eastAsia="黑体"/>
      <w:sz w:val="21"/>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3"/>
    <w:qFormat/>
    <w:uiPriority w:val="0"/>
    <w:pPr>
      <w:jc w:val="both"/>
    </w:pPr>
    <w:rPr>
      <w:rFonts w:ascii="Times New Roman" w:hAnsi="Times New Roman" w:eastAsia="宋体" w:cs="Times New Roman"/>
      <w:kern w:val="2"/>
      <w:sz w:val="21"/>
      <w:szCs w:val="21"/>
      <w:lang w:val="en-US" w:eastAsia="zh-CN" w:bidi="ar-SA"/>
    </w:rPr>
  </w:style>
  <w:style w:type="paragraph" w:styleId="3">
    <w:name w:val="Normal Indent"/>
    <w:basedOn w:val="1"/>
    <w:link w:val="79"/>
    <w:qFormat/>
    <w:uiPriority w:val="0"/>
    <w:pPr>
      <w:widowControl/>
      <w:autoSpaceDE/>
      <w:autoSpaceDN/>
      <w:adjustRightInd/>
      <w:ind w:firstLine="420" w:firstLineChars="200"/>
    </w:pPr>
    <w:rPr>
      <w:rFonts w:ascii="Calibri"/>
      <w:sz w:val="20"/>
      <w:szCs w:val="20"/>
    </w:rPr>
  </w:style>
  <w:style w:type="paragraph" w:styleId="13">
    <w:name w:val="toc 7"/>
    <w:basedOn w:val="1"/>
    <w:next w:val="1"/>
    <w:qFormat/>
    <w:uiPriority w:val="0"/>
    <w:pPr>
      <w:ind w:left="1440"/>
    </w:pPr>
    <w:rPr>
      <w:rFonts w:ascii="Calibri" w:cs="Calibri"/>
      <w:sz w:val="18"/>
      <w:szCs w:val="18"/>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6"/>
    <w:qFormat/>
    <w:uiPriority w:val="0"/>
    <w:pPr>
      <w:widowControl/>
      <w:numPr>
        <w:ilvl w:val="0"/>
        <w:numId w:val="1"/>
      </w:numPr>
      <w:tabs>
        <w:tab w:val="left" w:pos="420"/>
      </w:tabs>
      <w:adjustRightInd/>
      <w:snapToGrid/>
      <w:ind w:right="720"/>
    </w:pPr>
    <w:rPr>
      <w:rFonts w:ascii="Garamond" w:hAnsi="Garamond"/>
      <w:kern w:val="0"/>
      <w:sz w:val="24"/>
      <w:szCs w:val="20"/>
    </w:rPr>
  </w:style>
  <w:style w:type="paragraph" w:styleId="16">
    <w:name w:val="List"/>
    <w:basedOn w:val="1"/>
    <w:qFormat/>
    <w:uiPriority w:val="0"/>
    <w:pPr>
      <w:numPr>
        <w:ilvl w:val="0"/>
        <w:numId w:val="2"/>
      </w:numPr>
      <w:autoSpaceDE/>
      <w:autoSpaceDN/>
      <w:snapToGrid w:val="0"/>
      <w:spacing w:line="300" w:lineRule="auto"/>
      <w:jc w:val="both"/>
    </w:pPr>
    <w:rPr>
      <w:rFonts w:ascii="Times New Roman"/>
      <w:kern w:val="2"/>
      <w:sz w:val="21"/>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napToGrid w:val="0"/>
      <w:spacing w:before="120" w:line="360" w:lineRule="auto"/>
      <w:jc w:val="both"/>
    </w:pPr>
    <w:rPr>
      <w:rFonts w:ascii="Arial" w:hAnsi="Arial"/>
      <w:snapToGrid w:val="0"/>
      <w:color w:val="000000"/>
      <w:sz w:val="21"/>
      <w:szCs w:val="20"/>
    </w:rPr>
  </w:style>
  <w:style w:type="paragraph" w:styleId="19">
    <w:name w:val="annotation text"/>
    <w:basedOn w:val="1"/>
    <w:link w:val="186"/>
    <w:qFormat/>
    <w:uiPriority w:val="0"/>
    <w:pPr>
      <w:widowControl/>
      <w:autoSpaceDE/>
      <w:autoSpaceDN/>
      <w:adjustRightInd/>
    </w:pPr>
    <w:rPr>
      <w:rFonts w:ascii="Times New Roman"/>
      <w:sz w:val="21"/>
      <w:szCs w:val="20"/>
    </w:rPr>
  </w:style>
  <w:style w:type="paragraph" w:styleId="20">
    <w:name w:val="Body Text 3"/>
    <w:basedOn w:val="1"/>
    <w:qFormat/>
    <w:uiPriority w:val="0"/>
    <w:pPr>
      <w:ind w:right="-26"/>
      <w:jc w:val="center"/>
    </w:pPr>
    <w:rPr>
      <w:b/>
      <w:bCs/>
      <w:color w:val="3366FF"/>
      <w:kern w:val="2"/>
      <w:sz w:val="52"/>
      <w:szCs w:val="52"/>
      <w:lang w:val="zh-CN"/>
    </w:rPr>
  </w:style>
  <w:style w:type="paragraph" w:styleId="21">
    <w:name w:val="Body Text"/>
    <w:basedOn w:val="1"/>
    <w:next w:val="22"/>
    <w:link w:val="84"/>
    <w:qFormat/>
    <w:uiPriority w:val="0"/>
    <w:pPr>
      <w:ind w:right="-26"/>
      <w:jc w:val="center"/>
    </w:pPr>
    <w:rPr>
      <w:rFonts w:hAnsi="Times New Roman"/>
      <w:b/>
      <w:bCs/>
      <w:kern w:val="2"/>
      <w:sz w:val="84"/>
      <w:szCs w:val="84"/>
      <w:lang w:val="zh-CN"/>
    </w:rPr>
  </w:style>
  <w:style w:type="paragraph" w:styleId="22">
    <w:name w:val="Body Text Indent"/>
    <w:basedOn w:val="1"/>
    <w:next w:val="23"/>
    <w:qFormat/>
    <w:uiPriority w:val="0"/>
    <w:pPr>
      <w:autoSpaceDE/>
      <w:autoSpaceDN/>
      <w:adjustRightInd/>
      <w:ind w:left="567" w:leftChars="270"/>
      <w:jc w:val="both"/>
    </w:pPr>
    <w:rPr>
      <w:rFonts w:ascii="Times New Roman"/>
      <w:kern w:val="2"/>
      <w:sz w:val="21"/>
      <w:szCs w:val="20"/>
    </w:rPr>
  </w:style>
  <w:style w:type="paragraph" w:styleId="23">
    <w:name w:val="envelope return"/>
    <w:basedOn w:val="1"/>
    <w:unhideWhenUsed/>
    <w:qFormat/>
    <w:uiPriority w:val="99"/>
  </w:style>
  <w:style w:type="paragraph" w:styleId="24">
    <w:name w:val="List Number 3"/>
    <w:basedOn w:val="1"/>
    <w:qFormat/>
    <w:uiPriority w:val="0"/>
    <w:pPr>
      <w:numPr>
        <w:ilvl w:val="0"/>
        <w:numId w:val="3"/>
      </w:numPr>
    </w:pPr>
  </w:style>
  <w:style w:type="paragraph" w:styleId="25">
    <w:name w:val="List 2"/>
    <w:basedOn w:val="1"/>
    <w:qFormat/>
    <w:uiPriority w:val="0"/>
    <w:pPr>
      <w:widowControl/>
      <w:autoSpaceDE/>
      <w:autoSpaceDN/>
      <w:adjustRightInd/>
      <w:ind w:left="100" w:leftChars="200" w:hanging="200" w:hangingChars="200"/>
    </w:pPr>
    <w:rPr>
      <w:rFonts w:ascii="Times New Roman"/>
      <w:sz w:val="21"/>
      <w:szCs w:val="20"/>
    </w:rPr>
  </w:style>
  <w:style w:type="paragraph" w:styleId="26">
    <w:name w:val="Block Text"/>
    <w:basedOn w:val="1"/>
    <w:qFormat/>
    <w:uiPriority w:val="0"/>
    <w:pPr>
      <w:spacing w:after="120"/>
      <w:ind w:left="1440" w:leftChars="700" w:right="1440" w:rightChars="700"/>
    </w:pPr>
  </w:style>
  <w:style w:type="paragraph" w:styleId="27">
    <w:name w:val="toc 5"/>
    <w:basedOn w:val="1"/>
    <w:next w:val="1"/>
    <w:qFormat/>
    <w:uiPriority w:val="0"/>
    <w:pPr>
      <w:ind w:left="960"/>
    </w:pPr>
    <w:rPr>
      <w:rFonts w:ascii="Calibri" w:cs="Calibri"/>
      <w:sz w:val="18"/>
      <w:szCs w:val="18"/>
    </w:rPr>
  </w:style>
  <w:style w:type="paragraph" w:styleId="28">
    <w:name w:val="toc 3"/>
    <w:basedOn w:val="1"/>
    <w:next w:val="1"/>
    <w:qFormat/>
    <w:uiPriority w:val="0"/>
    <w:pPr>
      <w:ind w:left="480"/>
    </w:pPr>
    <w:rPr>
      <w:rFonts w:ascii="Calibri" w:cs="Calibri"/>
      <w:i/>
      <w:iCs/>
      <w:sz w:val="20"/>
      <w:szCs w:val="20"/>
    </w:rPr>
  </w:style>
  <w:style w:type="paragraph" w:styleId="29">
    <w:name w:val="Plain Text"/>
    <w:basedOn w:val="1"/>
    <w:next w:val="1"/>
    <w:link w:val="80"/>
    <w:qFormat/>
    <w:uiPriority w:val="0"/>
    <w:pPr>
      <w:autoSpaceDE/>
      <w:autoSpaceDN/>
      <w:adjustRightInd/>
      <w:jc w:val="both"/>
    </w:pPr>
    <w:rPr>
      <w:rFonts w:hAnsi="Courier New"/>
      <w:kern w:val="2"/>
      <w:sz w:val="21"/>
      <w:szCs w:val="20"/>
    </w:rPr>
  </w:style>
  <w:style w:type="paragraph" w:styleId="30">
    <w:name w:val="toc 8"/>
    <w:basedOn w:val="1"/>
    <w:next w:val="1"/>
    <w:qFormat/>
    <w:uiPriority w:val="0"/>
    <w:pPr>
      <w:ind w:left="1680"/>
    </w:pPr>
    <w:rPr>
      <w:rFonts w:ascii="Calibri" w:cs="Calibri"/>
      <w:sz w:val="18"/>
      <w:szCs w:val="18"/>
    </w:rPr>
  </w:style>
  <w:style w:type="paragraph" w:styleId="31">
    <w:name w:val="Date"/>
    <w:basedOn w:val="1"/>
    <w:next w:val="1"/>
    <w:qFormat/>
    <w:uiPriority w:val="0"/>
    <w:pPr>
      <w:ind w:left="100" w:leftChars="2500"/>
    </w:pPr>
    <w:rPr>
      <w:b/>
      <w:bCs/>
      <w:kern w:val="2"/>
      <w:sz w:val="21"/>
      <w:szCs w:val="21"/>
      <w:lang w:val="zh-CN"/>
    </w:rPr>
  </w:style>
  <w:style w:type="paragraph" w:styleId="32">
    <w:name w:val="Body Text Indent 2"/>
    <w:basedOn w:val="1"/>
    <w:qFormat/>
    <w:uiPriority w:val="0"/>
    <w:pPr>
      <w:tabs>
        <w:tab w:val="left" w:pos="8640"/>
      </w:tabs>
      <w:autoSpaceDE/>
      <w:autoSpaceDN/>
      <w:adjustRightInd/>
      <w:ind w:left="1260"/>
      <w:jc w:val="both"/>
    </w:pPr>
    <w:rPr>
      <w:kern w:val="2"/>
      <w:sz w:val="21"/>
      <w:szCs w:val="20"/>
    </w:rPr>
  </w:style>
  <w:style w:type="paragraph" w:styleId="33">
    <w:name w:val="Balloon Text"/>
    <w:basedOn w:val="1"/>
    <w:qFormat/>
    <w:uiPriority w:val="0"/>
    <w:pPr>
      <w:autoSpaceDE/>
      <w:autoSpaceDN/>
      <w:adjustRightInd/>
      <w:jc w:val="both"/>
    </w:pPr>
    <w:rPr>
      <w:rFonts w:ascii="Times New Roman"/>
      <w:kern w:val="2"/>
      <w:sz w:val="18"/>
      <w:szCs w:val="18"/>
    </w:rPr>
  </w:style>
  <w:style w:type="paragraph" w:styleId="34">
    <w:name w:val="footer"/>
    <w:basedOn w:val="1"/>
    <w:link w:val="93"/>
    <w:qFormat/>
    <w:uiPriority w:val="0"/>
    <w:pPr>
      <w:tabs>
        <w:tab w:val="center" w:pos="4153"/>
        <w:tab w:val="right" w:pos="8306"/>
      </w:tabs>
      <w:snapToGrid w:val="0"/>
    </w:pPr>
    <w:rPr>
      <w:rFonts w:hAnsi="Times New Roman"/>
      <w:sz w:val="18"/>
      <w:szCs w:val="18"/>
    </w:rPr>
  </w:style>
  <w:style w:type="paragraph" w:styleId="35">
    <w:name w:val="header"/>
    <w:basedOn w:val="1"/>
    <w:link w:val="89"/>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spacing w:before="120" w:after="120"/>
    </w:pPr>
    <w:rPr>
      <w:rFonts w:ascii="Calibri" w:cs="Calibri"/>
      <w:b/>
      <w:bCs/>
      <w:caps/>
      <w:sz w:val="20"/>
      <w:szCs w:val="20"/>
    </w:rPr>
  </w:style>
  <w:style w:type="paragraph" w:styleId="37">
    <w:name w:val="toc 4"/>
    <w:basedOn w:val="1"/>
    <w:next w:val="1"/>
    <w:qFormat/>
    <w:uiPriority w:val="0"/>
    <w:pPr>
      <w:ind w:left="720"/>
    </w:pPr>
    <w:rPr>
      <w:rFonts w:ascii="Calibri" w:cs="Calibri"/>
      <w:sz w:val="18"/>
      <w:szCs w:val="18"/>
    </w:rPr>
  </w:style>
  <w:style w:type="paragraph" w:styleId="38">
    <w:name w:val="index heading"/>
    <w:basedOn w:val="1"/>
    <w:next w:val="39"/>
    <w:qFormat/>
    <w:uiPriority w:val="0"/>
    <w:pPr>
      <w:autoSpaceDE/>
      <w:autoSpaceDN/>
      <w:adjustRightInd/>
      <w:jc w:val="both"/>
    </w:pPr>
    <w:rPr>
      <w:rFonts w:ascii="Times New Roman"/>
      <w:kern w:val="2"/>
      <w:sz w:val="21"/>
      <w:szCs w:val="20"/>
    </w:rPr>
  </w:style>
  <w:style w:type="paragraph" w:styleId="39">
    <w:name w:val="index 1"/>
    <w:basedOn w:val="1"/>
    <w:next w:val="1"/>
    <w:qFormat/>
    <w:uiPriority w:val="0"/>
    <w:pPr>
      <w:autoSpaceDE/>
      <w:autoSpaceDN/>
      <w:adjustRightInd/>
      <w:ind w:left="540" w:leftChars="257"/>
      <w:jc w:val="both"/>
    </w:pPr>
    <w:rPr>
      <w:rFonts w:ascii="Arial" w:hAnsi="Arial" w:cs="Arial"/>
      <w:kern w:val="2"/>
      <w:sz w:val="21"/>
    </w:rPr>
  </w:style>
  <w:style w:type="paragraph" w:styleId="40">
    <w:name w:val="Subtitle"/>
    <w:basedOn w:val="1"/>
    <w:link w:val="92"/>
    <w:qFormat/>
    <w:uiPriority w:val="0"/>
    <w:pPr>
      <w:autoSpaceDE/>
      <w:autoSpaceDN/>
      <w:adjustRightInd/>
      <w:spacing w:before="240" w:after="60" w:line="312" w:lineRule="auto"/>
      <w:jc w:val="center"/>
      <w:outlineLvl w:val="1"/>
    </w:pPr>
    <w:rPr>
      <w:rFonts w:ascii="Arial" w:hAnsi="Arial"/>
      <w:b/>
      <w:kern w:val="28"/>
      <w:sz w:val="32"/>
      <w:szCs w:val="20"/>
    </w:rPr>
  </w:style>
  <w:style w:type="paragraph" w:styleId="41">
    <w:name w:val="toc 6"/>
    <w:basedOn w:val="1"/>
    <w:next w:val="1"/>
    <w:qFormat/>
    <w:uiPriority w:val="0"/>
    <w:pPr>
      <w:ind w:left="1200"/>
    </w:pPr>
    <w:rPr>
      <w:rFonts w:ascii="Calibri" w:cs="Calibri"/>
      <w:sz w:val="18"/>
      <w:szCs w:val="18"/>
    </w:rPr>
  </w:style>
  <w:style w:type="paragraph" w:styleId="42">
    <w:name w:val="Body Text Indent 3"/>
    <w:basedOn w:val="1"/>
    <w:qFormat/>
    <w:uiPriority w:val="0"/>
    <w:pPr>
      <w:spacing w:line="360" w:lineRule="auto"/>
      <w:ind w:firstLine="480" w:firstLineChars="200"/>
    </w:pPr>
  </w:style>
  <w:style w:type="paragraph" w:styleId="43">
    <w:name w:val="toc 2"/>
    <w:basedOn w:val="1"/>
    <w:next w:val="1"/>
    <w:qFormat/>
    <w:uiPriority w:val="0"/>
    <w:pPr>
      <w:ind w:left="240"/>
    </w:pPr>
    <w:rPr>
      <w:rFonts w:ascii="Calibri" w:cs="Calibri"/>
      <w:smallCaps/>
      <w:sz w:val="20"/>
      <w:szCs w:val="20"/>
    </w:rPr>
  </w:style>
  <w:style w:type="paragraph" w:styleId="44">
    <w:name w:val="toc 9"/>
    <w:basedOn w:val="1"/>
    <w:next w:val="1"/>
    <w:qFormat/>
    <w:uiPriority w:val="0"/>
    <w:pPr>
      <w:ind w:left="1920"/>
    </w:pPr>
    <w:rPr>
      <w:rFonts w:ascii="Calibri" w:cs="Calibri"/>
      <w:sz w:val="18"/>
      <w:szCs w:val="18"/>
    </w:rPr>
  </w:style>
  <w:style w:type="paragraph" w:styleId="45">
    <w:name w:val="Body Text 2"/>
    <w:basedOn w:val="1"/>
    <w:qFormat/>
    <w:uiPriority w:val="0"/>
    <w:pPr>
      <w:tabs>
        <w:tab w:val="left" w:pos="0"/>
      </w:tabs>
      <w:autoSpaceDE/>
      <w:autoSpaceDN/>
      <w:adjustRightInd/>
      <w:spacing w:line="400" w:lineRule="atLeast"/>
      <w:jc w:val="both"/>
    </w:pPr>
    <w:rPr>
      <w:rFonts w:ascii="Arial" w:hAnsi="Arial"/>
      <w:color w:val="000000"/>
      <w:kern w:val="2"/>
      <w:sz w:val="21"/>
    </w:rPr>
  </w:style>
  <w:style w:type="paragraph" w:styleId="46">
    <w:name w:val="List 4"/>
    <w:basedOn w:val="1"/>
    <w:qFormat/>
    <w:uiPriority w:val="0"/>
    <w:pPr>
      <w:tabs>
        <w:tab w:val="left" w:pos="750"/>
      </w:tabs>
      <w:autoSpaceDE/>
      <w:autoSpaceDN/>
      <w:adjustRightInd/>
      <w:ind w:left="750" w:hanging="750"/>
      <w:jc w:val="both"/>
    </w:pPr>
    <w:rPr>
      <w:rFonts w:ascii="Times New Roman" w:hAnsi="Times New Roman" w:cs="Times New Roman"/>
      <w:b/>
      <w:kern w:val="2"/>
      <w:sz w:val="21"/>
      <w:szCs w:val="20"/>
    </w:rPr>
  </w:style>
  <w:style w:type="paragraph" w:styleId="47">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80" w:lineRule="exact"/>
    </w:pPr>
    <w:rPr>
      <w:rFonts w:ascii="Arial" w:hAnsi="Arial" w:cs="Arial"/>
      <w:sz w:val="21"/>
      <w:szCs w:val="21"/>
    </w:rPr>
  </w:style>
  <w:style w:type="paragraph" w:styleId="48">
    <w:name w:val="Normal (Web)"/>
    <w:basedOn w:val="1"/>
    <w:qFormat/>
    <w:uiPriority w:val="0"/>
    <w:pPr>
      <w:widowControl/>
      <w:autoSpaceDE/>
      <w:autoSpaceDN/>
      <w:adjustRightInd/>
      <w:spacing w:before="100" w:beforeAutospacing="1" w:after="100" w:afterAutospacing="1"/>
    </w:pPr>
    <w:rPr>
      <w:rFonts w:hAnsi="宋体"/>
      <w:sz w:val="15"/>
      <w:szCs w:val="15"/>
    </w:rPr>
  </w:style>
  <w:style w:type="paragraph" w:styleId="49">
    <w:name w:val="Title"/>
    <w:basedOn w:val="1"/>
    <w:next w:val="1"/>
    <w:qFormat/>
    <w:uiPriority w:val="0"/>
    <w:pPr>
      <w:numPr>
        <w:ilvl w:val="0"/>
        <w:numId w:val="4"/>
      </w:numPr>
      <w:tabs>
        <w:tab w:val="clear" w:pos="2121"/>
      </w:tabs>
      <w:autoSpaceDE/>
      <w:autoSpaceDN/>
      <w:snapToGrid w:val="0"/>
      <w:spacing w:beforeLines="50" w:afterLines="50"/>
      <w:ind w:left="0" w:firstLine="0"/>
      <w:jc w:val="center"/>
      <w:outlineLvl w:val="0"/>
    </w:pPr>
    <w:rPr>
      <w:rFonts w:ascii="Arial" w:hAnsi="Arial" w:cs="Arial"/>
      <w:b/>
      <w:bCs/>
      <w:kern w:val="2"/>
      <w:sz w:val="52"/>
      <w:szCs w:val="32"/>
    </w:rPr>
  </w:style>
  <w:style w:type="paragraph" w:styleId="50">
    <w:name w:val="annotation subject"/>
    <w:basedOn w:val="19"/>
    <w:next w:val="19"/>
    <w:qFormat/>
    <w:uiPriority w:val="0"/>
    <w:rPr>
      <w:b/>
      <w:bCs/>
    </w:rPr>
  </w:style>
  <w:style w:type="paragraph" w:styleId="51">
    <w:name w:val="Body Text First Indent"/>
    <w:basedOn w:val="21"/>
    <w:next w:val="52"/>
    <w:qFormat/>
    <w:uiPriority w:val="0"/>
    <w:pPr>
      <w:widowControl/>
      <w:autoSpaceDE/>
      <w:autoSpaceDN/>
      <w:adjustRightInd/>
      <w:spacing w:after="120"/>
      <w:ind w:right="0" w:firstLine="420" w:firstLineChars="100"/>
      <w:jc w:val="left"/>
    </w:pPr>
    <w:rPr>
      <w:rFonts w:ascii="Times New Roman"/>
      <w:b w:val="0"/>
      <w:bCs w:val="0"/>
      <w:kern w:val="0"/>
      <w:sz w:val="21"/>
      <w:szCs w:val="20"/>
      <w:lang w:val="en-US"/>
    </w:rPr>
  </w:style>
  <w:style w:type="paragraph" w:customStyle="1" w:styleId="52">
    <w:name w:val="样式 正文首行缩进 + 首行缩进:  1 字符"/>
    <w:basedOn w:val="1"/>
    <w:next w:val="1"/>
    <w:qFormat/>
    <w:uiPriority w:val="0"/>
    <w:pPr>
      <w:ind w:firstLine="200" w:firstLineChars="200"/>
    </w:pPr>
    <w:rPr>
      <w:rFonts w:cs="宋体"/>
      <w:szCs w:val="20"/>
    </w:rPr>
  </w:style>
  <w:style w:type="paragraph" w:styleId="53">
    <w:name w:val="Body Text First Indent 2"/>
    <w:basedOn w:val="22"/>
    <w:semiHidden/>
    <w:unhideWhenUsed/>
    <w:qFormat/>
    <w:uiPriority w:val="99"/>
    <w:pPr>
      <w:ind w:firstLine="420" w:firstLineChars="200"/>
    </w:p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qFormat/>
    <w:uiPriority w:val="0"/>
    <w:rPr>
      <w:color w:val="333333"/>
      <w:u w:val="none"/>
    </w:rPr>
  </w:style>
  <w:style w:type="character" w:styleId="60">
    <w:name w:val="Emphasis"/>
    <w:qFormat/>
    <w:uiPriority w:val="0"/>
    <w:rPr>
      <w:i/>
      <w:iCs/>
    </w:rPr>
  </w:style>
  <w:style w:type="character" w:styleId="61">
    <w:name w:val="Hyperlink"/>
    <w:qFormat/>
    <w:uiPriority w:val="0"/>
    <w:rPr>
      <w:color w:val="333333"/>
      <w:u w:val="none"/>
    </w:rPr>
  </w:style>
  <w:style w:type="character" w:styleId="62">
    <w:name w:val="annotation reference"/>
    <w:basedOn w:val="56"/>
    <w:qFormat/>
    <w:uiPriority w:val="0"/>
    <w:rPr>
      <w:sz w:val="21"/>
      <w:szCs w:val="21"/>
    </w:rPr>
  </w:style>
  <w:style w:type="paragraph" w:customStyle="1" w:styleId="63">
    <w:name w:val="表格文字"/>
    <w:basedOn w:val="1"/>
    <w:qFormat/>
    <w:uiPriority w:val="0"/>
    <w:pPr>
      <w:autoSpaceDE/>
      <w:autoSpaceDN/>
      <w:adjustRightInd/>
      <w:spacing w:before="25" w:after="25"/>
    </w:pPr>
    <w:rPr>
      <w:rFonts w:ascii="Times New Roman"/>
      <w:bCs/>
      <w:spacing w:val="10"/>
      <w:szCs w:val="20"/>
    </w:rPr>
  </w:style>
  <w:style w:type="paragraph" w:customStyle="1" w:styleId="6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65">
    <w:name w:val="首行缩进"/>
    <w:basedOn w:val="1"/>
    <w:qFormat/>
    <w:uiPriority w:val="0"/>
    <w:pPr>
      <w:ind w:firstLine="480" w:firstLineChars="200"/>
    </w:pPr>
    <w:rPr>
      <w:lang w:val="zh-CN"/>
    </w:rPr>
  </w:style>
  <w:style w:type="character" w:customStyle="1" w:styleId="66">
    <w:name w:val="s1"/>
    <w:qFormat/>
    <w:uiPriority w:val="0"/>
    <w:rPr>
      <w:rFonts w:ascii="Helvetica" w:hAnsi="Helvetica" w:eastAsia="Helvetica" w:cs="Helvetica"/>
      <w:sz w:val="24"/>
      <w:szCs w:val="24"/>
    </w:rPr>
  </w:style>
  <w:style w:type="character" w:customStyle="1" w:styleId="67">
    <w:name w:val="keyfeatures1"/>
    <w:qFormat/>
    <w:uiPriority w:val="0"/>
    <w:rPr>
      <w:rFonts w:hint="default" w:ascii="Arial" w:hAnsi="Arial" w:cs="Arial"/>
      <w:color w:val="003366"/>
      <w:sz w:val="17"/>
      <w:szCs w:val="17"/>
      <w:u w:val="none"/>
    </w:rPr>
  </w:style>
  <w:style w:type="character" w:customStyle="1" w:styleId="68">
    <w:name w:val="小 Char"/>
    <w:qFormat/>
    <w:uiPriority w:val="0"/>
    <w:rPr>
      <w:rFonts w:ascii="宋体" w:hAnsi="Courier New" w:eastAsia="宋体" w:cs="Times New Roman"/>
      <w:kern w:val="2"/>
      <w:sz w:val="21"/>
      <w:lang w:val="en-US" w:eastAsia="zh-CN" w:bidi="ar-SA"/>
    </w:rPr>
  </w:style>
  <w:style w:type="character" w:customStyle="1" w:styleId="69">
    <w:name w:val="纯文本 Char Char"/>
    <w:qFormat/>
    <w:uiPriority w:val="0"/>
    <w:rPr>
      <w:rFonts w:ascii="宋体" w:hAnsi="Courier New" w:eastAsia="宋体"/>
      <w:kern w:val="2"/>
      <w:sz w:val="21"/>
      <w:lang w:val="en-US" w:eastAsia="zh-CN" w:bidi="ar-SA"/>
    </w:rPr>
  </w:style>
  <w:style w:type="character" w:customStyle="1" w:styleId="70">
    <w:name w:val="meuncn1"/>
    <w:qFormat/>
    <w:uiPriority w:val="0"/>
    <w:rPr>
      <w:rFonts w:hint="eastAsia" w:ascii="宋体" w:hAnsi="宋体" w:eastAsia="宋体"/>
      <w:color w:val="666666"/>
      <w:sz w:val="18"/>
      <w:u w:val="none"/>
    </w:rPr>
  </w:style>
  <w:style w:type="character" w:customStyle="1" w:styleId="71">
    <w:name w:val="标题 3.1 Char Char"/>
    <w:link w:val="72"/>
    <w:qFormat/>
    <w:uiPriority w:val="0"/>
    <w:rPr>
      <w:rFonts w:ascii="宋体" w:hAnsi="宋体"/>
      <w:b/>
      <w:bCs/>
      <w:kern w:val="2"/>
      <w:sz w:val="32"/>
      <w:szCs w:val="32"/>
    </w:rPr>
  </w:style>
  <w:style w:type="paragraph" w:customStyle="1" w:styleId="72">
    <w:name w:val="标题 3.1"/>
    <w:basedOn w:val="6"/>
    <w:link w:val="71"/>
    <w:qFormat/>
    <w:uiPriority w:val="0"/>
    <w:pPr>
      <w:keepNext/>
      <w:keepLines/>
      <w:tabs>
        <w:tab w:val="left" w:pos="1440"/>
        <w:tab w:val="left" w:pos="1620"/>
      </w:tabs>
      <w:autoSpaceDE/>
      <w:autoSpaceDN/>
      <w:adjustRightInd/>
      <w:spacing w:before="260" w:after="260" w:line="600" w:lineRule="exact"/>
      <w:jc w:val="both"/>
    </w:pPr>
    <w:rPr>
      <w:rFonts w:hAnsi="宋体"/>
      <w:b/>
      <w:bCs/>
      <w:kern w:val="2"/>
      <w:sz w:val="32"/>
      <w:szCs w:val="32"/>
    </w:rPr>
  </w:style>
  <w:style w:type="character" w:customStyle="1" w:styleId="73">
    <w:name w:val="标题 1 字符"/>
    <w:link w:val="4"/>
    <w:qFormat/>
    <w:uiPriority w:val="0"/>
  </w:style>
  <w:style w:type="character" w:customStyle="1" w:styleId="74">
    <w:name w:val="HTML Markup"/>
    <w:qFormat/>
    <w:uiPriority w:val="0"/>
    <w:rPr>
      <w:rFonts w:ascii="Times New Roman" w:hAnsi="Times New Roman" w:eastAsia="宋体" w:cs="Times New Roman"/>
      <w:vanish/>
      <w:color w:val="FF0000"/>
    </w:rPr>
  </w:style>
  <w:style w:type="character" w:customStyle="1" w:styleId="75">
    <w:name w:val="页脚 Char Char"/>
    <w:qFormat/>
    <w:uiPriority w:val="0"/>
    <w:rPr>
      <w:rFonts w:ascii="宋体"/>
      <w:sz w:val="18"/>
      <w:szCs w:val="18"/>
    </w:rPr>
  </w:style>
  <w:style w:type="character" w:customStyle="1" w:styleId="76">
    <w:name w:val="p105"/>
    <w:basedOn w:val="56"/>
    <w:qFormat/>
    <w:uiPriority w:val="0"/>
  </w:style>
  <w:style w:type="character" w:customStyle="1" w:styleId="77">
    <w:name w:val="正文缩进2格 Char Char"/>
    <w:link w:val="78"/>
    <w:qFormat/>
    <w:uiPriority w:val="0"/>
    <w:rPr>
      <w:rFonts w:ascii="仿宋_GB2312" w:hAnsi="宋体" w:eastAsia="仿宋_GB2312"/>
      <w:kern w:val="2"/>
      <w:sz w:val="31"/>
      <w:szCs w:val="28"/>
      <w:lang w:val="en-US" w:eastAsia="zh-CN" w:bidi="ar-SA"/>
    </w:rPr>
  </w:style>
  <w:style w:type="paragraph" w:customStyle="1" w:styleId="78">
    <w:name w:val="正文缩进2格"/>
    <w:basedOn w:val="1"/>
    <w:link w:val="77"/>
    <w:qFormat/>
    <w:uiPriority w:val="0"/>
    <w:pPr>
      <w:autoSpaceDE/>
      <w:autoSpaceDN/>
      <w:adjustRightInd/>
      <w:spacing w:line="600" w:lineRule="exact"/>
      <w:ind w:firstLine="639" w:firstLineChars="206"/>
      <w:jc w:val="both"/>
    </w:pPr>
    <w:rPr>
      <w:rFonts w:ascii="仿宋_GB2312" w:hAnsi="宋体" w:eastAsia="仿宋_GB2312"/>
      <w:kern w:val="2"/>
      <w:sz w:val="31"/>
      <w:szCs w:val="28"/>
    </w:rPr>
  </w:style>
  <w:style w:type="character" w:customStyle="1" w:styleId="79">
    <w:name w:val="正文缩进 字符"/>
    <w:link w:val="3"/>
    <w:qFormat/>
    <w:uiPriority w:val="0"/>
    <w:rPr>
      <w:rFonts w:eastAsia="宋体"/>
      <w:lang w:val="en-US" w:eastAsia="zh-CN" w:bidi="ar-SA"/>
    </w:rPr>
  </w:style>
  <w:style w:type="character" w:customStyle="1" w:styleId="80">
    <w:name w:val="纯文本 字符"/>
    <w:link w:val="29"/>
    <w:qFormat/>
    <w:uiPriority w:val="0"/>
    <w:rPr>
      <w:rFonts w:ascii="宋体" w:hAnsi="Courier New" w:eastAsia="宋体" w:cs="Times New Roman"/>
      <w:kern w:val="2"/>
      <w:sz w:val="21"/>
      <w:lang w:val="en-US" w:eastAsia="zh-CN" w:bidi="ar-SA"/>
    </w:rPr>
  </w:style>
  <w:style w:type="character" w:customStyle="1" w:styleId="81">
    <w:name w:val="font01"/>
    <w:qFormat/>
    <w:uiPriority w:val="0"/>
    <w:rPr>
      <w:rFonts w:hint="eastAsia" w:ascii="宋体" w:hAnsi="宋体" w:eastAsia="宋体" w:cs="宋体"/>
      <w:color w:val="000000"/>
      <w:sz w:val="24"/>
      <w:szCs w:val="24"/>
      <w:u w:val="none"/>
    </w:rPr>
  </w:style>
  <w:style w:type="character" w:customStyle="1" w:styleId="82">
    <w:name w:val="wctjfont1"/>
    <w:qFormat/>
    <w:uiPriority w:val="0"/>
    <w:rPr>
      <w:sz w:val="18"/>
    </w:rPr>
  </w:style>
  <w:style w:type="character" w:customStyle="1" w:styleId="83">
    <w:name w:val="bold1"/>
    <w:qFormat/>
    <w:uiPriority w:val="0"/>
    <w:rPr>
      <w:sz w:val="32"/>
    </w:rPr>
  </w:style>
  <w:style w:type="character" w:customStyle="1" w:styleId="84">
    <w:name w:val="正文文本 字符"/>
    <w:link w:val="21"/>
    <w:qFormat/>
    <w:uiPriority w:val="0"/>
    <w:rPr>
      <w:rFonts w:ascii="宋体" w:hAnsi="Times New Roman" w:eastAsia="宋体" w:cs="Times New Roman"/>
      <w:b/>
      <w:bCs/>
      <w:kern w:val="2"/>
      <w:sz w:val="84"/>
      <w:szCs w:val="84"/>
      <w:lang w:val="zh-CN" w:eastAsia="zh-CN" w:bidi="ar-SA"/>
    </w:rPr>
  </w:style>
  <w:style w:type="character" w:customStyle="1" w:styleId="85">
    <w:name w:val="DAS正文 Char Char"/>
    <w:qFormat/>
    <w:uiPriority w:val="0"/>
    <w:rPr>
      <w:rFonts w:ascii="Verdana" w:hAnsi="Verdana" w:eastAsia="宋体"/>
      <w:kern w:val="2"/>
      <w:sz w:val="21"/>
      <w:szCs w:val="21"/>
      <w:lang w:val="en-US" w:eastAsia="zh-CN" w:bidi="ar-SA"/>
    </w:rPr>
  </w:style>
  <w:style w:type="character" w:customStyle="1" w:styleId="86">
    <w:name w:val="Highlighted Variable"/>
    <w:qFormat/>
    <w:uiPriority w:val="0"/>
    <w:rPr>
      <w:color w:val="000000"/>
    </w:rPr>
  </w:style>
  <w:style w:type="character" w:customStyle="1" w:styleId="87">
    <w:name w:val="neir1"/>
    <w:qFormat/>
    <w:uiPriority w:val="0"/>
    <w:rPr>
      <w:rFonts w:hint="default" w:ascii="ˎ̥" w:hAnsi="ˎ̥" w:eastAsia="宋体" w:cs="Times New Roman"/>
      <w:color w:val="333333"/>
      <w:sz w:val="21"/>
      <w:szCs w:val="21"/>
      <w:u w:val="none"/>
    </w:rPr>
  </w:style>
  <w:style w:type="character" w:customStyle="1" w:styleId="88">
    <w:name w:val="style61"/>
    <w:qFormat/>
    <w:uiPriority w:val="0"/>
    <w:rPr>
      <w:b/>
      <w:bCs/>
    </w:rPr>
  </w:style>
  <w:style w:type="character" w:customStyle="1" w:styleId="89">
    <w:name w:val="页眉 字符"/>
    <w:link w:val="35"/>
    <w:qFormat/>
    <w:uiPriority w:val="0"/>
    <w:rPr>
      <w:rFonts w:ascii="宋体"/>
      <w:sz w:val="18"/>
      <w:szCs w:val="18"/>
    </w:rPr>
  </w:style>
  <w:style w:type="character" w:customStyle="1" w:styleId="90">
    <w:name w:val="HTML 预设格式 字符"/>
    <w:link w:val="47"/>
    <w:qFormat/>
    <w:uiPriority w:val="0"/>
    <w:rPr>
      <w:rFonts w:ascii="Arial" w:hAnsi="Arial" w:eastAsia="宋体" w:cs="Arial"/>
      <w:sz w:val="21"/>
      <w:szCs w:val="21"/>
      <w:lang w:val="en-US" w:eastAsia="zh-CN" w:bidi="ar-SA"/>
    </w:rPr>
  </w:style>
  <w:style w:type="character" w:customStyle="1" w:styleId="91">
    <w:name w:val="f141"/>
    <w:qFormat/>
    <w:uiPriority w:val="0"/>
    <w:rPr>
      <w:sz w:val="21"/>
      <w:szCs w:val="21"/>
    </w:rPr>
  </w:style>
  <w:style w:type="character" w:customStyle="1" w:styleId="92">
    <w:name w:val="副标题 字符"/>
    <w:link w:val="40"/>
    <w:qFormat/>
    <w:uiPriority w:val="0"/>
    <w:rPr>
      <w:rFonts w:ascii="Arial" w:hAnsi="Arial"/>
      <w:b/>
      <w:kern w:val="28"/>
      <w:sz w:val="32"/>
    </w:rPr>
  </w:style>
  <w:style w:type="character" w:customStyle="1" w:styleId="93">
    <w:name w:val="页脚 字符"/>
    <w:link w:val="34"/>
    <w:qFormat/>
    <w:uiPriority w:val="0"/>
    <w:rPr>
      <w:rFonts w:ascii="宋体" w:hAnsi="Times New Roman" w:eastAsia="宋体" w:cs="Times New Roman"/>
      <w:sz w:val="18"/>
      <w:szCs w:val="18"/>
      <w:lang w:val="en-US" w:eastAsia="zh-CN" w:bidi="ar-SA"/>
    </w:rPr>
  </w:style>
  <w:style w:type="paragraph" w:customStyle="1" w:styleId="94">
    <w:name w:val="技术响应2"/>
    <w:basedOn w:val="1"/>
    <w:qFormat/>
    <w:uiPriority w:val="0"/>
    <w:pPr>
      <w:numPr>
        <w:ilvl w:val="0"/>
        <w:numId w:val="5"/>
      </w:numPr>
      <w:autoSpaceDE/>
      <w:autoSpaceDN/>
      <w:adjustRightInd/>
      <w:jc w:val="both"/>
    </w:pPr>
    <w:rPr>
      <w:rFonts w:hAnsi="宋体"/>
      <w:b/>
      <w:bCs/>
      <w:kern w:val="2"/>
      <w:sz w:val="21"/>
      <w:szCs w:val="20"/>
    </w:rPr>
  </w:style>
  <w:style w:type="paragraph" w:customStyle="1" w:styleId="95">
    <w:name w:val="Bullet"/>
    <w:basedOn w:val="1"/>
    <w:qFormat/>
    <w:uiPriority w:val="0"/>
    <w:pPr>
      <w:numPr>
        <w:ilvl w:val="0"/>
        <w:numId w:val="6"/>
      </w:numPr>
      <w:autoSpaceDE/>
      <w:autoSpaceDN/>
      <w:adjustRightInd/>
      <w:spacing w:line="360" w:lineRule="exact"/>
      <w:jc w:val="both"/>
    </w:pPr>
    <w:rPr>
      <w:rFonts w:ascii="Times New Roman"/>
      <w:kern w:val="2"/>
      <w:szCs w:val="20"/>
    </w:rPr>
  </w:style>
  <w:style w:type="paragraph" w:customStyle="1" w:styleId="96">
    <w:name w:val="普通 (Web)"/>
    <w:basedOn w:val="1"/>
    <w:qFormat/>
    <w:uiPriority w:val="0"/>
    <w:pPr>
      <w:widowControl/>
      <w:autoSpaceDE/>
      <w:autoSpaceDN/>
      <w:adjustRightInd/>
      <w:spacing w:before="100" w:beforeAutospacing="1" w:after="100" w:afterAutospacing="1"/>
    </w:pPr>
    <w:rPr>
      <w:rFonts w:hAnsi="宋体"/>
    </w:rPr>
  </w:style>
  <w:style w:type="paragraph" w:customStyle="1" w:styleId="97">
    <w:name w:val="正文楷 Char"/>
    <w:basedOn w:val="1"/>
    <w:qFormat/>
    <w:uiPriority w:val="0"/>
    <w:pPr>
      <w:autoSpaceDE/>
      <w:autoSpaceDN/>
      <w:adjustRightInd/>
      <w:spacing w:line="500" w:lineRule="exact"/>
      <w:ind w:firstLine="560" w:firstLineChars="200"/>
      <w:jc w:val="both"/>
    </w:pPr>
    <w:rPr>
      <w:rFonts w:ascii="楷体_GB2312" w:hAnsi="楷体_GB2312" w:eastAsia="楷体_GB2312"/>
      <w:kern w:val="2"/>
      <w:sz w:val="28"/>
      <w:szCs w:val="20"/>
    </w:rPr>
  </w:style>
  <w:style w:type="paragraph" w:customStyle="1" w:styleId="98">
    <w:name w:val="Char Char Char Char Char Char1 Char"/>
    <w:basedOn w:val="1"/>
    <w:qFormat/>
    <w:uiPriority w:val="0"/>
    <w:pPr>
      <w:widowControl/>
      <w:autoSpaceDE/>
      <w:autoSpaceDN/>
      <w:adjustRightInd/>
      <w:spacing w:after="160" w:line="240" w:lineRule="exact"/>
    </w:pPr>
    <w:rPr>
      <w:rFonts w:ascii="Arial" w:hAnsi="Arial" w:eastAsia="楷体_GB2312" w:cs="Verdana"/>
      <w:b/>
      <w:lang w:eastAsia="en-US"/>
    </w:rPr>
  </w:style>
  <w:style w:type="paragraph" w:customStyle="1" w:styleId="99">
    <w:name w:val="样式 我的标题 + 两端对齐"/>
    <w:basedOn w:val="4"/>
    <w:qFormat/>
    <w:uiPriority w:val="0"/>
    <w:pPr>
      <w:keepNext/>
      <w:keepLines/>
      <w:autoSpaceDE/>
      <w:autoSpaceDN/>
      <w:adjustRightInd/>
      <w:spacing w:before="340" w:after="330" w:line="578" w:lineRule="auto"/>
      <w:jc w:val="center"/>
    </w:pPr>
    <w:rPr>
      <w:rFonts w:ascii="Times New Roman"/>
      <w:b/>
      <w:bCs/>
      <w:kern w:val="44"/>
      <w:sz w:val="32"/>
      <w:szCs w:val="20"/>
    </w:rPr>
  </w:style>
  <w:style w:type="paragraph" w:customStyle="1" w:styleId="100">
    <w:name w:val="默认段落字体 Para Char"/>
    <w:basedOn w:val="1"/>
    <w:qFormat/>
    <w:uiPriority w:val="0"/>
    <w:pPr>
      <w:autoSpaceDE/>
      <w:autoSpaceDN/>
      <w:spacing w:line="360" w:lineRule="auto"/>
      <w:jc w:val="both"/>
    </w:pPr>
    <w:rPr>
      <w:rFonts w:ascii="Times New Roman"/>
      <w:szCs w:val="20"/>
    </w:rPr>
  </w:style>
  <w:style w:type="paragraph" w:customStyle="1" w:styleId="101">
    <w:name w:val="Char Char Char Char"/>
    <w:basedOn w:val="1"/>
    <w:qFormat/>
    <w:uiPriority w:val="0"/>
    <w:pPr>
      <w:widowControl/>
      <w:autoSpaceDE/>
      <w:autoSpaceDN/>
      <w:adjustRightInd/>
      <w:spacing w:after="160" w:line="240" w:lineRule="exact"/>
    </w:pPr>
    <w:rPr>
      <w:rFonts w:ascii="Verdana" w:hAnsi="Verdana" w:eastAsia="仿宋_GB2312"/>
      <w:szCs w:val="20"/>
      <w:lang w:eastAsia="en-US"/>
    </w:rPr>
  </w:style>
  <w:style w:type="paragraph" w:customStyle="1" w:styleId="102">
    <w:name w:val="TOC 标题1"/>
    <w:basedOn w:val="4"/>
    <w:next w:val="1"/>
    <w:qFormat/>
    <w:uiPriority w:val="0"/>
    <w:pPr>
      <w:keepNext/>
      <w:keepLines/>
      <w:widowControl/>
      <w:autoSpaceDE/>
      <w:autoSpaceDN/>
      <w:adjustRightInd/>
      <w:spacing w:before="480" w:line="276" w:lineRule="auto"/>
      <w:outlineLvl w:val="9"/>
    </w:pPr>
    <w:rPr>
      <w:rFonts w:ascii="Cambria" w:hAnsi="Cambria" w:cs="Times New Roman"/>
      <w:b/>
      <w:bCs/>
      <w:color w:val="365F91"/>
      <w:sz w:val="28"/>
      <w:szCs w:val="28"/>
    </w:rPr>
  </w:style>
  <w:style w:type="paragraph" w:customStyle="1" w:styleId="103">
    <w:name w:val="_Style 3"/>
    <w:basedOn w:val="1"/>
    <w:qFormat/>
    <w:uiPriority w:val="0"/>
    <w:pPr>
      <w:adjustRightInd/>
      <w:ind w:firstLine="420" w:firstLineChars="200"/>
      <w:jc w:val="both"/>
    </w:pPr>
    <w:rPr>
      <w:rFonts w:ascii="Times New Roman" w:hAnsi="Times New Roman" w:cs="Times New Roman"/>
      <w:kern w:val="2"/>
      <w:sz w:val="21"/>
    </w:rPr>
  </w:style>
  <w:style w:type="paragraph" w:customStyle="1" w:styleId="104">
    <w:name w:val="需求书2"/>
    <w:basedOn w:val="1"/>
    <w:qFormat/>
    <w:uiPriority w:val="0"/>
    <w:pPr>
      <w:autoSpaceDE/>
      <w:autoSpaceDN/>
      <w:adjustRightInd/>
      <w:jc w:val="both"/>
    </w:pPr>
    <w:rPr>
      <w:rFonts w:hAnsi="宋体"/>
      <w:spacing w:val="10"/>
      <w:kern w:val="2"/>
      <w:sz w:val="18"/>
      <w:szCs w:val="20"/>
    </w:rPr>
  </w:style>
  <w:style w:type="paragraph" w:customStyle="1" w:styleId="105">
    <w:name w:val="Char Char Char Char1"/>
    <w:basedOn w:val="5"/>
    <w:qFormat/>
    <w:uiPriority w:val="0"/>
    <w:pPr>
      <w:keepNext/>
      <w:keepLines/>
      <w:pageBreakBefore/>
      <w:widowControl/>
      <w:numPr>
        <w:ilvl w:val="1"/>
        <w:numId w:val="7"/>
      </w:numPr>
      <w:autoSpaceDE/>
      <w:autoSpaceDN/>
      <w:adjustRightInd/>
      <w:spacing w:before="180" w:after="160" w:line="240" w:lineRule="exact"/>
    </w:pPr>
    <w:rPr>
      <w:rFonts w:ascii="Verdana" w:hAnsi="Verdana" w:eastAsia="黑体"/>
      <w:bCs/>
      <w:sz w:val="32"/>
      <w:szCs w:val="32"/>
      <w:lang w:eastAsia="en-US"/>
    </w:rPr>
  </w:style>
  <w:style w:type="paragraph" w:customStyle="1" w:styleId="106">
    <w:name w:val="Char1"/>
    <w:basedOn w:val="17"/>
    <w:qFormat/>
    <w:uiPriority w:val="0"/>
    <w:pPr>
      <w:autoSpaceDE/>
      <w:autoSpaceDN/>
      <w:adjustRightInd/>
      <w:jc w:val="both"/>
    </w:pPr>
    <w:rPr>
      <w:rFonts w:ascii="Tahoma" w:hAnsi="Tahoma"/>
      <w:kern w:val="2"/>
    </w:rPr>
  </w:style>
  <w:style w:type="paragraph" w:customStyle="1" w:styleId="107">
    <w:name w:val="xl39"/>
    <w:basedOn w:val="1"/>
    <w:qFormat/>
    <w:uiPriority w:val="0"/>
    <w:pPr>
      <w:widowControl/>
      <w:autoSpaceDE/>
      <w:autoSpaceDN/>
      <w:adjustRightInd/>
      <w:spacing w:before="100" w:beforeAutospacing="1" w:after="100" w:afterAutospacing="1"/>
    </w:pPr>
    <w:rPr>
      <w:rFonts w:ascii="Arial Unicode MS" w:hAnsi="Arial Unicode MS" w:eastAsia="Arial Unicode MS"/>
      <w:sz w:val="20"/>
      <w:szCs w:val="20"/>
    </w:rPr>
  </w:style>
  <w:style w:type="paragraph" w:customStyle="1" w:styleId="108">
    <w:name w:val="Blockquote"/>
    <w:basedOn w:val="1"/>
    <w:qFormat/>
    <w:uiPriority w:val="0"/>
    <w:pPr>
      <w:spacing w:before="100" w:after="100"/>
      <w:ind w:left="360" w:right="360"/>
    </w:pPr>
    <w:rPr>
      <w:rFonts w:ascii="Times New Roman" w:hAnsi="Times New Roman" w:cs="Times New Roman"/>
      <w:szCs w:val="20"/>
    </w:rPr>
  </w:style>
  <w:style w:type="paragraph" w:customStyle="1" w:styleId="109">
    <w:name w:val="样式 标题 2 + Times New Roman 四号 非加粗 段前: 5 磅 段后: 0 磅 行距: 固定值 20..."/>
    <w:basedOn w:val="5"/>
    <w:qFormat/>
    <w:uiPriority w:val="0"/>
    <w:pPr>
      <w:spacing w:before="100" w:line="400" w:lineRule="exact"/>
    </w:pPr>
    <w:rPr>
      <w:rFonts w:ascii="Times New Roman" w:hAnsi="Times New Roman"/>
      <w:b w:val="0"/>
      <w:sz w:val="28"/>
      <w:szCs w:val="20"/>
    </w:rPr>
  </w:style>
  <w:style w:type="paragraph" w:customStyle="1" w:styleId="110">
    <w:name w:val="Char"/>
    <w:basedOn w:val="1"/>
    <w:qFormat/>
    <w:uiPriority w:val="0"/>
    <w:pPr>
      <w:widowControl/>
      <w:autoSpaceDE/>
      <w:autoSpaceDN/>
      <w:adjustRightInd/>
      <w:spacing w:line="400" w:lineRule="exact"/>
      <w:jc w:val="center"/>
    </w:pPr>
    <w:rPr>
      <w:rFonts w:ascii="Times New Roman"/>
      <w:sz w:val="21"/>
      <w:szCs w:val="20"/>
    </w:rPr>
  </w:style>
  <w:style w:type="paragraph" w:customStyle="1" w:styleId="111">
    <w:name w:val="技术响应1"/>
    <w:basedOn w:val="1"/>
    <w:qFormat/>
    <w:uiPriority w:val="0"/>
    <w:pPr>
      <w:widowControl/>
      <w:autoSpaceDE/>
      <w:autoSpaceDN/>
      <w:adjustRightInd/>
      <w:spacing w:line="360" w:lineRule="auto"/>
      <w:ind w:firstLine="588"/>
      <w:jc w:val="center"/>
    </w:pPr>
    <w:rPr>
      <w:b/>
      <w:sz w:val="28"/>
      <w:szCs w:val="20"/>
    </w:rPr>
  </w:style>
  <w:style w:type="paragraph" w:customStyle="1" w:styleId="112">
    <w:name w:val="xl32"/>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ascii="Arial Unicode MS" w:hAnsi="Arial Unicode MS" w:eastAsia="Arial Unicode MS"/>
      <w:sz w:val="20"/>
      <w:szCs w:val="20"/>
    </w:rPr>
  </w:style>
  <w:style w:type="paragraph" w:customStyle="1" w:styleId="113">
    <w:name w:val="D标3"/>
    <w:basedOn w:val="6"/>
    <w:qFormat/>
    <w:uiPriority w:val="0"/>
    <w:pPr>
      <w:numPr>
        <w:ilvl w:val="0"/>
        <w:numId w:val="8"/>
      </w:numPr>
      <w:spacing w:before="120" w:line="480" w:lineRule="atLeast"/>
      <w:jc w:val="both"/>
    </w:pPr>
    <w:rPr>
      <w:rFonts w:ascii="Times New Roman" w:hAnsi="Times New Roman" w:cs="Times New Roman"/>
      <w:szCs w:val="20"/>
    </w:rPr>
  </w:style>
  <w:style w:type="paragraph" w:customStyle="1" w:styleId="114">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宋体"/>
    </w:rPr>
  </w:style>
  <w:style w:type="paragraph" w:customStyle="1" w:styleId="115">
    <w:name w:val="_Style 202"/>
    <w:basedOn w:val="1"/>
    <w:qFormat/>
    <w:uiPriority w:val="0"/>
    <w:pPr>
      <w:tabs>
        <w:tab w:val="left" w:pos="360"/>
      </w:tabs>
      <w:autoSpaceDE/>
      <w:autoSpaceDN/>
      <w:adjustRightInd/>
      <w:jc w:val="both"/>
    </w:pPr>
    <w:rPr>
      <w:rFonts w:ascii="Times New Roman"/>
      <w:kern w:val="2"/>
      <w:sz w:val="21"/>
    </w:rPr>
  </w:style>
  <w:style w:type="paragraph" w:customStyle="1" w:styleId="116">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autoSpaceDE/>
      <w:autoSpaceDN/>
      <w:adjustRightInd/>
      <w:spacing w:before="100" w:beforeAutospacing="1" w:after="100" w:afterAutospacing="1"/>
      <w:jc w:val="center"/>
      <w:textAlignment w:val="center"/>
    </w:pPr>
    <w:rPr>
      <w:rFonts w:ascii="Arial Unicode MS" w:hAnsi="Arial Unicode MS" w:eastAsia="Arial Unicode MS"/>
      <w:b/>
      <w:sz w:val="20"/>
      <w:szCs w:val="20"/>
    </w:rPr>
  </w:style>
  <w:style w:type="paragraph" w:customStyle="1" w:styleId="117">
    <w:name w:val="shall-正文"/>
    <w:basedOn w:val="1"/>
    <w:qFormat/>
    <w:uiPriority w:val="0"/>
    <w:pPr>
      <w:snapToGrid w:val="0"/>
      <w:spacing w:beforeLines="30" w:line="288" w:lineRule="auto"/>
      <w:ind w:firstLine="200" w:firstLineChars="200"/>
    </w:pPr>
    <w:rPr>
      <w:rFonts w:eastAsia="华文细黑"/>
    </w:rPr>
  </w:style>
  <w:style w:type="paragraph" w:customStyle="1" w:styleId="118">
    <w:name w:val="xl38"/>
    <w:basedOn w:val="1"/>
    <w:qFormat/>
    <w:uiPriority w:val="0"/>
    <w:pPr>
      <w:widowControl/>
      <w:pBdr>
        <w:bottom w:val="single" w:color="auto" w:sz="4" w:space="0"/>
      </w:pBdr>
      <w:autoSpaceDE/>
      <w:autoSpaceDN/>
      <w:adjustRightInd/>
      <w:spacing w:before="100" w:beforeAutospacing="1" w:after="100" w:afterAutospacing="1"/>
      <w:jc w:val="center"/>
      <w:textAlignment w:val="center"/>
    </w:pPr>
    <w:rPr>
      <w:rFonts w:ascii="Arial Unicode MS" w:hAnsi="Arial Unicode MS" w:eastAsia="Arial Unicode MS"/>
      <w:b/>
      <w:sz w:val="36"/>
      <w:szCs w:val="20"/>
    </w:rPr>
  </w:style>
  <w:style w:type="paragraph" w:customStyle="1" w:styleId="119">
    <w:name w:val="p2"/>
    <w:basedOn w:val="1"/>
    <w:qFormat/>
    <w:uiPriority w:val="0"/>
    <w:rPr>
      <w:rFonts w:cs="Times New Roman"/>
    </w:rPr>
  </w:style>
  <w:style w:type="paragraph" w:customStyle="1" w:styleId="120">
    <w:name w:val="Char Char Char Char Char Char"/>
    <w:basedOn w:val="1"/>
    <w:qFormat/>
    <w:uiPriority w:val="0"/>
    <w:pPr>
      <w:widowControl/>
      <w:autoSpaceDE/>
      <w:autoSpaceDN/>
      <w:adjustRightInd/>
      <w:spacing w:after="160" w:line="240" w:lineRule="exact"/>
    </w:pPr>
    <w:rPr>
      <w:rFonts w:ascii="Times New Roman"/>
      <w:kern w:val="2"/>
      <w:lang w:eastAsia="en-US"/>
    </w:rPr>
  </w:style>
  <w:style w:type="paragraph" w:customStyle="1" w:styleId="121">
    <w:name w:val="标题4"/>
    <w:basedOn w:val="78"/>
    <w:qFormat/>
    <w:uiPriority w:val="0"/>
    <w:pPr>
      <w:spacing w:line="540" w:lineRule="exact"/>
      <w:ind w:firstLine="0" w:firstLineChars="0"/>
    </w:pPr>
    <w:rPr>
      <w:rFonts w:hAnsi="Times New Roman"/>
      <w:szCs w:val="24"/>
    </w:rPr>
  </w:style>
  <w:style w:type="paragraph" w:styleId="122">
    <w:name w:val="No Spacing"/>
    <w:qFormat/>
    <w:uiPriority w:val="0"/>
    <w:pPr>
      <w:widowControl w:val="0"/>
      <w:jc w:val="both"/>
    </w:pPr>
    <w:rPr>
      <w:rFonts w:ascii="Calibri" w:hAnsi="Calibri" w:eastAsia="宋体" w:cs="宋体"/>
      <w:kern w:val="2"/>
      <w:sz w:val="21"/>
      <w:szCs w:val="24"/>
      <w:lang w:val="en-US" w:eastAsia="zh-CN" w:bidi="ar-SA"/>
    </w:rPr>
  </w:style>
  <w:style w:type="paragraph" w:customStyle="1" w:styleId="123">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99FF"/>
      <w:autoSpaceDE/>
      <w:autoSpaceDN/>
      <w:adjustRightInd/>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124">
    <w:name w:val="列表正文"/>
    <w:basedOn w:val="1"/>
    <w:qFormat/>
    <w:uiPriority w:val="0"/>
    <w:pPr>
      <w:autoSpaceDE/>
      <w:autoSpaceDN/>
      <w:snapToGrid w:val="0"/>
      <w:spacing w:line="300" w:lineRule="auto"/>
      <w:ind w:left="200" w:leftChars="200" w:firstLine="200" w:firstLineChars="200"/>
      <w:jc w:val="both"/>
    </w:pPr>
    <w:rPr>
      <w:rFonts w:ascii="Times New Roman"/>
      <w:kern w:val="2"/>
      <w:sz w:val="21"/>
    </w:rPr>
  </w:style>
  <w:style w:type="paragraph" w:customStyle="1" w:styleId="125">
    <w:name w:val="Char Char2 Char"/>
    <w:basedOn w:val="1"/>
    <w:qFormat/>
    <w:uiPriority w:val="0"/>
    <w:pPr>
      <w:autoSpaceDE/>
      <w:autoSpaceDN/>
      <w:adjustRightInd/>
      <w:jc w:val="both"/>
    </w:pPr>
    <w:rPr>
      <w:rFonts w:hAnsi="宋体"/>
      <w:b/>
      <w:kern w:val="2"/>
      <w:sz w:val="28"/>
      <w:szCs w:val="28"/>
    </w:rPr>
  </w:style>
  <w:style w:type="paragraph" w:customStyle="1" w:styleId="126">
    <w:name w:val="版权"/>
    <w:basedOn w:val="1"/>
    <w:qFormat/>
    <w:uiPriority w:val="0"/>
    <w:pPr>
      <w:autoSpaceDE/>
      <w:autoSpaceDN/>
      <w:adjustRightInd/>
      <w:spacing w:before="312" w:after="312"/>
      <w:ind w:firstLine="480"/>
      <w:jc w:val="center"/>
      <w:outlineLvl w:val="0"/>
    </w:pPr>
    <w:rPr>
      <w:rFonts w:ascii="华文中宋" w:hAnsi="华文中宋"/>
      <w:b/>
      <w:kern w:val="2"/>
      <w:szCs w:val="20"/>
    </w:rPr>
  </w:style>
  <w:style w:type="paragraph" w:customStyle="1" w:styleId="127">
    <w:name w:val="LEGALB Cont 2"/>
    <w:basedOn w:val="1"/>
    <w:qFormat/>
    <w:uiPriority w:val="0"/>
    <w:pPr>
      <w:widowControl/>
      <w:tabs>
        <w:tab w:val="left" w:pos="720"/>
      </w:tabs>
      <w:spacing w:after="240"/>
      <w:ind w:left="720" w:leftChars="300"/>
    </w:pPr>
    <w:rPr>
      <w:rFonts w:ascii="Calibri" w:eastAsia="DFKai-SB" w:cs="Times New Roman"/>
      <w:lang w:eastAsia="en-US"/>
    </w:rPr>
  </w:style>
  <w:style w:type="paragraph" w:customStyle="1" w:styleId="128">
    <w:name w:val="表格栏头"/>
    <w:basedOn w:val="129"/>
    <w:next w:val="129"/>
    <w:qFormat/>
    <w:uiPriority w:val="0"/>
    <w:rPr>
      <w:b/>
    </w:rPr>
  </w:style>
  <w:style w:type="paragraph" w:customStyle="1" w:styleId="129">
    <w:name w:val="表格正文"/>
    <w:basedOn w:val="1"/>
    <w:qFormat/>
    <w:uiPriority w:val="0"/>
    <w:pPr>
      <w:widowControl/>
      <w:overflowPunct w:val="0"/>
      <w:spacing w:before="312" w:after="312" w:line="360" w:lineRule="auto"/>
      <w:textAlignment w:val="baseline"/>
    </w:pPr>
    <w:rPr>
      <w:rFonts w:hAnsi="Tahoma"/>
      <w:szCs w:val="20"/>
    </w:rPr>
  </w:style>
  <w:style w:type="paragraph" w:customStyle="1" w:styleId="130">
    <w:name w:val="正文列表"/>
    <w:basedOn w:val="1"/>
    <w:qFormat/>
    <w:uiPriority w:val="0"/>
    <w:pPr>
      <w:jc w:val="center"/>
      <w:textAlignment w:val="baseline"/>
    </w:pPr>
    <w:rPr>
      <w:rFonts w:hAnsi="宋体"/>
      <w:szCs w:val="20"/>
    </w:rPr>
  </w:style>
  <w:style w:type="paragraph" w:customStyle="1" w:styleId="131">
    <w:name w:val="图"/>
    <w:basedOn w:val="1"/>
    <w:qFormat/>
    <w:uiPriority w:val="0"/>
    <w:pPr>
      <w:keepNext/>
      <w:autoSpaceDE/>
      <w:autoSpaceDN/>
      <w:spacing w:before="60" w:after="60" w:line="300" w:lineRule="auto"/>
      <w:jc w:val="center"/>
      <w:textAlignment w:val="center"/>
    </w:pPr>
    <w:rPr>
      <w:rFonts w:ascii="Times New Roman"/>
      <w:snapToGrid w:val="0"/>
      <w:spacing w:val="20"/>
      <w:szCs w:val="20"/>
    </w:rPr>
  </w:style>
  <w:style w:type="paragraph" w:customStyle="1" w:styleId="132">
    <w:name w:val="题注4"/>
    <w:basedOn w:val="1"/>
    <w:next w:val="14"/>
    <w:qFormat/>
    <w:uiPriority w:val="0"/>
    <w:pPr>
      <w:autoSpaceDE/>
      <w:autoSpaceDN/>
      <w:adjustRightInd/>
      <w:ind w:left="-132" w:leftChars="-64" w:right="-105" w:rightChars="-50" w:hanging="2"/>
      <w:jc w:val="center"/>
    </w:pPr>
    <w:rPr>
      <w:rFonts w:ascii="Times New Roman"/>
      <w:b/>
      <w:color w:val="FF0000"/>
      <w:kern w:val="2"/>
      <w:sz w:val="21"/>
      <w:szCs w:val="21"/>
      <w:lang w:val="en-GB"/>
    </w:rPr>
  </w:style>
  <w:style w:type="paragraph" w:customStyle="1" w:styleId="133">
    <w:name w:val="题目副题"/>
    <w:basedOn w:val="40"/>
    <w:qFormat/>
    <w:uiPriority w:val="0"/>
    <w:pPr>
      <w:spacing w:before="0" w:after="312"/>
      <w:ind w:left="240" w:firstLine="600"/>
      <w:jc w:val="left"/>
      <w:outlineLvl w:val="9"/>
    </w:pPr>
    <w:rPr>
      <w:rFonts w:ascii="宋体" w:hAnsi="宋体"/>
      <w:sz w:val="30"/>
    </w:rPr>
  </w:style>
  <w:style w:type="paragraph" w:customStyle="1" w:styleId="134">
    <w:name w:val="列出段落1"/>
    <w:basedOn w:val="1"/>
    <w:qFormat/>
    <w:uiPriority w:val="34"/>
    <w:pPr>
      <w:ind w:firstLine="420" w:firstLineChars="200"/>
    </w:pPr>
    <w:rPr>
      <w:rFonts w:ascii="Calibri" w:cs="黑体"/>
    </w:rPr>
  </w:style>
  <w:style w:type="paragraph" w:customStyle="1" w:styleId="135">
    <w:name w:val="xl25"/>
    <w:basedOn w:val="1"/>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Ansi="宋体"/>
      <w:sz w:val="21"/>
      <w:szCs w:val="21"/>
    </w:rPr>
  </w:style>
  <w:style w:type="paragraph" w:customStyle="1" w:styleId="136">
    <w:name w:val="3 Char"/>
    <w:basedOn w:val="1"/>
    <w:qFormat/>
    <w:uiPriority w:val="0"/>
    <w:pPr>
      <w:widowControl/>
      <w:autoSpaceDE/>
      <w:autoSpaceDN/>
      <w:adjustRightInd/>
      <w:spacing w:line="400" w:lineRule="exact"/>
      <w:jc w:val="center"/>
    </w:pPr>
    <w:rPr>
      <w:rFonts w:ascii="Verdana" w:hAnsi="Verdana"/>
      <w:sz w:val="21"/>
      <w:szCs w:val="20"/>
      <w:lang w:eastAsia="en-US"/>
    </w:rPr>
  </w:style>
  <w:style w:type="paragraph" w:customStyle="1" w:styleId="137">
    <w:name w:val="Char Char1 Char Char Char Char Char Char Char Char Char Char Char Char Char"/>
    <w:basedOn w:val="1"/>
    <w:qFormat/>
    <w:uiPriority w:val="0"/>
    <w:pPr>
      <w:widowControl/>
      <w:autoSpaceDE/>
      <w:autoSpaceDN/>
      <w:adjustRightInd/>
      <w:spacing w:after="160" w:line="360" w:lineRule="auto"/>
    </w:pPr>
    <w:rPr>
      <w:rFonts w:ascii="Verdana" w:hAnsi="Verdana" w:cs="Times New Roman"/>
      <w:sz w:val="21"/>
      <w:szCs w:val="20"/>
      <w:lang w:eastAsia="en-US"/>
    </w:rPr>
  </w:style>
  <w:style w:type="paragraph" w:customStyle="1" w:styleId="138">
    <w:name w:val="进度表"/>
    <w:basedOn w:val="3"/>
    <w:qFormat/>
    <w:uiPriority w:val="0"/>
    <w:pPr>
      <w:widowControl w:val="0"/>
      <w:snapToGrid w:val="0"/>
      <w:spacing w:line="440" w:lineRule="atLeast"/>
      <w:ind w:hanging="130" w:firstLineChars="0"/>
      <w:jc w:val="both"/>
    </w:pPr>
    <w:rPr>
      <w:rFonts w:ascii="宋体"/>
      <w:color w:val="000000"/>
      <w:kern w:val="2"/>
      <w:position w:val="-6"/>
      <w:sz w:val="28"/>
    </w:rPr>
  </w:style>
  <w:style w:type="paragraph" w:customStyle="1" w:styleId="139">
    <w:name w:val="大标题"/>
    <w:basedOn w:val="4"/>
    <w:qFormat/>
    <w:uiPriority w:val="0"/>
    <w:rPr>
      <w:snapToGrid w:val="0"/>
      <w:sz w:val="52"/>
      <w:szCs w:val="72"/>
    </w:rPr>
  </w:style>
  <w:style w:type="paragraph" w:customStyle="1" w:styleId="140">
    <w:name w:val="正文无缩进"/>
    <w:basedOn w:val="78"/>
    <w:qFormat/>
    <w:uiPriority w:val="0"/>
    <w:pPr>
      <w:ind w:firstLine="0" w:firstLineChars="0"/>
    </w:pPr>
  </w:style>
  <w:style w:type="paragraph" w:customStyle="1" w:styleId="141">
    <w:name w:val="标题 3.5"/>
    <w:basedOn w:val="6"/>
    <w:qFormat/>
    <w:uiPriority w:val="0"/>
    <w:pPr>
      <w:autoSpaceDE/>
      <w:autoSpaceDN/>
      <w:adjustRightInd/>
      <w:spacing w:line="600" w:lineRule="exact"/>
      <w:jc w:val="both"/>
      <w:outlineLvl w:val="9"/>
    </w:pPr>
    <w:rPr>
      <w:rFonts w:ascii="Times New Roman" w:eastAsia="仿宋_GB2312"/>
      <w:kern w:val="2"/>
      <w:sz w:val="31"/>
    </w:rPr>
  </w:style>
  <w:style w:type="paragraph" w:customStyle="1" w:styleId="142">
    <w:name w:val="题注5"/>
    <w:basedOn w:val="1"/>
    <w:next w:val="14"/>
    <w:qFormat/>
    <w:uiPriority w:val="0"/>
    <w:pPr>
      <w:autoSpaceDE/>
      <w:autoSpaceDN/>
      <w:adjustRightInd/>
      <w:jc w:val="center"/>
    </w:pPr>
    <w:rPr>
      <w:rFonts w:ascii="Times New Roman"/>
      <w:b/>
      <w:color w:val="000000"/>
      <w:kern w:val="2"/>
      <w:szCs w:val="21"/>
    </w:rPr>
  </w:style>
  <w:style w:type="paragraph" w:customStyle="1" w:styleId="143">
    <w:name w:val="xl44"/>
    <w:basedOn w:val="1"/>
    <w:qFormat/>
    <w:uiPriority w:val="0"/>
    <w:pPr>
      <w:widowControl/>
      <w:pBdr>
        <w:left w:val="single" w:color="auto" w:sz="4" w:space="0"/>
        <w:right w:val="single" w:color="auto" w:sz="4" w:space="0"/>
      </w:pBdr>
      <w:spacing w:before="100" w:beforeAutospacing="1" w:after="100" w:afterAutospacing="1"/>
      <w:jc w:val="center"/>
    </w:pPr>
    <w:rPr>
      <w:rFonts w:hint="eastAsia" w:hAnsi="宋体"/>
    </w:rPr>
  </w:style>
  <w:style w:type="paragraph" w:customStyle="1" w:styleId="144">
    <w:name w:val="Char Char1"/>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customStyle="1" w:styleId="145">
    <w:name w:val="xl33"/>
    <w:basedOn w:val="1"/>
    <w:qFormat/>
    <w:uiPriority w:val="0"/>
    <w:pPr>
      <w:widowControl/>
      <w:autoSpaceDE/>
      <w:autoSpaceDN/>
      <w:adjustRightInd/>
      <w:spacing w:before="100" w:beforeAutospacing="1" w:after="100" w:afterAutospacing="1"/>
      <w:textAlignment w:val="center"/>
    </w:pPr>
    <w:rPr>
      <w:rFonts w:ascii="Arial Unicode MS" w:hAnsi="Arial Unicode MS" w:eastAsia="Arial Unicode MS"/>
      <w:sz w:val="20"/>
      <w:szCs w:val="20"/>
    </w:rPr>
  </w:style>
  <w:style w:type="paragraph" w:customStyle="1" w:styleId="146">
    <w:name w:val="Char Char11"/>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styleId="147">
    <w:name w:val="List Paragraph"/>
    <w:basedOn w:val="1"/>
    <w:qFormat/>
    <w:uiPriority w:val="0"/>
    <w:pPr>
      <w:autoSpaceDE/>
      <w:autoSpaceDN/>
      <w:adjustRightInd/>
      <w:ind w:firstLine="420" w:firstLineChars="200"/>
      <w:jc w:val="both"/>
    </w:pPr>
    <w:rPr>
      <w:rFonts w:ascii="Calibri"/>
      <w:kern w:val="2"/>
      <w:sz w:val="21"/>
    </w:rPr>
  </w:style>
  <w:style w:type="paragraph" w:customStyle="1" w:styleId="148">
    <w:name w:val="xl3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ascii="Times New Roman" w:eastAsia="Arial Unicode MS"/>
      <w:sz w:val="20"/>
      <w:szCs w:val="20"/>
    </w:rPr>
  </w:style>
  <w:style w:type="paragraph" w:customStyle="1" w:styleId="149">
    <w:name w:val="目录"/>
    <w:basedOn w:val="1"/>
    <w:qFormat/>
    <w:uiPriority w:val="0"/>
    <w:pPr>
      <w:widowControl/>
      <w:autoSpaceDE/>
      <w:autoSpaceDN/>
      <w:adjustRightInd/>
      <w:spacing w:line="480" w:lineRule="auto"/>
      <w:jc w:val="center"/>
    </w:pPr>
    <w:rPr>
      <w:b/>
      <w:szCs w:val="20"/>
    </w:rPr>
  </w:style>
  <w:style w:type="paragraph" w:customStyle="1" w:styleId="150">
    <w:name w:val="xl26"/>
    <w:basedOn w:val="1"/>
    <w:qFormat/>
    <w:uiPriority w:val="0"/>
    <w:pPr>
      <w:widowControl/>
      <w:autoSpaceDE/>
      <w:autoSpaceDN/>
      <w:adjustRightInd/>
      <w:spacing w:before="100" w:beforeAutospacing="1" w:after="100" w:afterAutospacing="1"/>
      <w:jc w:val="center"/>
    </w:pPr>
    <w:rPr>
      <w:rFonts w:hint="eastAsia" w:ascii="仿宋_GB2312" w:hAnsi="宋体" w:eastAsia="仿宋_GB2312"/>
    </w:rPr>
  </w:style>
  <w:style w:type="paragraph" w:customStyle="1" w:styleId="151">
    <w:name w:val="Char11"/>
    <w:basedOn w:val="17"/>
    <w:qFormat/>
    <w:uiPriority w:val="0"/>
    <w:pPr>
      <w:autoSpaceDE/>
      <w:autoSpaceDN/>
      <w:adjustRightInd/>
      <w:jc w:val="both"/>
    </w:pPr>
    <w:rPr>
      <w:rFonts w:ascii="Tahoma" w:hAnsi="Tahoma" w:cs="Times New Roman"/>
      <w:kern w:val="2"/>
    </w:rPr>
  </w:style>
  <w:style w:type="paragraph" w:customStyle="1" w:styleId="152">
    <w:name w:val="Char21"/>
    <w:basedOn w:val="1"/>
    <w:qFormat/>
    <w:uiPriority w:val="0"/>
    <w:pPr>
      <w:widowControl/>
      <w:autoSpaceDE/>
      <w:autoSpaceDN/>
      <w:adjustRightInd/>
      <w:spacing w:after="160" w:line="240" w:lineRule="exact"/>
      <w:jc w:val="center"/>
    </w:pPr>
    <w:rPr>
      <w:rFonts w:ascii="黑体" w:hAnsi="Verdana" w:eastAsia="黑体"/>
      <w:sz w:val="32"/>
      <w:szCs w:val="32"/>
      <w:lang w:eastAsia="en-US"/>
    </w:rPr>
  </w:style>
  <w:style w:type="paragraph" w:customStyle="1" w:styleId="153">
    <w:name w:val="普通(Web)"/>
    <w:basedOn w:val="1"/>
    <w:qFormat/>
    <w:uiPriority w:val="0"/>
    <w:pPr>
      <w:widowControl/>
      <w:autoSpaceDE/>
      <w:autoSpaceDN/>
      <w:adjustRightInd/>
      <w:spacing w:before="100" w:beforeAutospacing="1" w:after="100" w:afterAutospacing="1" w:line="240" w:lineRule="atLeast"/>
      <w:ind w:firstLine="360"/>
    </w:pPr>
    <w:rPr>
      <w:rFonts w:hAnsi="宋体"/>
      <w:sz w:val="18"/>
      <w:szCs w:val="20"/>
    </w:rPr>
  </w:style>
  <w:style w:type="paragraph" w:customStyle="1" w:styleId="154">
    <w:name w:val="信息标题2"/>
    <w:basedOn w:val="14"/>
    <w:next w:val="14"/>
    <w:qFormat/>
    <w:uiPriority w:val="0"/>
    <w:pPr>
      <w:autoSpaceDE/>
      <w:autoSpaceDN/>
      <w:adjustRightInd/>
      <w:spacing w:beforeLines="50" w:afterLines="50"/>
      <w:ind w:left="422" w:hanging="422" w:hangingChars="200"/>
    </w:pPr>
    <w:rPr>
      <w:rFonts w:ascii="Arial Black" w:hAnsi="Arial Black" w:eastAsia="宋体" w:cs="Times New Roman"/>
      <w:b/>
      <w:kern w:val="2"/>
      <w:sz w:val="30"/>
    </w:rPr>
  </w:style>
  <w:style w:type="paragraph" w:customStyle="1" w:styleId="155">
    <w:name w:val="表中文字"/>
    <w:basedOn w:val="1"/>
    <w:qFormat/>
    <w:uiPriority w:val="0"/>
    <w:pPr>
      <w:spacing w:line="400" w:lineRule="atLeast"/>
      <w:ind w:left="35" w:leftChars="14" w:hanging="1"/>
      <w:jc w:val="center"/>
      <w:textAlignment w:val="baseline"/>
    </w:pPr>
    <w:rPr>
      <w:rFonts w:ascii="Verdana" w:hAnsi="Verdana"/>
      <w:sz w:val="21"/>
      <w:szCs w:val="28"/>
    </w:rPr>
  </w:style>
  <w:style w:type="paragraph" w:customStyle="1" w:styleId="156">
    <w:name w:val="xl28"/>
    <w:basedOn w:val="1"/>
    <w:qFormat/>
    <w:uiPriority w:val="0"/>
    <w:pPr>
      <w:widowControl/>
      <w:autoSpaceDE/>
      <w:autoSpaceDN/>
      <w:adjustRightInd/>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157">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15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99FF"/>
      <w:autoSpaceDE/>
      <w:autoSpaceDN/>
      <w:adjustRightInd/>
      <w:spacing w:before="100" w:beforeAutospacing="1" w:after="100" w:afterAutospacing="1"/>
      <w:jc w:val="center"/>
      <w:textAlignment w:val="center"/>
    </w:pPr>
    <w:rPr>
      <w:rFonts w:ascii="Arial Unicode MS" w:hAnsi="Arial Unicode MS" w:eastAsia="Arial Unicode MS"/>
      <w:b/>
      <w:sz w:val="20"/>
      <w:szCs w:val="20"/>
    </w:rPr>
  </w:style>
  <w:style w:type="paragraph" w:customStyle="1" w:styleId="159">
    <w:name w:val="xl37"/>
    <w:basedOn w:val="1"/>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ascii="Arial Unicode MS" w:hAnsi="Arial Unicode MS" w:eastAsia="Arial Unicode MS"/>
      <w:sz w:val="20"/>
      <w:szCs w:val="20"/>
    </w:rPr>
  </w:style>
  <w:style w:type="paragraph" w:customStyle="1" w:styleId="160">
    <w:name w:val="正文（缩进）"/>
    <w:basedOn w:val="1"/>
    <w:qFormat/>
    <w:uiPriority w:val="0"/>
    <w:pPr>
      <w:autoSpaceDE/>
      <w:autoSpaceDN/>
      <w:adjustRightInd/>
      <w:spacing w:beforeLines="50" w:afterLines="50" w:line="360" w:lineRule="auto"/>
      <w:ind w:firstLine="480" w:firstLineChars="200"/>
      <w:jc w:val="both"/>
    </w:pPr>
    <w:rPr>
      <w:rFonts w:ascii="Times New Roman"/>
      <w:kern w:val="2"/>
    </w:rPr>
  </w:style>
  <w:style w:type="paragraph" w:customStyle="1" w:styleId="161">
    <w:name w:val="样式 样式 样式 首行缩进:  2 字符1 + 首行缩进:  2 字符 + 首行缩进:  2 字符"/>
    <w:basedOn w:val="1"/>
    <w:semiHidden/>
    <w:qFormat/>
    <w:uiPriority w:val="0"/>
    <w:pPr>
      <w:kinsoku w:val="0"/>
      <w:overflowPunct w:val="0"/>
      <w:ind w:firstLine="200" w:firstLineChars="200"/>
    </w:pPr>
    <w:rPr>
      <w:rFonts w:ascii="仿宋_GB2312" w:hAnsi="宋体" w:eastAsia="仿宋_GB2312"/>
      <w:sz w:val="32"/>
      <w:szCs w:val="20"/>
    </w:rPr>
  </w:style>
  <w:style w:type="paragraph" w:customStyle="1" w:styleId="162">
    <w:name w:val="样式 标题 3Level 3 HeadH3Heading 3 - oldh3sect1.2.3Head33l3..."/>
    <w:basedOn w:val="6"/>
    <w:qFormat/>
    <w:uiPriority w:val="0"/>
    <w:pPr>
      <w:tabs>
        <w:tab w:val="left" w:pos="720"/>
      </w:tabs>
      <w:autoSpaceDE/>
      <w:autoSpaceDN/>
      <w:adjustRightInd/>
      <w:spacing w:line="360" w:lineRule="auto"/>
      <w:ind w:left="720" w:hanging="720"/>
      <w:jc w:val="both"/>
    </w:pPr>
    <w:rPr>
      <w:rFonts w:ascii="Times New Roman"/>
      <w:kern w:val="2"/>
      <w:sz w:val="21"/>
      <w:szCs w:val="20"/>
    </w:rPr>
  </w:style>
  <w:style w:type="paragraph" w:customStyle="1" w:styleId="163">
    <w:name w:val="p0"/>
    <w:basedOn w:val="1"/>
    <w:qFormat/>
    <w:uiPriority w:val="99"/>
    <w:pPr>
      <w:widowControl/>
    </w:pPr>
    <w:rPr>
      <w:szCs w:val="21"/>
    </w:rPr>
  </w:style>
  <w:style w:type="paragraph" w:customStyle="1" w:styleId="164">
    <w:name w:val="font5"/>
    <w:basedOn w:val="1"/>
    <w:qFormat/>
    <w:uiPriority w:val="0"/>
    <w:pPr>
      <w:widowControl/>
      <w:autoSpaceDE/>
      <w:autoSpaceDN/>
      <w:adjustRightInd/>
      <w:spacing w:before="100" w:beforeAutospacing="1" w:after="100" w:afterAutospacing="1"/>
    </w:pPr>
    <w:rPr>
      <w:rFonts w:hint="eastAsia" w:hAnsi="宋体"/>
      <w:sz w:val="18"/>
      <w:szCs w:val="20"/>
    </w:rPr>
  </w:style>
  <w:style w:type="paragraph" w:customStyle="1" w:styleId="165">
    <w:name w:val="Char1 Char Char Char Char Char Char"/>
    <w:basedOn w:val="1"/>
    <w:qFormat/>
    <w:uiPriority w:val="0"/>
    <w:pPr>
      <w:widowControl/>
      <w:autoSpaceDE/>
      <w:autoSpaceDN/>
      <w:adjustRightInd/>
      <w:spacing w:line="400" w:lineRule="exact"/>
      <w:jc w:val="center"/>
    </w:pPr>
    <w:rPr>
      <w:rFonts w:ascii="Verdana" w:hAnsi="Verdana" w:cs="Times New Roman"/>
      <w:sz w:val="21"/>
      <w:szCs w:val="20"/>
      <w:lang w:eastAsia="en-US"/>
    </w:rPr>
  </w:style>
  <w:style w:type="paragraph" w:customStyle="1" w:styleId="166">
    <w:name w:val="投标文件格式"/>
    <w:basedOn w:val="29"/>
    <w:qFormat/>
    <w:uiPriority w:val="0"/>
    <w:pPr>
      <w:jc w:val="center"/>
    </w:pPr>
    <w:rPr>
      <w:rFonts w:hAnsi="Times New Roman"/>
      <w:b/>
    </w:rPr>
  </w:style>
  <w:style w:type="paragraph" w:customStyle="1" w:styleId="167">
    <w:name w:val="日期右"/>
    <w:basedOn w:val="31"/>
    <w:qFormat/>
    <w:uiPriority w:val="0"/>
    <w:pPr>
      <w:autoSpaceDE/>
      <w:autoSpaceDN/>
      <w:adjustRightInd/>
      <w:spacing w:line="600" w:lineRule="exact"/>
      <w:ind w:left="0" w:leftChars="0"/>
      <w:jc w:val="right"/>
    </w:pPr>
    <w:rPr>
      <w:rFonts w:ascii="Times New Roman" w:eastAsia="仿宋_GB2312"/>
      <w:b w:val="0"/>
      <w:bCs w:val="0"/>
      <w:sz w:val="31"/>
      <w:szCs w:val="24"/>
      <w:lang w:val="en-US"/>
    </w:rPr>
  </w:style>
  <w:style w:type="paragraph" w:customStyle="1" w:styleId="168">
    <w:name w:val="Char1 Char Char Char"/>
    <w:basedOn w:val="1"/>
    <w:qFormat/>
    <w:uiPriority w:val="0"/>
    <w:pPr>
      <w:autoSpaceDE/>
      <w:autoSpaceDN/>
      <w:adjustRightInd/>
      <w:jc w:val="both"/>
    </w:pPr>
    <w:rPr>
      <w:rFonts w:ascii="Tahoma" w:hAnsi="Tahoma"/>
      <w:kern w:val="2"/>
      <w:szCs w:val="20"/>
    </w:rPr>
  </w:style>
  <w:style w:type="paragraph" w:customStyle="1" w:styleId="169">
    <w:name w:val="List Paragraph1"/>
    <w:basedOn w:val="1"/>
    <w:qFormat/>
    <w:uiPriority w:val="0"/>
    <w:pPr>
      <w:autoSpaceDE/>
      <w:autoSpaceDN/>
      <w:adjustRightInd/>
      <w:ind w:firstLine="420" w:firstLineChars="200"/>
      <w:jc w:val="both"/>
    </w:pPr>
    <w:rPr>
      <w:rFonts w:ascii="Calibri" w:cs="Times New Roman"/>
      <w:kern w:val="2"/>
      <w:sz w:val="21"/>
      <w:szCs w:val="22"/>
    </w:rPr>
  </w:style>
  <w:style w:type="paragraph" w:customStyle="1" w:styleId="170">
    <w:name w:val="Char Char Char"/>
    <w:basedOn w:val="1"/>
    <w:qFormat/>
    <w:uiPriority w:val="0"/>
    <w:pPr>
      <w:autoSpaceDE/>
      <w:autoSpaceDN/>
      <w:adjustRightInd/>
      <w:jc w:val="both"/>
    </w:pPr>
    <w:rPr>
      <w:rFonts w:ascii="Tahoma" w:hAnsi="Tahoma"/>
      <w:b/>
      <w:sz w:val="28"/>
      <w:szCs w:val="20"/>
    </w:rPr>
  </w:style>
  <w:style w:type="paragraph" w:customStyle="1" w:styleId="171">
    <w:name w:val="保留正文"/>
    <w:basedOn w:val="21"/>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72">
    <w:name w:val="正文缩进6格"/>
    <w:basedOn w:val="173"/>
    <w:qFormat/>
    <w:uiPriority w:val="0"/>
    <w:pPr>
      <w:ind w:left="1758" w:leftChars="854"/>
    </w:pPr>
  </w:style>
  <w:style w:type="paragraph" w:customStyle="1" w:styleId="173">
    <w:name w:val="正文缩进4格"/>
    <w:basedOn w:val="78"/>
    <w:qFormat/>
    <w:uiPriority w:val="0"/>
    <w:pPr>
      <w:ind w:left="651" w:leftChars="310" w:firstLine="608" w:firstLineChars="196"/>
    </w:pPr>
    <w:rPr>
      <w:color w:val="000000"/>
    </w:rPr>
  </w:style>
  <w:style w:type="paragraph" w:customStyle="1" w:styleId="174">
    <w:name w:val="Char1 Char Char Char Char Char Char1"/>
    <w:basedOn w:val="1"/>
    <w:qFormat/>
    <w:uiPriority w:val="0"/>
    <w:pPr>
      <w:widowControl/>
      <w:autoSpaceDE/>
      <w:autoSpaceDN/>
      <w:adjustRightInd/>
      <w:spacing w:line="400" w:lineRule="exact"/>
      <w:jc w:val="center"/>
    </w:pPr>
    <w:rPr>
      <w:rFonts w:ascii="Verdana" w:hAnsi="Verdana"/>
      <w:sz w:val="21"/>
      <w:szCs w:val="20"/>
      <w:lang w:eastAsia="en-US"/>
    </w:rPr>
  </w:style>
  <w:style w:type="paragraph" w:customStyle="1" w:styleId="175">
    <w:name w:val="表头"/>
    <w:basedOn w:val="14"/>
    <w:qFormat/>
    <w:uiPriority w:val="0"/>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176">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utoSpaceDE/>
      <w:autoSpaceDN/>
      <w:adjustRightInd/>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177">
    <w:name w:val="1"/>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customStyle="1" w:styleId="178">
    <w:name w:val="表正文"/>
    <w:basedOn w:val="1"/>
    <w:next w:val="26"/>
    <w:qFormat/>
    <w:uiPriority w:val="0"/>
    <w:pPr>
      <w:autoSpaceDE/>
      <w:autoSpaceDN/>
      <w:adjustRightInd/>
      <w:spacing w:line="360" w:lineRule="auto"/>
      <w:ind w:left="180" w:leftChars="85" w:right="2" w:hanging="2"/>
      <w:jc w:val="both"/>
    </w:pPr>
    <w:rPr>
      <w:rFonts w:ascii="Arial" w:hAnsi="Arial"/>
      <w:kern w:val="2"/>
      <w:sz w:val="21"/>
      <w:szCs w:val="20"/>
    </w:rPr>
  </w:style>
  <w:style w:type="paragraph" w:customStyle="1" w:styleId="179">
    <w:name w:val="Char2"/>
    <w:basedOn w:val="1"/>
    <w:qFormat/>
    <w:uiPriority w:val="0"/>
    <w:pPr>
      <w:widowControl/>
      <w:autoSpaceDE/>
      <w:autoSpaceDN/>
      <w:adjustRightInd/>
      <w:spacing w:after="160" w:line="240" w:lineRule="exact"/>
    </w:pPr>
    <w:rPr>
      <w:rFonts w:ascii="Verdana" w:hAnsi="Verdana" w:eastAsia="仿宋_GB2312"/>
      <w:szCs w:val="20"/>
      <w:lang w:eastAsia="en-US"/>
    </w:rPr>
  </w:style>
  <w:style w:type="paragraph" w:customStyle="1" w:styleId="180">
    <w:name w:val="DAS正文"/>
    <w:basedOn w:val="1"/>
    <w:qFormat/>
    <w:uiPriority w:val="0"/>
    <w:pPr>
      <w:autoSpaceDE/>
      <w:autoSpaceDN/>
      <w:adjustRightInd/>
      <w:spacing w:line="360" w:lineRule="exact"/>
      <w:jc w:val="both"/>
    </w:pPr>
    <w:rPr>
      <w:rFonts w:ascii="Verdana" w:hAnsi="Verdana"/>
      <w:kern w:val="2"/>
      <w:sz w:val="21"/>
      <w:szCs w:val="21"/>
    </w:rPr>
  </w:style>
  <w:style w:type="paragraph" w:customStyle="1" w:styleId="181">
    <w:name w:val="Char Char Char Char Char Char Char Char Char Char Char Char Char"/>
    <w:basedOn w:val="1"/>
    <w:qFormat/>
    <w:uiPriority w:val="0"/>
    <w:pPr>
      <w:widowControl/>
      <w:autoSpaceDE/>
      <w:autoSpaceDN/>
      <w:adjustRightInd/>
      <w:spacing w:after="160" w:line="240" w:lineRule="exact"/>
    </w:pPr>
    <w:rPr>
      <w:rFonts w:ascii="Times New Roman"/>
      <w:kern w:val="2"/>
      <w:sz w:val="21"/>
    </w:rPr>
  </w:style>
  <w:style w:type="paragraph" w:customStyle="1" w:styleId="182">
    <w:name w:val="正文居中"/>
    <w:basedOn w:val="1"/>
    <w:next w:val="1"/>
    <w:qFormat/>
    <w:uiPriority w:val="0"/>
    <w:pPr>
      <w:autoSpaceDE/>
      <w:autoSpaceDN/>
      <w:snapToGrid w:val="0"/>
      <w:spacing w:line="300" w:lineRule="auto"/>
      <w:jc w:val="center"/>
    </w:pPr>
    <w:rPr>
      <w:rFonts w:ascii="Times New Roman"/>
      <w:kern w:val="2"/>
      <w:sz w:val="21"/>
    </w:rPr>
  </w:style>
  <w:style w:type="paragraph" w:customStyle="1" w:styleId="183">
    <w:name w:val="样式37"/>
    <w:basedOn w:val="1"/>
    <w:qFormat/>
    <w:uiPriority w:val="0"/>
    <w:pPr>
      <w:widowControl/>
      <w:spacing w:line="360" w:lineRule="auto"/>
    </w:pPr>
    <w:rPr>
      <w:rFonts w:hAnsi="宋体"/>
      <w:spacing w:val="-2"/>
      <w:szCs w:val="21"/>
    </w:rPr>
  </w:style>
  <w:style w:type="paragraph" w:customStyle="1" w:styleId="184">
    <w:name w:val="文档正文"/>
    <w:basedOn w:val="1"/>
    <w:qFormat/>
    <w:uiPriority w:val="0"/>
    <w:pPr>
      <w:spacing w:line="460" w:lineRule="exact"/>
      <w:ind w:firstLine="567"/>
      <w:textAlignment w:val="baseline"/>
    </w:pPr>
    <w:rPr>
      <w:rFonts w:ascii="Arial" w:hAnsi="Arial"/>
    </w:rPr>
  </w:style>
  <w:style w:type="paragraph" w:customStyle="1" w:styleId="185">
    <w:name w:val="正文列序2"/>
    <w:basedOn w:val="1"/>
    <w:qFormat/>
    <w:uiPriority w:val="0"/>
    <w:pPr>
      <w:spacing w:line="360" w:lineRule="auto"/>
      <w:ind w:firstLine="425"/>
    </w:pPr>
    <w:rPr>
      <w:rFonts w:hAnsi="宋体"/>
    </w:rPr>
  </w:style>
  <w:style w:type="character" w:customStyle="1" w:styleId="186">
    <w:name w:val="批注文字 字符"/>
    <w:basedOn w:val="56"/>
    <w:link w:val="19"/>
    <w:qFormat/>
    <w:uiPriority w:val="0"/>
    <w:rPr>
      <w:rFonts w:ascii="Times New Roman" w:hAnsi="Calibri" w:eastAsia="宋体" w:cs="宋体"/>
      <w:sz w:val="21"/>
    </w:rPr>
  </w:style>
  <w:style w:type="paragraph" w:customStyle="1" w:styleId="187">
    <w:name w:val="正文文本缩进 21"/>
    <w:basedOn w:val="1"/>
    <w:qFormat/>
    <w:uiPriority w:val="99"/>
    <w:pPr>
      <w:spacing w:line="480" w:lineRule="auto"/>
      <w:ind w:firstLine="540"/>
    </w:pPr>
    <w:rPr>
      <w:sz w:val="20"/>
      <w:szCs w:val="20"/>
    </w:rPr>
  </w:style>
  <w:style w:type="paragraph" w:customStyle="1" w:styleId="188">
    <w:name w:val="WPSOffice手动目录 1"/>
    <w:qFormat/>
    <w:uiPriority w:val="0"/>
    <w:rPr>
      <w:rFonts w:ascii="Times New Roman" w:hAnsi="Times New Roman" w:eastAsia="宋体" w:cs="Times New Roman"/>
      <w:lang w:val="en-US" w:eastAsia="zh-CN" w:bidi="ar-SA"/>
    </w:rPr>
  </w:style>
  <w:style w:type="character" w:customStyle="1" w:styleId="189">
    <w:name w:val="font121"/>
    <w:basedOn w:val="56"/>
    <w:qFormat/>
    <w:uiPriority w:val="0"/>
    <w:rPr>
      <w:rFonts w:hint="default" w:ascii="思源黑体 CN Regular" w:hAnsi="思源黑体 CN Regular" w:eastAsia="思源黑体 CN Regular" w:cs="思源黑体 CN Regular"/>
      <w:b/>
      <w:bCs/>
      <w:color w:val="545454"/>
      <w:sz w:val="24"/>
      <w:szCs w:val="24"/>
      <w:u w:val="none"/>
    </w:rPr>
  </w:style>
  <w:style w:type="character" w:customStyle="1" w:styleId="190">
    <w:name w:val="font112"/>
    <w:basedOn w:val="56"/>
    <w:qFormat/>
    <w:uiPriority w:val="0"/>
    <w:rPr>
      <w:rFonts w:hint="default" w:ascii="思源黑体 CN Regular" w:hAnsi="思源黑体 CN Regular" w:eastAsia="思源黑体 CN Regular" w:cs="思源黑体 CN Regular"/>
      <w:b/>
      <w:bCs/>
      <w:color w:val="444444"/>
      <w:sz w:val="24"/>
      <w:szCs w:val="24"/>
      <w:u w:val="none"/>
    </w:rPr>
  </w:style>
  <w:style w:type="character" w:customStyle="1" w:styleId="191">
    <w:name w:val="font131"/>
    <w:basedOn w:val="56"/>
    <w:qFormat/>
    <w:uiPriority w:val="0"/>
    <w:rPr>
      <w:rFonts w:hint="default" w:ascii="思源黑体 CN Regular" w:hAnsi="思源黑体 CN Regular" w:eastAsia="思源黑体 CN Regular" w:cs="思源黑体 CN Regular"/>
      <w:b/>
      <w:bCs/>
      <w:color w:val="646464"/>
      <w:sz w:val="24"/>
      <w:szCs w:val="24"/>
      <w:u w:val="none"/>
    </w:rPr>
  </w:style>
  <w:style w:type="character" w:customStyle="1" w:styleId="192">
    <w:name w:val="font291"/>
    <w:basedOn w:val="56"/>
    <w:qFormat/>
    <w:uiPriority w:val="0"/>
    <w:rPr>
      <w:rFonts w:hint="default" w:ascii="思源黑体 CN Regular" w:hAnsi="思源黑体 CN Regular" w:eastAsia="思源黑体 CN Regular" w:cs="思源黑体 CN Regular"/>
      <w:b/>
      <w:bCs/>
      <w:color w:val="212121"/>
      <w:sz w:val="24"/>
      <w:szCs w:val="24"/>
      <w:u w:val="none"/>
    </w:rPr>
  </w:style>
  <w:style w:type="character" w:customStyle="1" w:styleId="193">
    <w:name w:val="font301"/>
    <w:basedOn w:val="56"/>
    <w:qFormat/>
    <w:uiPriority w:val="0"/>
    <w:rPr>
      <w:rFonts w:hint="default" w:ascii="思源黑体 CN Regular" w:hAnsi="思源黑体 CN Regular" w:eastAsia="思源黑体 CN Regular" w:cs="思源黑体 CN Regular"/>
      <w:b/>
      <w:bCs/>
      <w:color w:val="444444"/>
      <w:sz w:val="24"/>
      <w:szCs w:val="24"/>
      <w:u w:val="none"/>
    </w:rPr>
  </w:style>
  <w:style w:type="paragraph" w:customStyle="1" w:styleId="194">
    <w:name w:val="修订1"/>
    <w:hidden/>
    <w:semiHidden/>
    <w:qFormat/>
    <w:uiPriority w:val="99"/>
    <w:rPr>
      <w:rFonts w:ascii="宋体" w:hAnsi="Calibri" w:eastAsia="宋体" w:cs="宋体"/>
      <w:sz w:val="24"/>
      <w:szCs w:val="24"/>
      <w:lang w:val="en-US" w:eastAsia="zh-CN" w:bidi="ar-SA"/>
    </w:rPr>
  </w:style>
  <w:style w:type="character" w:customStyle="1" w:styleId="195">
    <w:name w:val="font51"/>
    <w:basedOn w:val="56"/>
    <w:qFormat/>
    <w:uiPriority w:val="0"/>
    <w:rPr>
      <w:rFonts w:hint="eastAsia" w:ascii="宋体" w:hAnsi="宋体" w:eastAsia="宋体" w:cs="宋体"/>
      <w:color w:val="000000"/>
      <w:sz w:val="20"/>
      <w:szCs w:val="20"/>
      <w:u w:val="none"/>
    </w:rPr>
  </w:style>
  <w:style w:type="paragraph" w:customStyle="1" w:styleId="196">
    <w:name w:val="列出段落11"/>
    <w:basedOn w:val="1"/>
    <w:qFormat/>
    <w:uiPriority w:val="99"/>
    <w:pPr>
      <w:adjustRightInd/>
      <w:spacing w:line="360" w:lineRule="auto"/>
      <w:ind w:firstLine="420" w:firstLineChars="200"/>
      <w:jc w:val="both"/>
    </w:pPr>
    <w:rPr>
      <w:rFonts w:ascii="Times New Roman" w:hAnsi="Times New Roman" w:cs="Times New Roman"/>
      <w:kern w:val="2"/>
    </w:rPr>
  </w:style>
  <w:style w:type="character" w:customStyle="1" w:styleId="197">
    <w:name w:val="font31"/>
    <w:basedOn w:val="56"/>
    <w:qFormat/>
    <w:uiPriority w:val="0"/>
    <w:rPr>
      <w:rFonts w:hint="default" w:ascii="Times New Roman" w:hAnsi="Times New Roman" w:cs="Times New Roman"/>
      <w:color w:val="FF0000"/>
      <w:sz w:val="22"/>
      <w:szCs w:val="22"/>
      <w:u w:val="none"/>
    </w:rPr>
  </w:style>
  <w:style w:type="character" w:customStyle="1" w:styleId="198">
    <w:name w:val="font41"/>
    <w:basedOn w:val="56"/>
    <w:qFormat/>
    <w:uiPriority w:val="0"/>
    <w:rPr>
      <w:rFonts w:hint="eastAsia" w:ascii="宋体" w:hAnsi="宋体" w:eastAsia="宋体" w:cs="宋体"/>
      <w:color w:val="FF0000"/>
      <w:sz w:val="22"/>
      <w:szCs w:val="22"/>
      <w:u w:val="none"/>
    </w:rPr>
  </w:style>
  <w:style w:type="character" w:customStyle="1" w:styleId="199">
    <w:name w:val="font11"/>
    <w:basedOn w:val="56"/>
    <w:qFormat/>
    <w:uiPriority w:val="0"/>
    <w:rPr>
      <w:rFonts w:hint="default" w:ascii="Times New Roman" w:hAnsi="Times New Roman" w:cs="Times New Roman"/>
      <w:color w:val="FF0000"/>
      <w:sz w:val="22"/>
      <w:szCs w:val="22"/>
      <w:u w:val="none"/>
    </w:rPr>
  </w:style>
  <w:style w:type="character" w:customStyle="1" w:styleId="200">
    <w:name w:val="font21"/>
    <w:basedOn w:val="56"/>
    <w:qFormat/>
    <w:uiPriority w:val="0"/>
    <w:rPr>
      <w:rFonts w:hint="eastAsia" w:ascii="仿宋" w:hAnsi="仿宋" w:eastAsia="仿宋" w:cs="仿宋"/>
      <w:color w:val="000000"/>
      <w:sz w:val="24"/>
      <w:szCs w:val="24"/>
      <w:u w:val="none"/>
    </w:rPr>
  </w:style>
  <w:style w:type="character" w:customStyle="1" w:styleId="201">
    <w:name w:val="font151"/>
    <w:basedOn w:val="56"/>
    <w:qFormat/>
    <w:uiPriority w:val="0"/>
    <w:rPr>
      <w:rFonts w:hint="eastAsia" w:ascii="宋体" w:hAnsi="宋体" w:eastAsia="宋体" w:cs="宋体"/>
      <w:color w:val="000000"/>
      <w:sz w:val="18"/>
      <w:szCs w:val="18"/>
      <w:u w:val="none"/>
    </w:rPr>
  </w:style>
  <w:style w:type="character" w:customStyle="1" w:styleId="202">
    <w:name w:val="font141"/>
    <w:basedOn w:val="5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zgydgb</Company>
  <Pages>68</Pages>
  <Words>11306</Words>
  <Characters>12048</Characters>
  <Lines>375</Lines>
  <Paragraphs>105</Paragraphs>
  <TotalTime>0</TotalTime>
  <ScaleCrop>false</ScaleCrop>
  <LinksUpToDate>false</LinksUpToDate>
  <CharactersWithSpaces>12225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2023-11-23T12:45:00Z</dcterms:created>
  <dc:creator>lyy</dc:creator>
  <cp:lastModifiedBy>WPS_1573530454</cp:lastModifiedBy>
  <cp:lastPrinted>2020-07-10T09:47:00Z</cp:lastPrinted>
  <dcterms:modified xsi:type="dcterms:W3CDTF">2024-11-26T02:49:38Z</dcterms:modified>
  <dc:title>货物公开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35AD9195AA864AC68617F7680E74EED5_13</vt:lpwstr>
  </property>
</Properties>
</file>