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黑体" w:eastAsia="黑体"/>
          <w:color w:val="auto"/>
          <w:szCs w:val="21"/>
          <w:highlight w:val="none"/>
          <w:lang w:val="en-US" w:eastAsia="zh-CN"/>
        </w:rPr>
      </w:pPr>
      <w:r>
        <w:rPr>
          <w:rFonts w:hint="eastAsia" w:ascii="黑体" w:eastAsia="黑体"/>
          <w:color w:val="auto"/>
          <w:szCs w:val="21"/>
          <w:highlight w:val="none"/>
          <w:lang w:val="en-US" w:eastAsia="zh-CN"/>
        </w:rPr>
        <w:t xml:space="preserve"> </w:t>
      </w:r>
    </w:p>
    <w:p>
      <w:pPr>
        <w:pStyle w:val="36"/>
        <w:ind w:firstLine="400"/>
        <w:rPr>
          <w:color w:val="auto"/>
          <w:highlight w:val="none"/>
        </w:rPr>
      </w:pPr>
    </w:p>
    <w:p>
      <w:pPr>
        <w:rPr>
          <w:color w:val="auto"/>
          <w:highlight w:val="none"/>
        </w:rPr>
      </w:pPr>
    </w:p>
    <w:p>
      <w:pPr>
        <w:rPr>
          <w:color w:val="auto"/>
          <w:highlight w:val="none"/>
        </w:rPr>
      </w:pPr>
    </w:p>
    <w:p>
      <w:pPr>
        <w:rPr>
          <w:color w:val="auto"/>
          <w:highlight w:val="none"/>
        </w:rPr>
      </w:pPr>
    </w:p>
    <w:p>
      <w:pPr>
        <w:ind w:right="-28"/>
        <w:jc w:val="center"/>
        <w:textAlignment w:val="bottom"/>
        <w:rPr>
          <w:rFonts w:ascii="黑体" w:hAnsi="黑体" w:eastAsia="黑体" w:cs="黑体"/>
          <w:bCs/>
          <w:color w:val="auto"/>
          <w:spacing w:val="57"/>
          <w:sz w:val="96"/>
          <w:szCs w:val="96"/>
          <w:highlight w:val="none"/>
        </w:rPr>
      </w:pPr>
      <w:r>
        <w:rPr>
          <w:rFonts w:hint="eastAsia" w:ascii="黑体" w:hAnsi="黑体" w:eastAsia="黑体" w:cs="黑体"/>
          <w:bCs/>
          <w:color w:val="auto"/>
          <w:spacing w:val="57"/>
          <w:sz w:val="96"/>
          <w:szCs w:val="96"/>
          <w:highlight w:val="none"/>
        </w:rPr>
        <w:t>公开采购文件</w:t>
      </w:r>
    </w:p>
    <w:p>
      <w:pPr>
        <w:rPr>
          <w:color w:val="auto"/>
          <w:highlight w:val="none"/>
        </w:rPr>
      </w:pPr>
    </w:p>
    <w:p>
      <w:pPr>
        <w:pStyle w:val="9"/>
        <w:rPr>
          <w:color w:val="auto"/>
          <w:highlight w:val="none"/>
        </w:rPr>
      </w:pPr>
    </w:p>
    <w:tbl>
      <w:tblPr>
        <w:tblStyle w:val="29"/>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项目名称：</w:t>
            </w:r>
          </w:p>
        </w:tc>
        <w:tc>
          <w:tcPr>
            <w:tcW w:w="6203" w:type="dxa"/>
            <w:noWrap/>
            <w:vAlign w:val="center"/>
          </w:tcPr>
          <w:p>
            <w:pPr>
              <w:spacing w:before="200"/>
              <w:jc w:val="both"/>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u w:val="single"/>
                <w:lang w:eastAsia="zh-CN"/>
              </w:rPr>
              <w:t>东莞市海心沙资源综合利用中心环保热电厂活性炭、石灰采购项目（重新采购）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项目采购编号：</w:t>
            </w:r>
          </w:p>
        </w:tc>
        <w:tc>
          <w:tcPr>
            <w:tcW w:w="620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XDY-GK-2023-003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采购人：</w:t>
            </w:r>
          </w:p>
        </w:tc>
        <w:tc>
          <w:tcPr>
            <w:tcW w:w="6203" w:type="dxa"/>
            <w:noWrap/>
            <w:vAlign w:val="center"/>
          </w:tcPr>
          <w:p>
            <w:pPr>
              <w:spacing w:before="200"/>
              <w:jc w:val="both"/>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u w:val="single"/>
                <w:lang w:eastAsia="zh-CN"/>
              </w:rPr>
              <w:t>东莞市新东元环保投资有限公司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采购代理：</w:t>
            </w:r>
          </w:p>
        </w:tc>
        <w:tc>
          <w:tcPr>
            <w:tcW w:w="6203" w:type="dxa"/>
            <w:noWrap/>
            <w:vAlign w:val="center"/>
          </w:tcPr>
          <w:p>
            <w:pPr>
              <w:spacing w:before="200"/>
              <w:jc w:val="both"/>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u w:val="single"/>
                <w:lang w:eastAsia="zh-CN"/>
              </w:rPr>
              <w:t>广东志合项目管理有限公司</w:t>
            </w:r>
          </w:p>
        </w:tc>
      </w:tr>
    </w:tbl>
    <w:p>
      <w:pPr>
        <w:jc w:val="center"/>
        <w:rPr>
          <w:rFonts w:ascii="黑体" w:eastAsia="黑体"/>
          <w:color w:val="auto"/>
          <w:szCs w:val="21"/>
          <w:highlight w:val="none"/>
        </w:rPr>
      </w:pPr>
    </w:p>
    <w:p>
      <w:pPr>
        <w:jc w:val="center"/>
        <w:rPr>
          <w:rFonts w:ascii="黑体" w:eastAsia="黑体"/>
          <w:color w:val="auto"/>
          <w:szCs w:val="21"/>
          <w:highlight w:val="none"/>
        </w:rPr>
      </w:pPr>
    </w:p>
    <w:p>
      <w:pPr>
        <w:pStyle w:val="36"/>
        <w:ind w:firstLine="400"/>
        <w:rPr>
          <w:color w:val="auto"/>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p>
    <w:p>
      <w:pPr>
        <w:spacing w:before="200"/>
        <w:jc w:val="center"/>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20</w:t>
      </w:r>
      <w:r>
        <w:rPr>
          <w:rFonts w:hint="eastAsia" w:ascii="黑体" w:hAnsi="黑体" w:eastAsia="黑体" w:cs="黑体"/>
          <w:bCs/>
          <w:color w:val="auto"/>
          <w:sz w:val="32"/>
          <w:szCs w:val="24"/>
          <w:highlight w:val="none"/>
          <w:lang w:val="en-US" w:eastAsia="zh-CN"/>
        </w:rPr>
        <w:t>23</w:t>
      </w:r>
      <w:r>
        <w:rPr>
          <w:rFonts w:hint="eastAsia" w:ascii="黑体" w:hAnsi="黑体" w:eastAsia="黑体" w:cs="黑体"/>
          <w:bCs/>
          <w:color w:val="auto"/>
          <w:sz w:val="32"/>
          <w:szCs w:val="24"/>
          <w:highlight w:val="none"/>
        </w:rPr>
        <w:t>年</w:t>
      </w:r>
      <w:r>
        <w:rPr>
          <w:rFonts w:hint="eastAsia" w:ascii="黑体" w:hAnsi="黑体" w:eastAsia="黑体" w:cs="黑体"/>
          <w:bCs/>
          <w:color w:val="auto"/>
          <w:sz w:val="32"/>
          <w:szCs w:val="24"/>
          <w:highlight w:val="none"/>
          <w:lang w:val="en-US" w:eastAsia="zh-CN"/>
        </w:rPr>
        <w:t>09</w:t>
      </w:r>
      <w:r>
        <w:rPr>
          <w:rFonts w:hint="eastAsia" w:ascii="黑体" w:hAnsi="黑体" w:eastAsia="黑体" w:cs="黑体"/>
          <w:bCs/>
          <w:color w:val="auto"/>
          <w:sz w:val="32"/>
          <w:szCs w:val="24"/>
          <w:highlight w:val="none"/>
        </w:rPr>
        <w:t>月</w:t>
      </w:r>
    </w:p>
    <w:p>
      <w:pPr>
        <w:rPr>
          <w:color w:val="auto"/>
          <w:highlight w:val="none"/>
        </w:rPr>
      </w:pPr>
    </w:p>
    <w:p>
      <w:pPr>
        <w:rPr>
          <w:lang w:val="en-US" w:eastAsia="zh-CN"/>
        </w:rPr>
      </w:pPr>
    </w:p>
    <w:p>
      <w:pPr>
        <w:pStyle w:val="2"/>
        <w:rPr>
          <w:lang w:val="en-US" w:eastAsia="zh-CN"/>
        </w:rPr>
        <w:sectPr>
          <w:footerReference r:id="rId9" w:type="first"/>
          <w:headerReference r:id="rId5" w:type="default"/>
          <w:footerReference r:id="rId7" w:type="default"/>
          <w:headerReference r:id="rId6" w:type="even"/>
          <w:footerReference r:id="rId8" w:type="even"/>
          <w:pgSz w:w="11906" w:h="16838"/>
          <w:pgMar w:top="1440" w:right="1800" w:bottom="1440" w:left="1800" w:header="708" w:footer="708" w:gutter="0"/>
          <w:pgNumType w:start="1"/>
          <w:cols w:space="708" w:num="1"/>
          <w:titlePg/>
          <w:docGrid w:type="lines" w:linePitch="360" w:charSpace="0"/>
        </w:sectPr>
      </w:pPr>
      <w:r>
        <w:rPr>
          <w:rFonts w:hint="eastAsia"/>
          <w:lang w:val="en-US" w:eastAsia="zh-CN"/>
        </w:rPr>
        <w:tab/>
      </w:r>
    </w:p>
    <w:p>
      <w:pPr>
        <w:pStyle w:val="24"/>
        <w:ind w:left="0" w:leftChars="0"/>
        <w:rPr>
          <w:color w:val="auto"/>
          <w:sz w:val="40"/>
          <w:szCs w:val="40"/>
          <w:highlight w:val="none"/>
        </w:rPr>
      </w:pPr>
      <w:r>
        <w:rPr>
          <w:rFonts w:hint="eastAsia"/>
          <w:color w:val="auto"/>
          <w:sz w:val="40"/>
          <w:szCs w:val="40"/>
          <w:highlight w:val="none"/>
        </w:rPr>
        <w:t>目录</w:t>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"1-4"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_Toc19194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第一部分投标邀请</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_Toc19194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_Toc19878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投标邀请书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_Toc19878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_Toc17849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第二部分相关资料表格</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_Toc17849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_Toc23020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附表一：投标资料表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_Toc23020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_Toc29189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第三部分用户需求书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_Toc29189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_Toc3536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第一章 商务需求书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_Toc3536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_Toc10136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第二章 技术需求书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_Toc10136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_Toc1652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第四部分投标人须知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_Toc1652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_Toc18995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一、 </w:t>
      </w:r>
      <w:r>
        <w:rPr>
          <w:rFonts w:hint="eastAsia" w:ascii="宋体" w:hAnsi="宋体" w:eastAsia="宋体" w:cs="宋体"/>
          <w:color w:val="auto"/>
          <w:sz w:val="21"/>
          <w:szCs w:val="21"/>
          <w:highlight w:val="none"/>
        </w:rPr>
        <w:t>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_Toc18995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_Toc28463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rPr>
        <w:t>适用范围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_Toc28463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_Toc15361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rPr>
        <w:t>定义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_Toc15361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_Toc15592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 </w:t>
      </w:r>
      <w:r>
        <w:rPr>
          <w:rFonts w:hint="eastAsia" w:ascii="宋体" w:hAnsi="宋体" w:eastAsia="宋体" w:cs="宋体"/>
          <w:color w:val="auto"/>
          <w:sz w:val="21"/>
          <w:szCs w:val="21"/>
          <w:highlight w:val="none"/>
        </w:rPr>
        <w:t>货物和服务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_Toc15592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_Toc29712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4. </w:t>
      </w:r>
      <w:r>
        <w:rPr>
          <w:rFonts w:hint="eastAsia" w:ascii="宋体" w:hAnsi="宋体" w:eastAsia="宋体" w:cs="宋体"/>
          <w:color w:val="auto"/>
          <w:sz w:val="21"/>
          <w:szCs w:val="21"/>
          <w:highlight w:val="none"/>
        </w:rPr>
        <w:t>投标费用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_Toc29712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_Toc4397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5. </w:t>
      </w:r>
      <w:r>
        <w:rPr>
          <w:rFonts w:hint="eastAsia" w:ascii="宋体" w:hAnsi="宋体" w:eastAsia="宋体" w:cs="宋体"/>
          <w:color w:val="auto"/>
          <w:sz w:val="21"/>
          <w:szCs w:val="21"/>
          <w:highlight w:val="none"/>
        </w:rPr>
        <w:t>知识产权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_Toc4397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_Toc24967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6. </w:t>
      </w:r>
      <w:r>
        <w:rPr>
          <w:rFonts w:hint="eastAsia" w:ascii="宋体" w:hAnsi="宋体" w:eastAsia="宋体" w:cs="宋体"/>
          <w:color w:val="auto"/>
          <w:sz w:val="21"/>
          <w:szCs w:val="21"/>
          <w:highlight w:val="none"/>
        </w:rPr>
        <w:t>关于联合体投标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_Toc24967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_Toc27416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7. </w:t>
      </w:r>
      <w:r>
        <w:rPr>
          <w:rFonts w:hint="eastAsia" w:ascii="宋体" w:hAnsi="宋体" w:eastAsia="宋体" w:cs="宋体"/>
          <w:color w:val="auto"/>
          <w:sz w:val="21"/>
          <w:szCs w:val="21"/>
          <w:highlight w:val="none"/>
        </w:rPr>
        <w:t>关于分支机构投标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_Toc27416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_Toc18811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8. </w:t>
      </w:r>
      <w:r>
        <w:rPr>
          <w:rFonts w:hint="eastAsia" w:ascii="宋体" w:hAnsi="宋体" w:eastAsia="宋体" w:cs="宋体"/>
          <w:color w:val="auto"/>
          <w:sz w:val="21"/>
          <w:szCs w:val="21"/>
          <w:highlight w:val="none"/>
        </w:rPr>
        <w:t>踏勘现场</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_Toc18811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_Toc15422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二、 </w:t>
      </w:r>
      <w:r>
        <w:rPr>
          <w:rFonts w:hint="eastAsia" w:ascii="宋体" w:hAnsi="宋体" w:eastAsia="宋体" w:cs="宋体"/>
          <w:color w:val="auto"/>
          <w:sz w:val="21"/>
          <w:szCs w:val="21"/>
          <w:highlight w:val="none"/>
        </w:rPr>
        <w:t>采购文件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_Toc15422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_Toc31899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9. </w:t>
      </w:r>
      <w:r>
        <w:rPr>
          <w:rFonts w:hint="eastAsia" w:ascii="宋体" w:hAnsi="宋体" w:eastAsia="宋体" w:cs="宋体"/>
          <w:color w:val="auto"/>
          <w:sz w:val="21"/>
          <w:szCs w:val="21"/>
          <w:highlight w:val="none"/>
        </w:rPr>
        <w:t>采购文件的组成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_Toc31899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_Toc27202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10. </w:t>
      </w:r>
      <w:r>
        <w:rPr>
          <w:rFonts w:hint="eastAsia" w:ascii="宋体" w:hAnsi="宋体" w:eastAsia="宋体" w:cs="宋体"/>
          <w:color w:val="auto"/>
          <w:sz w:val="21"/>
          <w:szCs w:val="21"/>
          <w:highlight w:val="none"/>
        </w:rPr>
        <w:t>采购文件的澄清或修改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_Toc27202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_Toc27400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三、 </w:t>
      </w:r>
      <w:r>
        <w:rPr>
          <w:rFonts w:hint="eastAsia" w:ascii="宋体" w:hAnsi="宋体" w:eastAsia="宋体" w:cs="宋体"/>
          <w:color w:val="auto"/>
          <w:sz w:val="21"/>
          <w:szCs w:val="21"/>
          <w:highlight w:val="none"/>
        </w:rPr>
        <w:t>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_Toc27400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_Toc18873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11. </w:t>
      </w:r>
      <w:r>
        <w:rPr>
          <w:rFonts w:hint="eastAsia" w:ascii="宋体" w:hAnsi="宋体" w:eastAsia="宋体" w:cs="宋体"/>
          <w:color w:val="auto"/>
          <w:sz w:val="21"/>
          <w:szCs w:val="21"/>
          <w:highlight w:val="none"/>
        </w:rPr>
        <w:t>投标文件的语言及度量衡单位</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_Toc18873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_Toc4109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12. </w:t>
      </w:r>
      <w:r>
        <w:rPr>
          <w:rFonts w:hint="eastAsia" w:ascii="宋体" w:hAnsi="宋体" w:eastAsia="宋体" w:cs="宋体"/>
          <w:color w:val="auto"/>
          <w:sz w:val="21"/>
          <w:szCs w:val="21"/>
          <w:highlight w:val="none"/>
        </w:rPr>
        <w:t>投标文件的组成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_Toc4109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_Toc17800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13. </w:t>
      </w:r>
      <w:r>
        <w:rPr>
          <w:rFonts w:hint="eastAsia" w:ascii="宋体" w:hAnsi="宋体" w:eastAsia="宋体" w:cs="宋体"/>
          <w:color w:val="auto"/>
          <w:sz w:val="21"/>
          <w:szCs w:val="21"/>
          <w:highlight w:val="none"/>
        </w:rPr>
        <w:t>投标文件编制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_Toc17800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_Toc15522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14. </w:t>
      </w:r>
      <w:r>
        <w:rPr>
          <w:rFonts w:hint="eastAsia" w:ascii="宋体" w:hAnsi="宋体" w:eastAsia="宋体" w:cs="宋体"/>
          <w:color w:val="auto"/>
          <w:sz w:val="21"/>
          <w:szCs w:val="21"/>
          <w:highlight w:val="none"/>
        </w:rPr>
        <w:t>投标报价说明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_Toc15522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_Toc15846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15. </w:t>
      </w:r>
      <w:r>
        <w:rPr>
          <w:rFonts w:hint="eastAsia" w:ascii="宋体" w:hAnsi="宋体" w:eastAsia="宋体" w:cs="宋体"/>
          <w:color w:val="auto"/>
          <w:sz w:val="21"/>
          <w:szCs w:val="21"/>
          <w:highlight w:val="none"/>
        </w:rPr>
        <w:t>投标人所提供的服务或货物的证明文件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_Toc15846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_Toc16080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16. </w:t>
      </w:r>
      <w:r>
        <w:rPr>
          <w:rFonts w:hint="eastAsia" w:ascii="宋体" w:hAnsi="宋体" w:eastAsia="宋体" w:cs="宋体"/>
          <w:color w:val="auto"/>
          <w:sz w:val="21"/>
          <w:szCs w:val="21"/>
          <w:highlight w:val="none"/>
        </w:rPr>
        <w:t>投标有效期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_Toc16080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_Toc17568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17. </w:t>
      </w:r>
      <w:r>
        <w:rPr>
          <w:rFonts w:hint="eastAsia" w:ascii="宋体" w:hAnsi="宋体" w:eastAsia="宋体" w:cs="宋体"/>
          <w:color w:val="auto"/>
          <w:sz w:val="21"/>
          <w:szCs w:val="21"/>
          <w:highlight w:val="none"/>
        </w:rPr>
        <w:t>投标保证金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_Toc17568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_Toc5493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四、 </w:t>
      </w:r>
      <w:r>
        <w:rPr>
          <w:rFonts w:hint="eastAsia" w:ascii="宋体" w:hAnsi="宋体" w:eastAsia="宋体" w:cs="宋体"/>
          <w:color w:val="auto"/>
          <w:sz w:val="21"/>
          <w:szCs w:val="21"/>
          <w:highlight w:val="none"/>
        </w:rPr>
        <w:t>投标文件的递交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_Toc5493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_Toc18520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18. </w:t>
      </w:r>
      <w:r>
        <w:rPr>
          <w:rFonts w:hint="eastAsia" w:ascii="宋体" w:hAnsi="宋体" w:eastAsia="宋体" w:cs="宋体"/>
          <w:color w:val="auto"/>
          <w:sz w:val="21"/>
          <w:szCs w:val="21"/>
          <w:highlight w:val="none"/>
        </w:rPr>
        <w:t>投标文件的装订，签署，密封和标记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_Toc18520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_Toc6910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19. </w:t>
      </w:r>
      <w:r>
        <w:rPr>
          <w:rFonts w:hint="eastAsia" w:ascii="宋体" w:hAnsi="宋体" w:eastAsia="宋体" w:cs="宋体"/>
          <w:color w:val="auto"/>
          <w:sz w:val="21"/>
          <w:szCs w:val="21"/>
          <w:highlight w:val="none"/>
        </w:rPr>
        <w:t>迟交的投标文件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_Toc6910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_Toc3790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20. </w:t>
      </w:r>
      <w:r>
        <w:rPr>
          <w:rFonts w:hint="eastAsia" w:ascii="宋体" w:hAnsi="宋体" w:eastAsia="宋体" w:cs="宋体"/>
          <w:color w:val="auto"/>
          <w:sz w:val="21"/>
          <w:szCs w:val="21"/>
          <w:highlight w:val="none"/>
        </w:rPr>
        <w:t>投标样品（如需提交）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_Toc3790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_Toc9995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21. </w:t>
      </w:r>
      <w:r>
        <w:rPr>
          <w:rFonts w:hint="eastAsia" w:ascii="宋体" w:hAnsi="宋体" w:eastAsia="宋体" w:cs="宋体"/>
          <w:color w:val="auto"/>
          <w:sz w:val="21"/>
          <w:szCs w:val="21"/>
          <w:highlight w:val="none"/>
        </w:rPr>
        <w:t>投标截止期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_Toc9995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_Toc7805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22. </w:t>
      </w:r>
      <w:r>
        <w:rPr>
          <w:rFonts w:hint="eastAsia" w:ascii="宋体" w:hAnsi="宋体" w:eastAsia="宋体" w:cs="宋体"/>
          <w:color w:val="auto"/>
          <w:sz w:val="21"/>
          <w:szCs w:val="21"/>
          <w:highlight w:val="none"/>
        </w:rPr>
        <w:t>投标文件的补充、修改与撤回</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_Toc7805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_Toc26139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五、 </w:t>
      </w:r>
      <w:r>
        <w:rPr>
          <w:rFonts w:hint="eastAsia" w:ascii="宋体" w:hAnsi="宋体" w:eastAsia="宋体" w:cs="宋体"/>
          <w:color w:val="auto"/>
          <w:sz w:val="21"/>
          <w:szCs w:val="21"/>
          <w:highlight w:val="none"/>
        </w:rPr>
        <w:t>开标与评标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_Toc26139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_Toc31247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23. </w:t>
      </w:r>
      <w:r>
        <w:rPr>
          <w:rFonts w:hint="eastAsia" w:ascii="宋体" w:hAnsi="宋体" w:eastAsia="宋体" w:cs="宋体"/>
          <w:color w:val="auto"/>
          <w:sz w:val="21"/>
          <w:szCs w:val="21"/>
          <w:highlight w:val="none"/>
        </w:rPr>
        <w:t>开标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_Toc31247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_Toc24500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24. </w:t>
      </w:r>
      <w:r>
        <w:rPr>
          <w:rFonts w:hint="eastAsia" w:ascii="宋体" w:hAnsi="宋体" w:eastAsia="宋体" w:cs="宋体"/>
          <w:color w:val="auto"/>
          <w:sz w:val="21"/>
          <w:szCs w:val="21"/>
          <w:highlight w:val="none"/>
        </w:rPr>
        <w:t>评标委员会及评标方法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_Toc24500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_Toc25715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25. </w:t>
      </w:r>
      <w:r>
        <w:rPr>
          <w:rFonts w:hint="eastAsia" w:ascii="宋体" w:hAnsi="宋体" w:eastAsia="宋体" w:cs="宋体"/>
          <w:color w:val="auto"/>
          <w:sz w:val="21"/>
          <w:szCs w:val="21"/>
          <w:highlight w:val="none"/>
        </w:rPr>
        <w:t>评审原则及评标过程的保密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_Toc25715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_Toc9886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26. </w:t>
      </w:r>
      <w:r>
        <w:rPr>
          <w:rFonts w:hint="eastAsia" w:ascii="宋体" w:hAnsi="宋体" w:eastAsia="宋体" w:cs="宋体"/>
          <w:color w:val="auto"/>
          <w:sz w:val="21"/>
          <w:szCs w:val="21"/>
          <w:highlight w:val="none"/>
        </w:rPr>
        <w:t>评标程序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_Toc9886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_Toc23191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27. </w:t>
      </w:r>
      <w:r>
        <w:rPr>
          <w:rFonts w:hint="eastAsia" w:ascii="宋体" w:hAnsi="宋体" w:eastAsia="宋体" w:cs="宋体"/>
          <w:color w:val="auto"/>
          <w:sz w:val="21"/>
          <w:szCs w:val="21"/>
          <w:highlight w:val="none"/>
        </w:rPr>
        <w:t>纪律和保密事项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_Toc23191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_Toc19500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六、 </w:t>
      </w:r>
      <w:r>
        <w:rPr>
          <w:rFonts w:hint="eastAsia" w:ascii="宋体" w:hAnsi="宋体" w:eastAsia="宋体" w:cs="宋体"/>
          <w:color w:val="auto"/>
          <w:sz w:val="21"/>
          <w:szCs w:val="21"/>
          <w:highlight w:val="none"/>
        </w:rPr>
        <w:t>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_Toc19500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_Toc6173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28. </w:t>
      </w:r>
      <w:r>
        <w:rPr>
          <w:rFonts w:hint="eastAsia" w:ascii="宋体" w:hAnsi="宋体" w:eastAsia="宋体" w:cs="宋体"/>
          <w:color w:val="auto"/>
          <w:sz w:val="21"/>
          <w:szCs w:val="21"/>
          <w:highlight w:val="none"/>
        </w:rPr>
        <w:t>合同授予标准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_Toc6173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_Toc13997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29. </w:t>
      </w:r>
      <w:r>
        <w:rPr>
          <w:rFonts w:hint="eastAsia" w:ascii="宋体" w:hAnsi="宋体" w:eastAsia="宋体" w:cs="宋体"/>
          <w:color w:val="auto"/>
          <w:sz w:val="21"/>
          <w:szCs w:val="21"/>
          <w:highlight w:val="none"/>
        </w:rPr>
        <w:t>发布中标结果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_Toc13997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_Toc26238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30. </w:t>
      </w:r>
      <w:r>
        <w:rPr>
          <w:rFonts w:hint="eastAsia" w:ascii="宋体" w:hAnsi="宋体" w:eastAsia="宋体" w:cs="宋体"/>
          <w:color w:val="auto"/>
          <w:sz w:val="21"/>
          <w:szCs w:val="21"/>
          <w:highlight w:val="none"/>
        </w:rPr>
        <w:t>资格后审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_Toc26238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_Toc15480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31. </w:t>
      </w:r>
      <w:r>
        <w:rPr>
          <w:rFonts w:hint="eastAsia" w:ascii="宋体" w:hAnsi="宋体" w:eastAsia="宋体" w:cs="宋体"/>
          <w:color w:val="auto"/>
          <w:sz w:val="21"/>
          <w:szCs w:val="21"/>
          <w:highlight w:val="none"/>
        </w:rPr>
        <w:t>合同的签订与履行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_Toc15480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_Toc12919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32. </w:t>
      </w:r>
      <w:r>
        <w:rPr>
          <w:rFonts w:hint="eastAsia" w:ascii="宋体" w:hAnsi="宋体" w:eastAsia="宋体" w:cs="宋体"/>
          <w:color w:val="auto"/>
          <w:sz w:val="21"/>
          <w:szCs w:val="21"/>
          <w:highlight w:val="none"/>
        </w:rPr>
        <w:t>履约担保</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_Toc12919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_Toc12329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33. </w:t>
      </w:r>
      <w:r>
        <w:rPr>
          <w:rFonts w:hint="eastAsia" w:ascii="宋体" w:hAnsi="宋体" w:eastAsia="宋体" w:cs="宋体"/>
          <w:color w:val="auto"/>
          <w:sz w:val="21"/>
          <w:szCs w:val="21"/>
          <w:highlight w:val="none"/>
        </w:rPr>
        <w:t>预付款保函（适用于预付款支付）</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_Toc12329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_Toc439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七、 </w:t>
      </w:r>
      <w:r>
        <w:rPr>
          <w:rFonts w:hint="eastAsia" w:ascii="宋体" w:hAnsi="宋体" w:eastAsia="宋体" w:cs="宋体"/>
          <w:color w:val="auto"/>
          <w:sz w:val="21"/>
          <w:szCs w:val="21"/>
          <w:highlight w:val="none"/>
        </w:rPr>
        <w:t>异议</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_Toc439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_Toc12305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34. </w:t>
      </w:r>
      <w:r>
        <w:rPr>
          <w:rFonts w:hint="eastAsia" w:ascii="宋体" w:hAnsi="宋体" w:eastAsia="宋体" w:cs="宋体"/>
          <w:color w:val="auto"/>
          <w:sz w:val="21"/>
          <w:szCs w:val="21"/>
          <w:highlight w:val="none"/>
        </w:rPr>
        <w:t>异议</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_Toc12305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_Toc29478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八、 </w:t>
      </w:r>
      <w:r>
        <w:rPr>
          <w:rFonts w:hint="eastAsia" w:ascii="宋体" w:hAnsi="宋体" w:eastAsia="宋体" w:cs="宋体"/>
          <w:color w:val="auto"/>
          <w:sz w:val="21"/>
          <w:szCs w:val="21"/>
          <w:highlight w:val="none"/>
        </w:rPr>
        <w:t>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_Toc29478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_Toc23018 </w:instrText>
      </w:r>
      <w:r>
        <w:rPr>
          <w:rFonts w:hint="eastAsia" w:ascii="宋体" w:hAnsi="宋体" w:eastAsia="宋体" w:cs="宋体"/>
          <w:color w:val="auto"/>
          <w:sz w:val="21"/>
          <w:szCs w:val="21"/>
          <w:highlight w:val="none"/>
        </w:rPr>
        <w:fldChar w:fldCharType="separate"/>
      </w:r>
      <w:r>
        <w:rPr>
          <w:rFonts w:hint="default" w:ascii="宋体" w:hAnsi="宋体" w:eastAsia="宋体" w:cs="宋体"/>
          <w:color w:val="auto"/>
          <w:sz w:val="21"/>
          <w:szCs w:val="21"/>
          <w:highlight w:val="none"/>
        </w:rPr>
        <w:t xml:space="preserve">35. </w:t>
      </w:r>
      <w:r>
        <w:rPr>
          <w:rFonts w:hint="eastAsia" w:ascii="宋体" w:hAnsi="宋体" w:eastAsia="宋体" w:cs="宋体"/>
          <w:color w:val="auto"/>
          <w:sz w:val="21"/>
          <w:szCs w:val="21"/>
          <w:highlight w:val="none"/>
        </w:rPr>
        <w:t>采购文件的解释权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_Toc23018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_Toc1601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第五部分  合同条款格式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_Toc1601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_Toc31308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第六部分附件－投标文件格式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_Toc31308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_Toc23713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_Toc26585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val="en-US" w:eastAsia="zh-CN"/>
        </w:rPr>
        <w:t>响应索引表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_Toc26585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_Toc5306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价格文件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_Toc5306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_Toc13034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附件2.开标一览表格式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_Toc13034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_Toc7678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商务文件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_Toc7678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_Toc18857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附件4.投标书格式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_Toc18857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_Toc3568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附件5. 法定代表人证明书格式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_Toc3568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_Toc14903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附件6.法定代表人授权书格式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_Toc14903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_Toc7488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附件7.资格申明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_Toc7488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附件8.营业执照</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_Toc761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_Toc4612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附件9.相关资质证明文件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_Toc4612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_Toc7728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附件10.在经营活动中没有重大违法记录的书面声明格式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_Toc7728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_Toc8176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附件11.承诺书格式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_Toc8176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_Toc29015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附件12.商务需求条款偏离表格式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_Toc29015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附件13.业绩表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_Toc23777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_Toc4082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技术文件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_Toc4082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_Toc5858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rPr>
        <w:t>. 技术规格偏离表格式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_Toc5858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_Toc24086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.项目实施方案格式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_Toc24086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_Toc32544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.实施本项目的有关人员资料表格式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_Toc32544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_Toc22526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.投标保证金汇入情况说明格式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_Toc22526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_Toc31140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.不可撤销履约保函</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_Toc31140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_Toc12128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.预付款保函（适用于预付款支付）</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_Toc12128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_Toc8150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唱标信封</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_Toc8150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_Toc13414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.唱标信封内装（内容务必与投标文件正本一致）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_Toc13414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4"/>
        <w:tabs>
          <w:tab w:val="right" w:leader="dot" w:pos="8306"/>
          <w:tab w:val="clear" w:pos="8296"/>
        </w:tabs>
        <w:ind w:left="0" w:leftChars="0"/>
        <w:rPr>
          <w:rFonts w:cs="宋体"/>
          <w:color w:val="auto"/>
          <w:sz w:val="21"/>
          <w:szCs w:val="21"/>
          <w:highlight w:val="none"/>
        </w:rPr>
      </w:pPr>
      <w:r>
        <w:rPr>
          <w:rFonts w:hint="eastAsia" w:ascii="宋体" w:hAnsi="宋体" w:eastAsia="宋体" w:cs="宋体"/>
          <w:color w:val="auto"/>
          <w:sz w:val="21"/>
          <w:szCs w:val="21"/>
          <w:highlight w:val="none"/>
        </w:rPr>
        <w:fldChar w:fldCharType="end"/>
      </w:r>
    </w:p>
    <w:p>
      <w:pPr>
        <w:rPr>
          <w:rFonts w:ascii="宋体" w:hAnsi="宋体" w:cs="宋体"/>
          <w:color w:val="auto"/>
          <w:szCs w:val="21"/>
          <w:highlight w:val="none"/>
        </w:rPr>
      </w:pPr>
      <w:r>
        <w:rPr>
          <w:rFonts w:hint="eastAsia" w:ascii="宋体" w:hAnsi="宋体" w:cs="宋体"/>
          <w:color w:val="auto"/>
          <w:szCs w:val="21"/>
          <w:highlight w:val="none"/>
        </w:rPr>
        <w:br w:type="page"/>
      </w:r>
    </w:p>
    <w:p>
      <w:pPr>
        <w:pStyle w:val="3"/>
        <w:spacing w:before="0" w:after="0" w:line="240" w:lineRule="auto"/>
        <w:rPr>
          <w:color w:val="auto"/>
          <w:sz w:val="28"/>
          <w:szCs w:val="28"/>
          <w:highlight w:val="none"/>
        </w:rPr>
      </w:pPr>
      <w:bookmarkStart w:id="0" w:name="_Toc19194"/>
      <w:r>
        <w:rPr>
          <w:rFonts w:hint="eastAsia"/>
          <w:color w:val="auto"/>
          <w:sz w:val="28"/>
          <w:szCs w:val="28"/>
          <w:highlight w:val="none"/>
        </w:rPr>
        <w:t>第一部分投标邀请</w:t>
      </w:r>
      <w:bookmarkEnd w:id="0"/>
    </w:p>
    <w:p>
      <w:pPr>
        <w:pStyle w:val="4"/>
        <w:spacing w:before="0" w:after="0" w:line="360" w:lineRule="auto"/>
        <w:jc w:val="center"/>
        <w:rPr>
          <w:rFonts w:ascii="宋体" w:hAnsi="宋体" w:cs="宋体"/>
          <w:color w:val="auto"/>
          <w:highlight w:val="none"/>
        </w:rPr>
      </w:pPr>
      <w:bookmarkStart w:id="1" w:name="_Toc19878"/>
      <w:r>
        <w:rPr>
          <w:rFonts w:hint="eastAsia" w:ascii="宋体" w:hAnsi="宋体" w:cs="宋体"/>
          <w:color w:val="auto"/>
          <w:highlight w:val="none"/>
        </w:rPr>
        <w:t>投标邀请书</w:t>
      </w:r>
      <w:bookmarkEnd w:id="1"/>
    </w:p>
    <w:p>
      <w:pPr>
        <w:ind w:firstLine="422" w:firstLineChars="200"/>
        <w:rPr>
          <w:rFonts w:ascii="宋体" w:hAnsi="宋体"/>
          <w:color w:val="auto"/>
          <w:szCs w:val="21"/>
          <w:highlight w:val="none"/>
        </w:rPr>
      </w:pPr>
      <w:r>
        <w:rPr>
          <w:rFonts w:hint="eastAsia" w:ascii="宋体" w:hAnsi="宋体"/>
          <w:b/>
          <w:bCs/>
          <w:color w:val="auto"/>
          <w:szCs w:val="21"/>
          <w:highlight w:val="none"/>
          <w:u w:val="single"/>
          <w:lang w:eastAsia="zh-CN"/>
        </w:rPr>
        <w:t>广东志合项目管理有限公司</w:t>
      </w:r>
      <w:r>
        <w:rPr>
          <w:rFonts w:ascii="宋体" w:hAnsi="宋体"/>
          <w:color w:val="auto"/>
          <w:szCs w:val="21"/>
          <w:highlight w:val="none"/>
        </w:rPr>
        <w:t>（以下简称</w:t>
      </w:r>
      <w:r>
        <w:rPr>
          <w:rFonts w:hint="eastAsia" w:ascii="宋体" w:hAnsi="宋体"/>
          <w:color w:val="auto"/>
          <w:szCs w:val="21"/>
          <w:highlight w:val="none"/>
        </w:rPr>
        <w:t>“采购代理机构”</w:t>
      </w:r>
      <w:r>
        <w:rPr>
          <w:rFonts w:ascii="宋体" w:hAnsi="宋体"/>
          <w:color w:val="auto"/>
          <w:szCs w:val="21"/>
          <w:highlight w:val="none"/>
        </w:rPr>
        <w:t>）受</w:t>
      </w:r>
      <w:r>
        <w:rPr>
          <w:rFonts w:hint="eastAsia" w:ascii="宋体" w:hAnsi="宋体"/>
          <w:b/>
          <w:color w:val="auto"/>
          <w:szCs w:val="21"/>
          <w:highlight w:val="none"/>
          <w:u w:val="single"/>
          <w:lang w:eastAsia="zh-CN"/>
        </w:rPr>
        <w:t>东莞市新东元环保投资有限公司</w:t>
      </w:r>
      <w:r>
        <w:rPr>
          <w:rFonts w:ascii="宋体" w:hAnsi="宋体"/>
          <w:color w:val="auto"/>
          <w:szCs w:val="21"/>
          <w:highlight w:val="none"/>
        </w:rPr>
        <w:t>（以下简称</w:t>
      </w:r>
      <w:r>
        <w:rPr>
          <w:rFonts w:hint="eastAsia" w:ascii="宋体" w:hAnsi="宋体"/>
          <w:color w:val="auto"/>
          <w:szCs w:val="21"/>
          <w:highlight w:val="none"/>
        </w:rPr>
        <w:t>“采购人”</w:t>
      </w:r>
      <w:r>
        <w:rPr>
          <w:rFonts w:ascii="宋体" w:hAnsi="宋体"/>
          <w:color w:val="auto"/>
          <w:szCs w:val="21"/>
          <w:highlight w:val="none"/>
        </w:rPr>
        <w:t>）委托，</w:t>
      </w:r>
      <w:r>
        <w:rPr>
          <w:rFonts w:hint="eastAsia" w:ascii="宋体" w:hAnsi="宋体"/>
          <w:color w:val="auto"/>
          <w:szCs w:val="21"/>
          <w:highlight w:val="none"/>
        </w:rPr>
        <w:t>现</w:t>
      </w:r>
      <w:r>
        <w:rPr>
          <w:rFonts w:ascii="宋体" w:hAnsi="宋体"/>
          <w:color w:val="auto"/>
          <w:szCs w:val="21"/>
          <w:highlight w:val="none"/>
        </w:rPr>
        <w:t>就</w:t>
      </w:r>
      <w:r>
        <w:rPr>
          <w:rFonts w:hint="eastAsia" w:ascii="宋体" w:hAnsi="宋体"/>
          <w:b/>
          <w:color w:val="auto"/>
          <w:szCs w:val="21"/>
          <w:highlight w:val="none"/>
          <w:u w:val="single"/>
          <w:lang w:eastAsia="zh-CN"/>
        </w:rPr>
        <w:t>东莞市海心沙资源综合利用中心环保热电厂活性炭、石灰采购项目（重新采购）</w:t>
      </w:r>
      <w:r>
        <w:rPr>
          <w:rFonts w:hint="eastAsia" w:ascii="宋体" w:hAnsi="宋体"/>
          <w:color w:val="auto"/>
          <w:szCs w:val="21"/>
          <w:highlight w:val="none"/>
        </w:rPr>
        <w:t>（项目编号：XDY-GK-2023-003）</w:t>
      </w:r>
      <w:r>
        <w:rPr>
          <w:rFonts w:hint="eastAsia" w:ascii="宋体" w:hAnsi="宋体" w:cs="Times New Roman"/>
          <w:color w:val="auto"/>
          <w:szCs w:val="21"/>
          <w:highlight w:val="none"/>
        </w:rPr>
        <w:t>进行国内公开采购</w:t>
      </w:r>
      <w:r>
        <w:rPr>
          <w:rFonts w:hint="eastAsia" w:ascii="宋体" w:hAnsi="宋体"/>
          <w:color w:val="auto"/>
          <w:szCs w:val="21"/>
          <w:highlight w:val="none"/>
        </w:rPr>
        <w:t>，欢迎符合采购文件要求的国内投标人参加投标</w:t>
      </w:r>
      <w:r>
        <w:rPr>
          <w:rFonts w:ascii="宋体" w:hAnsi="宋体"/>
          <w:color w:val="auto"/>
          <w:szCs w:val="21"/>
          <w:highlight w:val="none"/>
        </w:rPr>
        <w:t>。有关事项如下：</w:t>
      </w:r>
    </w:p>
    <w:p>
      <w:pPr>
        <w:ind w:firstLine="413" w:firstLineChars="196"/>
        <w:rPr>
          <w:rFonts w:ascii="宋体" w:hAnsi="宋体"/>
          <w:b/>
          <w:color w:val="auto"/>
          <w:szCs w:val="21"/>
          <w:highlight w:val="none"/>
        </w:rPr>
      </w:pPr>
    </w:p>
    <w:p>
      <w:pPr>
        <w:ind w:firstLine="413"/>
        <w:rPr>
          <w:rFonts w:ascii="宋体" w:hAnsi="宋体"/>
          <w:b/>
          <w:color w:val="auto"/>
          <w:szCs w:val="21"/>
          <w:highlight w:val="none"/>
        </w:rPr>
      </w:pPr>
      <w:r>
        <w:rPr>
          <w:rFonts w:hint="eastAsia" w:ascii="宋体" w:hAnsi="宋体"/>
          <w:b/>
          <w:color w:val="auto"/>
          <w:szCs w:val="21"/>
          <w:highlight w:val="none"/>
        </w:rPr>
        <w:t>一、采购项目概况</w:t>
      </w:r>
    </w:p>
    <w:p>
      <w:pPr>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1</w:t>
      </w:r>
      <w:r>
        <w:rPr>
          <w:rFonts w:hint="eastAsia" w:ascii="宋体" w:hAnsi="宋体"/>
          <w:color w:val="auto"/>
          <w:szCs w:val="21"/>
          <w:highlight w:val="none"/>
        </w:rPr>
        <w:t>、采购</w:t>
      </w:r>
      <w:r>
        <w:rPr>
          <w:rFonts w:ascii="宋体" w:hAnsi="宋体"/>
          <w:color w:val="auto"/>
          <w:szCs w:val="21"/>
          <w:highlight w:val="none"/>
        </w:rPr>
        <w:t>项目名称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b/>
          <w:color w:val="auto"/>
          <w:szCs w:val="21"/>
          <w:highlight w:val="none"/>
          <w:u w:val="single"/>
          <w:lang w:eastAsia="zh-CN"/>
        </w:rPr>
        <w:t>东莞市海心沙资源综合利用中心环保热电厂活性炭、石灰采购项目（重新采购）</w:t>
      </w:r>
    </w:p>
    <w:p>
      <w:pPr>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2、</w:t>
      </w:r>
      <w:r>
        <w:rPr>
          <w:rFonts w:ascii="宋体" w:hAnsi="宋体"/>
          <w:color w:val="auto"/>
          <w:szCs w:val="21"/>
          <w:highlight w:val="none"/>
        </w:rPr>
        <w:t>预算金额（</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color w:val="auto"/>
          <w:szCs w:val="21"/>
          <w:highlight w:val="none"/>
        </w:rPr>
        <w:t>：</w:t>
      </w:r>
      <w:r>
        <w:rPr>
          <w:rFonts w:hint="eastAsia" w:ascii="宋体" w:hAnsi="宋体"/>
          <w:color w:val="auto"/>
          <w:szCs w:val="21"/>
          <w:highlight w:val="none"/>
          <w:u w:val="single"/>
          <w:lang w:val="en-US" w:eastAsia="zh-CN"/>
        </w:rPr>
        <w:t>熟石灰：</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688.00</w:t>
      </w:r>
      <w:r>
        <w:rPr>
          <w:rFonts w:hint="eastAsia" w:ascii="宋体" w:hAnsi="宋体"/>
          <w:color w:val="auto"/>
          <w:szCs w:val="21"/>
          <w:highlight w:val="none"/>
          <w:u w:val="single"/>
        </w:rPr>
        <w:t>元</w:t>
      </w:r>
      <w:r>
        <w:rPr>
          <w:rFonts w:hint="eastAsia" w:ascii="宋体" w:hAnsi="宋体"/>
          <w:color w:val="auto"/>
          <w:szCs w:val="21"/>
          <w:highlight w:val="none"/>
          <w:u w:val="single"/>
          <w:lang w:val="en-US" w:eastAsia="zh-CN"/>
        </w:rPr>
        <w:t>/</w:t>
      </w:r>
      <w:r>
        <w:rPr>
          <w:rFonts w:hint="eastAsia" w:ascii="宋体" w:hAnsi="宋体" w:cs="宋体"/>
          <w:color w:val="auto"/>
          <w:szCs w:val="21"/>
          <w:highlight w:val="none"/>
          <w:u w:val="single"/>
        </w:rPr>
        <w:t>吨</w:t>
      </w:r>
    </w:p>
    <w:p>
      <w:pPr>
        <w:ind w:firstLine="420" w:firstLineChars="200"/>
        <w:rPr>
          <w:rFonts w:ascii="宋体" w:hAnsi="宋体"/>
          <w:color w:val="auto"/>
          <w:szCs w:val="21"/>
          <w:highlight w:val="none"/>
        </w:rPr>
      </w:pPr>
      <w:r>
        <w:rPr>
          <w:rFonts w:hint="eastAsia" w:ascii="宋体" w:hAnsi="宋体"/>
          <w:color w:val="auto"/>
          <w:szCs w:val="21"/>
          <w:highlight w:val="none"/>
        </w:rPr>
        <w:t>3、最高</w:t>
      </w:r>
      <w:r>
        <w:rPr>
          <w:rFonts w:ascii="宋体" w:hAnsi="宋体"/>
          <w:color w:val="auto"/>
          <w:szCs w:val="21"/>
          <w:highlight w:val="none"/>
        </w:rPr>
        <w:t>限价</w:t>
      </w:r>
      <w:r>
        <w:rPr>
          <w:rFonts w:hint="eastAsia" w:ascii="宋体" w:hAnsi="宋体"/>
          <w:color w:val="auto"/>
          <w:szCs w:val="21"/>
          <w:highlight w:val="none"/>
        </w:rPr>
        <w:t>（元）</w:t>
      </w:r>
      <w:r>
        <w:rPr>
          <w:rFonts w:ascii="宋体" w:hAnsi="宋体"/>
          <w:color w:val="auto"/>
          <w:szCs w:val="21"/>
          <w:highlight w:val="none"/>
        </w:rPr>
        <w:t>：</w:t>
      </w:r>
      <w:r>
        <w:rPr>
          <w:rFonts w:hint="eastAsia" w:ascii="宋体" w:hAnsi="宋体"/>
          <w:color w:val="auto"/>
          <w:szCs w:val="21"/>
          <w:highlight w:val="none"/>
          <w:u w:val="single"/>
          <w:lang w:val="en-US" w:eastAsia="zh-CN"/>
        </w:rPr>
        <w:t>熟石灰：</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688.00</w:t>
      </w:r>
      <w:r>
        <w:rPr>
          <w:rFonts w:hint="eastAsia" w:ascii="宋体" w:hAnsi="宋体"/>
          <w:color w:val="auto"/>
          <w:szCs w:val="21"/>
          <w:highlight w:val="none"/>
          <w:u w:val="single"/>
        </w:rPr>
        <w:t>元</w:t>
      </w:r>
      <w:r>
        <w:rPr>
          <w:rFonts w:hint="eastAsia" w:ascii="宋体" w:hAnsi="宋体"/>
          <w:color w:val="auto"/>
          <w:szCs w:val="21"/>
          <w:highlight w:val="none"/>
          <w:u w:val="single"/>
          <w:lang w:val="en-US" w:eastAsia="zh-CN"/>
        </w:rPr>
        <w:t>/</w:t>
      </w:r>
      <w:r>
        <w:rPr>
          <w:rFonts w:hint="eastAsia" w:ascii="宋体" w:hAnsi="宋体" w:cs="宋体"/>
          <w:color w:val="auto"/>
          <w:szCs w:val="21"/>
          <w:highlight w:val="none"/>
          <w:u w:val="single"/>
        </w:rPr>
        <w:t>吨</w:t>
      </w:r>
    </w:p>
    <w:p>
      <w:pPr>
        <w:ind w:firstLine="420" w:firstLineChars="200"/>
        <w:rPr>
          <w:rFonts w:ascii="宋体" w:hAnsi="宋体"/>
          <w:color w:val="auto"/>
          <w:szCs w:val="21"/>
          <w:highlight w:val="none"/>
        </w:rPr>
      </w:pPr>
      <w:r>
        <w:rPr>
          <w:rFonts w:hint="eastAsia" w:ascii="宋体" w:hAnsi="宋体"/>
          <w:color w:val="auto"/>
          <w:szCs w:val="21"/>
          <w:highlight w:val="none"/>
        </w:rPr>
        <w:t>4、项目内容</w:t>
      </w:r>
    </w:p>
    <w:tbl>
      <w:tblPr>
        <w:tblStyle w:val="28"/>
        <w:tblW w:w="49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935"/>
        <w:gridCol w:w="2132"/>
        <w:gridCol w:w="4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77"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采购包号</w:t>
            </w:r>
          </w:p>
        </w:tc>
        <w:tc>
          <w:tcPr>
            <w:tcW w:w="1031"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项目内容</w:t>
            </w:r>
          </w:p>
        </w:tc>
        <w:tc>
          <w:tcPr>
            <w:tcW w:w="1136"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计划采购供货量</w:t>
            </w:r>
          </w:p>
        </w:tc>
        <w:tc>
          <w:tcPr>
            <w:tcW w:w="2254" w:type="pct"/>
            <w:vAlign w:val="center"/>
          </w:tcPr>
          <w:p>
            <w:pPr>
              <w:spacing w:line="240" w:lineRule="auto"/>
              <w:jc w:val="center"/>
              <w:rPr>
                <w:rFonts w:ascii="宋体" w:hAnsi="宋体" w:cs="宋体"/>
                <w:color w:val="auto"/>
                <w:kern w:val="28"/>
                <w:szCs w:val="21"/>
                <w:highlight w:val="none"/>
              </w:rPr>
            </w:pPr>
            <w:r>
              <w:rPr>
                <w:rFonts w:hint="eastAsia" w:ascii="宋体" w:hAnsi="宋体" w:cs="宋体"/>
                <w:color w:val="auto"/>
                <w:kern w:val="28"/>
                <w:szCs w:val="21"/>
                <w:highlight w:val="none"/>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77" w:type="pct"/>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A</w:t>
            </w:r>
          </w:p>
        </w:tc>
        <w:tc>
          <w:tcPr>
            <w:tcW w:w="1031"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熟石灰</w:t>
            </w:r>
          </w:p>
        </w:tc>
        <w:tc>
          <w:tcPr>
            <w:tcW w:w="1136" w:type="pct"/>
            <w:vAlign w:val="center"/>
          </w:tcPr>
          <w:p>
            <w:pPr>
              <w:spacing w:line="24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约</w:t>
            </w:r>
            <w:r>
              <w:rPr>
                <w:rFonts w:ascii="宋体" w:hAnsi="宋体" w:cs="宋体"/>
                <w:color w:val="auto"/>
                <w:szCs w:val="21"/>
                <w:highlight w:val="none"/>
              </w:rPr>
              <w:t>130</w:t>
            </w:r>
            <w:r>
              <w:rPr>
                <w:rFonts w:hint="eastAsia" w:ascii="宋体" w:hAnsi="宋体" w:cs="宋体"/>
                <w:color w:val="auto"/>
                <w:szCs w:val="21"/>
                <w:highlight w:val="none"/>
              </w:rPr>
              <w:t>00吨</w:t>
            </w:r>
          </w:p>
        </w:tc>
        <w:tc>
          <w:tcPr>
            <w:tcW w:w="2254" w:type="pct"/>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自合同签订之日起</w:t>
            </w:r>
            <w:r>
              <w:rPr>
                <w:rFonts w:hint="eastAsia" w:ascii="宋体" w:hAnsi="宋体" w:cs="宋体"/>
                <w:color w:val="auto"/>
                <w:szCs w:val="21"/>
                <w:highlight w:val="none"/>
                <w:lang w:val="en-US" w:eastAsia="zh-CN"/>
              </w:rPr>
              <w:t>为期</w:t>
            </w:r>
            <w:r>
              <w:rPr>
                <w:rFonts w:hint="eastAsia" w:ascii="宋体" w:hAnsi="宋体" w:cs="宋体"/>
                <w:color w:val="auto"/>
                <w:szCs w:val="21"/>
                <w:highlight w:val="none"/>
              </w:rPr>
              <w:t>1年</w:t>
            </w:r>
          </w:p>
        </w:tc>
      </w:tr>
    </w:tbl>
    <w:p>
      <w:pPr>
        <w:ind w:firstLine="420" w:firstLineChars="200"/>
        <w:rPr>
          <w:rFonts w:hint="eastAsia"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5、项目需求</w:t>
      </w:r>
    </w:p>
    <w:p>
      <w:pPr>
        <w:ind w:firstLine="420" w:firstLineChars="200"/>
        <w:rPr>
          <w:rFonts w:ascii="宋体" w:hAnsi="宋体"/>
          <w:color w:val="auto"/>
          <w:szCs w:val="21"/>
          <w:highlight w:val="none"/>
        </w:rPr>
      </w:pPr>
      <w:r>
        <w:rPr>
          <w:rFonts w:hint="eastAsia" w:ascii="宋体" w:hAnsi="宋体"/>
          <w:color w:val="auto"/>
          <w:szCs w:val="21"/>
          <w:highlight w:val="none"/>
        </w:rPr>
        <w:t>详细内容请参阅采购文件第三部分《用户需求书》。</w:t>
      </w:r>
    </w:p>
    <w:p>
      <w:pPr>
        <w:ind w:firstLine="413" w:firstLineChars="196"/>
        <w:rPr>
          <w:rFonts w:ascii="宋体" w:hAnsi="宋体"/>
          <w:b/>
          <w:color w:val="auto"/>
          <w:szCs w:val="21"/>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二、投标人资格要求</w:t>
      </w:r>
    </w:p>
    <w:p>
      <w:pPr>
        <w:ind w:firstLine="420" w:firstLineChars="200"/>
        <w:rPr>
          <w:rFonts w:hint="eastAsia" w:ascii="宋体" w:hAnsi="宋体"/>
          <w:color w:val="auto"/>
          <w:szCs w:val="21"/>
          <w:highlight w:val="none"/>
        </w:rPr>
      </w:pPr>
      <w:r>
        <w:rPr>
          <w:rFonts w:hint="eastAsia" w:ascii="宋体" w:hAnsi="宋体"/>
          <w:color w:val="auto"/>
          <w:szCs w:val="21"/>
          <w:highlight w:val="none"/>
        </w:rPr>
        <w:t>1、在中华人民共和国境内注册具有独立承担民事责任能力的企业法人</w:t>
      </w:r>
      <w:r>
        <w:rPr>
          <w:rFonts w:hint="eastAsia" w:ascii="宋体" w:hAnsi="宋体"/>
          <w:color w:val="auto"/>
          <w:szCs w:val="21"/>
          <w:highlight w:val="none"/>
          <w:lang w:val="en-US" w:eastAsia="zh-CN"/>
        </w:rPr>
        <w:t>（</w:t>
      </w:r>
      <w:r>
        <w:rPr>
          <w:rFonts w:hint="eastAsia" w:ascii="宋体" w:hAnsi="宋体"/>
          <w:color w:val="auto"/>
          <w:szCs w:val="21"/>
          <w:highlight w:val="none"/>
        </w:rPr>
        <w:t>投标人提供营业执照、税务登记证书、企业组织机构代码证（如三证合一，仅需提供营业执照）复印件加盖投标人公章</w:t>
      </w:r>
      <w:r>
        <w:rPr>
          <w:rFonts w:hint="eastAsia" w:ascii="宋体" w:hAnsi="宋体"/>
          <w:color w:val="auto"/>
          <w:szCs w:val="21"/>
          <w:highlight w:val="none"/>
          <w:lang w:val="en-US" w:eastAsia="zh-CN"/>
        </w:rPr>
        <w:t>）</w:t>
      </w:r>
      <w:r>
        <w:rPr>
          <w:rFonts w:hint="eastAsia" w:ascii="宋体" w:hAnsi="宋体"/>
          <w:color w:val="auto"/>
          <w:szCs w:val="21"/>
          <w:highlight w:val="none"/>
        </w:rPr>
        <w:t>。</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投标人须为所投产品生产厂家：提供生态环境主管部门或相关行政主管部门核发的合法有效的环评批复（批复内容须体现含投标产品）及《排污许可证》（或固定污染源排污相关登记证明）（提供相关证明文件复印件加盖投标人公章）。</w:t>
      </w:r>
    </w:p>
    <w:p>
      <w:pPr>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3、投标人20</w:t>
      </w:r>
      <w:r>
        <w:rPr>
          <w:rFonts w:hint="eastAsia" w:ascii="宋体" w:hAnsi="宋体"/>
          <w:color w:val="auto"/>
          <w:szCs w:val="21"/>
          <w:highlight w:val="none"/>
          <w:lang w:val="en-US" w:eastAsia="zh-CN"/>
        </w:rPr>
        <w:t>20</w:t>
      </w:r>
      <w:r>
        <w:rPr>
          <w:rFonts w:hint="eastAsia" w:ascii="宋体" w:hAnsi="宋体"/>
          <w:color w:val="auto"/>
          <w:szCs w:val="21"/>
          <w:highlight w:val="none"/>
        </w:rPr>
        <w:t>年1月1日至</w:t>
      </w:r>
      <w:r>
        <w:rPr>
          <w:rFonts w:hint="eastAsia" w:ascii="宋体" w:hAnsi="宋体"/>
          <w:color w:val="auto"/>
          <w:szCs w:val="21"/>
          <w:highlight w:val="none"/>
          <w:lang w:eastAsia="zh-CN"/>
        </w:rPr>
        <w:t>采购</w:t>
      </w:r>
      <w:r>
        <w:rPr>
          <w:rFonts w:hint="eastAsia" w:ascii="宋体" w:hAnsi="宋体"/>
          <w:color w:val="auto"/>
          <w:szCs w:val="21"/>
          <w:highlight w:val="none"/>
        </w:rPr>
        <w:t>公告发布之日（</w:t>
      </w:r>
      <w:r>
        <w:rPr>
          <w:rFonts w:hint="eastAsia" w:ascii="宋体" w:hAnsi="宋体"/>
          <w:color w:val="auto"/>
          <w:sz w:val="21"/>
          <w:szCs w:val="21"/>
          <w:highlight w:val="none"/>
        </w:rPr>
        <w:t>以合同签订时间或合同有效期为准</w:t>
      </w:r>
      <w:r>
        <w:rPr>
          <w:rFonts w:hint="eastAsia" w:ascii="宋体" w:hAnsi="宋体"/>
          <w:color w:val="auto"/>
          <w:szCs w:val="21"/>
          <w:highlight w:val="none"/>
        </w:rPr>
        <w:t>）至少具有垃圾发电厂熟石灰业绩合同2份，且每份不小于7000吨的供货合同</w:t>
      </w:r>
      <w:bookmarkStart w:id="2" w:name="_Hlk104292509"/>
      <w:r>
        <w:rPr>
          <w:rFonts w:hint="eastAsia" w:ascii="宋体" w:hAnsi="宋体"/>
          <w:color w:val="auto"/>
          <w:szCs w:val="21"/>
          <w:highlight w:val="none"/>
          <w:lang w:val="en-US" w:eastAsia="zh-CN"/>
        </w:rPr>
        <w:t>(</w:t>
      </w:r>
      <w:r>
        <w:rPr>
          <w:rFonts w:hint="eastAsia" w:ascii="宋体" w:hAnsi="宋体"/>
          <w:color w:val="auto"/>
          <w:szCs w:val="21"/>
          <w:highlight w:val="none"/>
        </w:rPr>
        <w:t>需提供合同关键页及供货期限内任意一期发票</w:t>
      </w:r>
      <w:bookmarkEnd w:id="2"/>
      <w:r>
        <w:rPr>
          <w:rFonts w:hint="eastAsia" w:ascii="宋体" w:hAnsi="宋体"/>
          <w:color w:val="auto"/>
          <w:szCs w:val="21"/>
          <w:highlight w:val="none"/>
        </w:rPr>
        <w:t>复印件加盖投标人公章</w:t>
      </w:r>
      <w:r>
        <w:rPr>
          <w:rFonts w:hint="eastAsia" w:ascii="宋体" w:hAnsi="宋体"/>
          <w:color w:val="auto"/>
          <w:szCs w:val="21"/>
          <w:highlight w:val="none"/>
          <w:lang w:val="en-US" w:eastAsia="zh-CN"/>
        </w:rPr>
        <w:t>)</w:t>
      </w:r>
      <w:r>
        <w:rPr>
          <w:rFonts w:hint="eastAsia" w:ascii="宋体" w:hAnsi="宋体"/>
          <w:color w:val="auto"/>
          <w:szCs w:val="21"/>
          <w:highlight w:val="none"/>
        </w:rPr>
        <w:t>。如投标人合同关键页不能体现供货量的，则除上述材料外还需提供供货量证明（签字确认的送货单或相关验收证明材料或由买方出具的证明文件）。</w:t>
      </w:r>
    </w:p>
    <w:p>
      <w:pPr>
        <w:ind w:firstLine="420" w:firstLineChars="200"/>
        <w:rPr>
          <w:rFonts w:hint="eastAsia" w:ascii="宋体" w:hAnsi="宋体"/>
          <w:color w:val="auto"/>
          <w:szCs w:val="21"/>
          <w:highlight w:val="none"/>
        </w:rPr>
      </w:pPr>
      <w:r>
        <w:rPr>
          <w:rFonts w:hint="eastAsia" w:ascii="宋体" w:hAnsi="宋体"/>
          <w:color w:val="auto"/>
          <w:szCs w:val="21"/>
          <w:highlight w:val="none"/>
        </w:rPr>
        <w:t>4、投标人须提供所投产品202</w:t>
      </w:r>
      <w:r>
        <w:rPr>
          <w:rFonts w:hint="eastAsia" w:ascii="宋体" w:hAnsi="宋体"/>
          <w:color w:val="auto"/>
          <w:szCs w:val="21"/>
          <w:highlight w:val="none"/>
          <w:lang w:val="en-US" w:eastAsia="zh-CN"/>
        </w:rPr>
        <w:t>2</w:t>
      </w:r>
      <w:r>
        <w:rPr>
          <w:rFonts w:hint="eastAsia" w:ascii="宋体" w:hAnsi="宋体"/>
          <w:color w:val="auto"/>
          <w:szCs w:val="21"/>
          <w:highlight w:val="none"/>
        </w:rPr>
        <w:t>年1月1日至</w:t>
      </w:r>
      <w:r>
        <w:rPr>
          <w:rFonts w:hint="eastAsia" w:ascii="宋体" w:hAnsi="宋体"/>
          <w:color w:val="auto"/>
          <w:szCs w:val="21"/>
          <w:highlight w:val="none"/>
          <w:lang w:eastAsia="zh-CN"/>
        </w:rPr>
        <w:t>采购</w:t>
      </w:r>
      <w:r>
        <w:rPr>
          <w:rFonts w:hint="eastAsia" w:ascii="宋体" w:hAnsi="宋体"/>
          <w:color w:val="auto"/>
          <w:szCs w:val="21"/>
          <w:highlight w:val="none"/>
        </w:rPr>
        <w:t>公告发布之日具有检测资质的第三方检测公司出具的检测报告复印件加盖投标人公章</w:t>
      </w:r>
      <w:r>
        <w:rPr>
          <w:rFonts w:hint="eastAsia" w:ascii="宋体" w:hAnsi="宋体"/>
          <w:color w:val="auto"/>
          <w:szCs w:val="21"/>
          <w:highlight w:val="none"/>
          <w:lang w:val="en-US" w:eastAsia="zh-CN"/>
        </w:rPr>
        <w:t>(</w:t>
      </w:r>
      <w:r>
        <w:rPr>
          <w:rFonts w:hint="eastAsia" w:ascii="宋体" w:hAnsi="宋体"/>
          <w:color w:val="auto"/>
          <w:szCs w:val="21"/>
          <w:highlight w:val="none"/>
        </w:rPr>
        <w:t>检测报告须含Ca(OH) 2纯度 ≥95%、粒度：325目筛通过率≥95%、比表面积（BET）≥18㎡/g等指标</w:t>
      </w:r>
      <w:r>
        <w:rPr>
          <w:rFonts w:hint="eastAsia" w:ascii="宋体" w:hAnsi="宋体"/>
          <w:color w:val="auto"/>
          <w:szCs w:val="21"/>
          <w:highlight w:val="none"/>
          <w:lang w:val="en-US" w:eastAsia="zh-CN"/>
        </w:rPr>
        <w:t>)</w:t>
      </w:r>
      <w:r>
        <w:rPr>
          <w:rFonts w:hint="eastAsia" w:ascii="宋体" w:hAnsi="宋体"/>
          <w:color w:val="auto"/>
          <w:szCs w:val="21"/>
          <w:highlight w:val="none"/>
        </w:rPr>
        <w:t>。</w:t>
      </w:r>
    </w:p>
    <w:p>
      <w:pPr>
        <w:ind w:firstLine="420" w:firstLineChars="200"/>
        <w:rPr>
          <w:rFonts w:hint="eastAsia" w:ascii="宋体" w:hAnsi="宋体"/>
          <w:color w:val="auto"/>
          <w:szCs w:val="21"/>
          <w:highlight w:val="none"/>
        </w:rPr>
      </w:pPr>
      <w:r>
        <w:rPr>
          <w:rFonts w:hint="eastAsia" w:ascii="宋体" w:hAnsi="宋体"/>
          <w:color w:val="auto"/>
          <w:szCs w:val="21"/>
          <w:highlight w:val="none"/>
        </w:rPr>
        <w:t>5、凡两家或以上投标人参加同一项目的投标，有如下情况之一的，一经发现将视同串标处理：A、为同一法定代表人的；B、为同一股东控股的；C、其中一家公司为其他公司最大股东的。</w:t>
      </w:r>
    </w:p>
    <w:p>
      <w:pPr>
        <w:ind w:firstLine="420" w:firstLineChars="200"/>
        <w:rPr>
          <w:rFonts w:hint="eastAsia" w:ascii="宋体" w:hAnsi="宋体"/>
          <w:color w:val="auto"/>
          <w:szCs w:val="21"/>
          <w:highlight w:val="none"/>
        </w:rPr>
      </w:pPr>
      <w:r>
        <w:rPr>
          <w:rFonts w:hint="eastAsia" w:ascii="宋体" w:hAnsi="宋体"/>
          <w:color w:val="auto"/>
          <w:szCs w:val="21"/>
          <w:highlight w:val="none"/>
        </w:rPr>
        <w:t>6、未被列入“信用中国”网站(www.creditchina.gov.cn )“记录失信被执行人或税收违法黑名单”记录名单。以招标代理机构于投标截止日当天在“信用中国”网站查询结果为准，如相关失信记录已失效，投标人须提供相关证明资料。</w:t>
      </w:r>
    </w:p>
    <w:p>
      <w:pPr>
        <w:ind w:firstLine="420" w:firstLineChars="200"/>
        <w:rPr>
          <w:rFonts w:hint="eastAsia" w:ascii="宋体" w:hAnsi="宋体"/>
          <w:color w:val="auto"/>
          <w:szCs w:val="21"/>
          <w:highlight w:val="none"/>
        </w:rPr>
      </w:pPr>
      <w:r>
        <w:rPr>
          <w:rFonts w:hint="eastAsia" w:ascii="宋体" w:hAnsi="宋体"/>
          <w:color w:val="auto"/>
          <w:szCs w:val="21"/>
          <w:highlight w:val="none"/>
        </w:rPr>
        <w:t>7、投标人（含投标人依法设立的分公司）在投标前1年内（202</w:t>
      </w:r>
      <w:r>
        <w:rPr>
          <w:rFonts w:hint="eastAsia" w:ascii="宋体" w:hAnsi="宋体"/>
          <w:color w:val="auto"/>
          <w:szCs w:val="21"/>
          <w:highlight w:val="none"/>
          <w:lang w:val="en-US" w:eastAsia="zh-CN"/>
        </w:rPr>
        <w:t>2</w:t>
      </w:r>
      <w:r>
        <w:rPr>
          <w:rFonts w:hint="eastAsia" w:ascii="宋体" w:hAnsi="宋体"/>
          <w:color w:val="auto"/>
          <w:szCs w:val="21"/>
          <w:highlight w:val="none"/>
        </w:rPr>
        <w:t>年1月1日以来）未受到生态环境主管部门给予的暂扣许可证件、降低资质等级、吊销许可证件、限制开展生产经营活动、责令停产停业、责令关闭和限制从业等行政处罚，投标人提供书面声明函加盖投标人法人公章。如投标人在此项内容中作出虚假声明（或未能如实声明）的，一经发现视为虚假应标，取消其投标（中标）资格，</w:t>
      </w:r>
      <w:r>
        <w:rPr>
          <w:rFonts w:hint="eastAsia" w:ascii="宋体" w:hAnsi="宋体"/>
          <w:color w:val="auto"/>
          <w:szCs w:val="21"/>
          <w:highlight w:val="none"/>
          <w:lang w:eastAsia="zh-CN"/>
        </w:rPr>
        <w:t>采购人</w:t>
      </w:r>
      <w:r>
        <w:rPr>
          <w:rFonts w:hint="eastAsia" w:ascii="宋体" w:hAnsi="宋体"/>
          <w:color w:val="auto"/>
          <w:szCs w:val="21"/>
          <w:highlight w:val="none"/>
        </w:rPr>
        <w:t>将没收其投标保证金。（格式详见第六部分附件-投标文件格式“8-1 关于行政处罚声明”）</w:t>
      </w:r>
    </w:p>
    <w:p>
      <w:pPr>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8、投标人最近3年内（2020年1月1日以来）在参与采购人任一采购项目时未出现过提供虚假资料或未通过资格后审的情形，投标人提供书面声明函加盖投标人法人公章。如投标人在此项内容中作出虚假声明（或未能如实声明）的，一经发现视为虚假应标，取消其投标（中标）资格，采购人将没收其投标保证金。（格式详见第六部分附件-投标文件格式“8-2 诚信声明”）</w:t>
      </w:r>
    </w:p>
    <w:p>
      <w:pPr>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、本项目不接受联合体。</w:t>
      </w:r>
    </w:p>
    <w:p>
      <w:pPr>
        <w:ind w:firstLine="413" w:firstLineChars="196"/>
        <w:rPr>
          <w:rFonts w:ascii="宋体" w:hAnsi="宋体"/>
          <w:b/>
          <w:color w:val="auto"/>
          <w:szCs w:val="21"/>
          <w:highlight w:val="none"/>
        </w:rPr>
      </w:pPr>
      <w:r>
        <w:rPr>
          <w:rFonts w:hint="eastAsia" w:ascii="宋体" w:hAnsi="宋体"/>
          <w:b/>
          <w:color w:val="auto"/>
          <w:szCs w:val="21"/>
          <w:highlight w:val="none"/>
        </w:rPr>
        <w:t>三、获取采购文件方式及要求：</w:t>
      </w:r>
    </w:p>
    <w:p>
      <w:pPr>
        <w:wordWrap w:val="0"/>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本项目不进行实名登记报名，拟参加投标的投标人可于投标截止时间前自行网上下载采购文件。</w:t>
      </w:r>
      <w:r>
        <w:rPr>
          <w:rFonts w:ascii="宋体" w:hAnsi="宋体" w:cs="宋体"/>
          <w:color w:val="auto"/>
          <w:szCs w:val="21"/>
          <w:highlight w:val="none"/>
        </w:rPr>
        <w:t>采购文件下载地址：</w:t>
      </w:r>
      <w:r>
        <w:rPr>
          <w:rFonts w:hint="eastAsia" w:ascii="宋体" w:hAnsi="宋体"/>
          <w:color w:val="auto"/>
          <w:sz w:val="21"/>
          <w:szCs w:val="21"/>
          <w:highlight w:val="none"/>
        </w:rPr>
        <w:t>中国招标投标公共服务平台（www.cebpubservice.com）、东莞实业投资控股集团网站-招标采购栏目（</w:t>
      </w:r>
      <w:r>
        <w:rPr>
          <w:rFonts w:hint="eastAsia" w:ascii="宋体" w:hAnsi="宋体" w:eastAsia="宋体" w:cs="宋体"/>
          <w:color w:val="auto"/>
          <w:sz w:val="21"/>
          <w:szCs w:val="21"/>
          <w:highlight w:val="none"/>
          <w:u w:val="single"/>
        </w:rPr>
        <w:t>http://www.dgsy.com.cn/</w:t>
      </w:r>
      <w:r>
        <w:rPr>
          <w:rFonts w:hint="eastAsia" w:ascii="宋体" w:hAnsi="宋体"/>
          <w:color w:val="auto"/>
          <w:sz w:val="21"/>
          <w:szCs w:val="21"/>
          <w:highlight w:val="none"/>
        </w:rPr>
        <w:t>）、</w:t>
      </w:r>
      <w:r>
        <w:rPr>
          <w:rFonts w:hint="eastAsia" w:ascii="宋体" w:hAnsi="宋体" w:cs="宋体"/>
          <w:color w:val="auto"/>
          <w:szCs w:val="21"/>
          <w:highlight w:val="none"/>
          <w:u w:val="single"/>
        </w:rPr>
        <w:t>广东东实环境股份有限公司网站（http://www.dshuanbao.com.cn/）</w:t>
      </w:r>
      <w:r>
        <w:rPr>
          <w:rFonts w:hint="eastAsia" w:ascii="宋体" w:hAnsi="宋体"/>
          <w:color w:val="auto"/>
          <w:sz w:val="21"/>
          <w:szCs w:val="21"/>
          <w:highlight w:val="none"/>
        </w:rPr>
        <w:t>及</w:t>
      </w:r>
      <w:r>
        <w:rPr>
          <w:rFonts w:hint="eastAsia" w:ascii="宋体" w:hAnsi="宋体" w:cs="宋体"/>
          <w:color w:val="auto"/>
          <w:sz w:val="21"/>
          <w:szCs w:val="21"/>
          <w:highlight w:val="none"/>
        </w:rPr>
        <w:t>招标代理机构公司网站（</w:t>
      </w:r>
      <w:r>
        <w:rPr>
          <w:rFonts w:hint="eastAsia" w:ascii="宋体" w:hAnsi="宋体" w:cs="宋体"/>
          <w:color w:val="auto"/>
          <w:szCs w:val="21"/>
          <w:highlight w:val="none"/>
          <w:u w:val="single"/>
        </w:rPr>
        <w:t>http://www.gdzhihe.cn/</w:t>
      </w:r>
      <w:r>
        <w:rPr>
          <w:rFonts w:hint="eastAsia" w:ascii="宋体" w:hAnsi="宋体" w:cs="宋体"/>
          <w:color w:val="auto"/>
          <w:sz w:val="21"/>
          <w:szCs w:val="21"/>
          <w:highlight w:val="none"/>
        </w:rPr>
        <w:t>）</w:t>
      </w:r>
      <w:r>
        <w:rPr>
          <w:rFonts w:hint="eastAsia" w:ascii="宋体" w:hAnsi="宋体" w:cs="宋体"/>
          <w:color w:val="auto"/>
          <w:spacing w:val="-6"/>
          <w:sz w:val="21"/>
          <w:szCs w:val="21"/>
          <w:highlight w:val="none"/>
        </w:rPr>
        <w:t>下载</w:t>
      </w:r>
      <w:r>
        <w:rPr>
          <w:rFonts w:hint="eastAsia" w:ascii="宋体" w:hAnsi="宋体" w:cs="宋体"/>
          <w:color w:val="auto"/>
          <w:szCs w:val="21"/>
          <w:highlight w:val="none"/>
        </w:rPr>
        <w:t>。</w:t>
      </w:r>
    </w:p>
    <w:p>
      <w:pPr>
        <w:rPr>
          <w:color w:val="auto"/>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四、投标文件的递交</w:t>
      </w:r>
    </w:p>
    <w:p>
      <w:pPr>
        <w:spacing w:line="360" w:lineRule="auto"/>
        <w:ind w:firstLine="420" w:firstLineChars="200"/>
        <w:rPr>
          <w:rFonts w:hint="eastAsia" w:ascii="宋体" w:hAnsi="宋体" w:eastAsia="宋体" w:cs="宋体"/>
          <w:color w:val="auto"/>
          <w:sz w:val="24"/>
          <w:szCs w:val="24"/>
          <w:highlight w:val="none"/>
        </w:rPr>
      </w:pPr>
      <w:r>
        <w:rPr>
          <w:rFonts w:hint="eastAsia" w:ascii="宋体" w:hAnsi="宋体"/>
          <w:color w:val="auto"/>
          <w:szCs w:val="21"/>
          <w:highlight w:val="none"/>
        </w:rPr>
        <w:t>1、</w:t>
      </w:r>
      <w:r>
        <w:rPr>
          <w:rFonts w:hint="eastAsia" w:ascii="宋体" w:hAnsi="宋体" w:eastAsia="宋体" w:cs="宋体"/>
          <w:color w:val="auto"/>
          <w:sz w:val="24"/>
          <w:szCs w:val="24"/>
          <w:highlight w:val="none"/>
        </w:rPr>
        <w:t>递交投标文件时间：20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年</w:t>
      </w:r>
      <w:r>
        <w:rPr>
          <w:rFonts w:hint="eastAsia" w:hAnsi="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rPr>
        <w:t>日（北京时间）</w:t>
      </w:r>
      <w:r>
        <w:rPr>
          <w:rFonts w:hint="eastAsia" w:ascii="宋体" w:hAnsi="宋体" w:eastAsia="宋体" w:cs="宋体"/>
          <w:color w:val="auto"/>
          <w:sz w:val="24"/>
          <w:szCs w:val="24"/>
          <w:highlight w:val="none"/>
          <w:u w:val="single"/>
          <w:lang w:val="en-US" w:eastAsia="zh-CN"/>
        </w:rPr>
        <w:t>14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14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rPr>
        <w:t>。</w:t>
      </w:r>
    </w:p>
    <w:p>
      <w:pPr>
        <w:ind w:firstLine="480" w:firstLineChars="200"/>
        <w:rPr>
          <w:rFonts w:ascii="宋体" w:hAnsi="宋体"/>
          <w:b/>
          <w:color w:val="auto"/>
          <w:szCs w:val="21"/>
          <w:highlight w:val="none"/>
        </w:rPr>
      </w:pPr>
      <w:r>
        <w:rPr>
          <w:rFonts w:hint="eastAsia" w:ascii="宋体" w:hAnsi="宋体" w:eastAsia="宋体" w:cs="宋体"/>
          <w:color w:val="auto"/>
          <w:sz w:val="24"/>
          <w:szCs w:val="24"/>
          <w:highlight w:val="none"/>
        </w:rPr>
        <w:t>2、递交投标文件截止及开标时间：20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年</w:t>
      </w:r>
      <w:r>
        <w:rPr>
          <w:rFonts w:hint="eastAsia" w:hAnsi="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14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rPr>
        <w:t>（北京时间），所有投标文件应于截止时间之前递交，迟交或以电报、传真形式的投标文件将拒绝接收</w:t>
      </w:r>
      <w:r>
        <w:rPr>
          <w:rFonts w:hint="eastAsia" w:ascii="宋体" w:hAnsi="宋体"/>
          <w:color w:val="auto"/>
          <w:szCs w:val="21"/>
          <w:highlight w:val="none"/>
        </w:rPr>
        <w:t>。</w:t>
      </w:r>
    </w:p>
    <w:p>
      <w:pPr>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开标地点</w:t>
      </w:r>
      <w:r>
        <w:rPr>
          <w:rFonts w:hint="eastAsia" w:ascii="宋体" w:hAnsi="宋体"/>
          <w:color w:val="auto"/>
          <w:szCs w:val="21"/>
          <w:highlight w:val="none"/>
        </w:rPr>
        <w:t>：</w:t>
      </w:r>
      <w:r>
        <w:rPr>
          <w:rFonts w:hint="eastAsia" w:ascii="宋体" w:hAnsi="宋体" w:cs="宋体"/>
          <w:color w:val="auto"/>
          <w:szCs w:val="21"/>
          <w:highlight w:val="none"/>
          <w:u w:val="single"/>
          <w:lang w:val="zh-TW" w:eastAsia="zh-TW"/>
        </w:rPr>
        <w:t>广东省东莞市南城街道西平三路</w:t>
      </w: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zh-TW" w:eastAsia="zh-TW"/>
        </w:rPr>
        <w:t>号</w:t>
      </w:r>
      <w:r>
        <w:rPr>
          <w:rFonts w:hint="eastAsia" w:ascii="宋体" w:hAnsi="宋体" w:cs="宋体"/>
          <w:color w:val="auto"/>
          <w:szCs w:val="21"/>
          <w:highlight w:val="none"/>
          <w:u w:val="single"/>
        </w:rPr>
        <w:t>2</w:t>
      </w:r>
      <w:r>
        <w:rPr>
          <w:rFonts w:hint="eastAsia" w:ascii="宋体" w:hAnsi="宋体" w:cs="宋体"/>
          <w:color w:val="auto"/>
          <w:szCs w:val="21"/>
          <w:highlight w:val="none"/>
          <w:u w:val="single"/>
          <w:lang w:val="zh-TW" w:eastAsia="zh-TW"/>
        </w:rPr>
        <w:t>栋</w:t>
      </w:r>
      <w:r>
        <w:rPr>
          <w:rFonts w:hint="eastAsia" w:ascii="宋体" w:hAnsi="宋体" w:cs="宋体"/>
          <w:color w:val="auto"/>
          <w:szCs w:val="21"/>
          <w:highlight w:val="none"/>
          <w:u w:val="single"/>
        </w:rPr>
        <w:t>11</w:t>
      </w:r>
      <w:r>
        <w:rPr>
          <w:rFonts w:hint="eastAsia" w:ascii="宋体" w:hAnsi="宋体" w:cs="宋体"/>
          <w:color w:val="auto"/>
          <w:szCs w:val="21"/>
          <w:highlight w:val="none"/>
          <w:u w:val="single"/>
          <w:lang w:val="zh-TW" w:eastAsia="zh-TW"/>
        </w:rPr>
        <w:t>单元</w:t>
      </w:r>
      <w:r>
        <w:rPr>
          <w:rFonts w:hint="eastAsia" w:ascii="宋体" w:hAnsi="宋体" w:cs="宋体"/>
          <w:color w:val="auto"/>
          <w:szCs w:val="21"/>
          <w:highlight w:val="none"/>
          <w:u w:val="single"/>
        </w:rPr>
        <w:t>301</w:t>
      </w:r>
      <w:r>
        <w:rPr>
          <w:rFonts w:hint="eastAsia" w:ascii="宋体" w:hAnsi="宋体" w:cs="宋体"/>
          <w:color w:val="auto"/>
          <w:szCs w:val="21"/>
          <w:highlight w:val="none"/>
          <w:u w:val="single"/>
          <w:lang w:val="zh-TW" w:eastAsia="zh-TW"/>
        </w:rPr>
        <w:t>室</w:t>
      </w:r>
      <w:r>
        <w:rPr>
          <w:rFonts w:hint="eastAsia" w:ascii="宋体" w:hAnsi="宋体"/>
          <w:color w:val="auto"/>
          <w:szCs w:val="21"/>
          <w:highlight w:val="none"/>
          <w:u w:val="single"/>
        </w:rPr>
        <w:t>。</w:t>
      </w:r>
    </w:p>
    <w:p>
      <w:pPr>
        <w:ind w:firstLine="411" w:firstLineChars="196"/>
        <w:rPr>
          <w:rFonts w:ascii="宋体" w:hAnsi="宋体"/>
          <w:bCs/>
          <w:color w:val="auto"/>
          <w:szCs w:val="21"/>
          <w:highlight w:val="none"/>
        </w:rPr>
      </w:pPr>
      <w:r>
        <w:rPr>
          <w:rFonts w:hint="eastAsia" w:ascii="宋体" w:hAnsi="宋体"/>
          <w:bCs/>
          <w:color w:val="auto"/>
          <w:szCs w:val="21"/>
          <w:highlight w:val="none"/>
        </w:rPr>
        <w:t>4、开标事宜：</w:t>
      </w:r>
      <w:r>
        <w:rPr>
          <w:rFonts w:hint="eastAsia" w:ascii="宋体" w:hAnsi="宋体"/>
          <w:b/>
          <w:bCs/>
          <w:color w:val="auto"/>
          <w:szCs w:val="21"/>
          <w:highlight w:val="none"/>
        </w:rPr>
        <w:t>届时请投标人的法定代表人或其授权代表务必携带有效身份证明出席开标会</w:t>
      </w:r>
      <w:r>
        <w:rPr>
          <w:rFonts w:hint="eastAsia" w:ascii="宋体" w:hAnsi="宋体"/>
          <w:bCs/>
          <w:color w:val="auto"/>
          <w:szCs w:val="21"/>
          <w:highlight w:val="none"/>
        </w:rPr>
        <w:t>。</w:t>
      </w:r>
    </w:p>
    <w:p>
      <w:pPr>
        <w:pStyle w:val="36"/>
        <w:spacing w:line="360" w:lineRule="auto"/>
        <w:rPr>
          <w:color w:val="auto"/>
          <w:sz w:val="21"/>
          <w:szCs w:val="21"/>
          <w:highlight w:val="none"/>
        </w:rPr>
      </w:pPr>
      <w:r>
        <w:rPr>
          <w:rFonts w:hint="eastAsia"/>
          <w:color w:val="auto"/>
          <w:sz w:val="21"/>
          <w:szCs w:val="21"/>
          <w:highlight w:val="none"/>
        </w:rPr>
        <w:t>5、出现以下情形时，采购代理机构不予接收投标（响应）文件：</w:t>
      </w:r>
    </w:p>
    <w:p>
      <w:pPr>
        <w:pStyle w:val="36"/>
        <w:spacing w:line="360" w:lineRule="auto"/>
        <w:rPr>
          <w:color w:val="auto"/>
          <w:sz w:val="21"/>
          <w:szCs w:val="21"/>
          <w:highlight w:val="none"/>
        </w:rPr>
      </w:pPr>
      <w:r>
        <w:rPr>
          <w:color w:val="auto"/>
          <w:sz w:val="21"/>
          <w:szCs w:val="21"/>
          <w:highlight w:val="none"/>
        </w:rPr>
        <w:tab/>
      </w:r>
      <w:r>
        <w:rPr>
          <w:rFonts w:hint="eastAsia"/>
          <w:color w:val="auto"/>
          <w:sz w:val="21"/>
          <w:szCs w:val="21"/>
          <w:highlight w:val="none"/>
        </w:rPr>
        <w:t>（1）逾期送达或者未送达指定地点的；</w:t>
      </w:r>
    </w:p>
    <w:p>
      <w:pPr>
        <w:pStyle w:val="36"/>
        <w:spacing w:line="360" w:lineRule="auto"/>
        <w:rPr>
          <w:color w:val="auto"/>
          <w:sz w:val="21"/>
          <w:szCs w:val="21"/>
          <w:highlight w:val="none"/>
        </w:rPr>
      </w:pPr>
      <w:r>
        <w:rPr>
          <w:color w:val="auto"/>
          <w:sz w:val="21"/>
          <w:szCs w:val="21"/>
          <w:highlight w:val="none"/>
        </w:rPr>
        <w:tab/>
      </w:r>
      <w:r>
        <w:rPr>
          <w:rFonts w:hint="eastAsia"/>
          <w:color w:val="auto"/>
          <w:sz w:val="21"/>
          <w:szCs w:val="21"/>
          <w:highlight w:val="none"/>
        </w:rPr>
        <w:t>（2）未按采购文件要求密封的。</w:t>
      </w:r>
    </w:p>
    <w:p>
      <w:pPr>
        <w:pStyle w:val="36"/>
        <w:ind w:firstLine="400"/>
        <w:rPr>
          <w:color w:val="auto"/>
          <w:highlight w:val="none"/>
        </w:rPr>
      </w:pPr>
    </w:p>
    <w:p>
      <w:pPr>
        <w:pStyle w:val="36"/>
        <w:ind w:firstLine="422"/>
        <w:rPr>
          <w:rFonts w:ascii="宋体" w:hAnsi="宋体" w:eastAsia="宋体" w:cstheme="minorBidi"/>
          <w:b/>
          <w:color w:val="auto"/>
          <w:sz w:val="21"/>
          <w:szCs w:val="21"/>
          <w:highlight w:val="none"/>
        </w:rPr>
      </w:pPr>
      <w:r>
        <w:rPr>
          <w:rFonts w:hint="eastAsia" w:ascii="宋体" w:hAnsi="宋体" w:eastAsia="宋体" w:cstheme="minorBidi"/>
          <w:b/>
          <w:color w:val="auto"/>
          <w:sz w:val="21"/>
          <w:szCs w:val="21"/>
          <w:highlight w:val="none"/>
        </w:rPr>
        <w:t>五</w:t>
      </w:r>
      <w:r>
        <w:rPr>
          <w:rFonts w:ascii="宋体" w:hAnsi="宋体" w:eastAsia="宋体" w:cstheme="minorBidi"/>
          <w:b/>
          <w:color w:val="auto"/>
          <w:sz w:val="21"/>
          <w:szCs w:val="21"/>
          <w:highlight w:val="none"/>
        </w:rPr>
        <w:t>、发布公告的媒介</w:t>
      </w:r>
    </w:p>
    <w:p>
      <w:pPr>
        <w:pStyle w:val="36"/>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1、采购公告发布媒介：</w:t>
      </w:r>
    </w:p>
    <w:p>
      <w:pPr>
        <w:pStyle w:val="36"/>
        <w:spacing w:line="360" w:lineRule="auto"/>
        <w:rPr>
          <w:rFonts w:ascii="宋体" w:hAnsi="宋体" w:eastAsia="宋体" w:cs="宋体"/>
          <w:color w:val="auto"/>
          <w:sz w:val="21"/>
          <w:szCs w:val="21"/>
          <w:highlight w:val="none"/>
        </w:rPr>
      </w:pPr>
      <w:r>
        <w:rPr>
          <w:rFonts w:hint="eastAsia" w:ascii="宋体" w:hAnsi="宋体"/>
          <w:color w:val="auto"/>
          <w:sz w:val="21"/>
          <w:szCs w:val="21"/>
          <w:highlight w:val="none"/>
        </w:rPr>
        <w:t>中国招标投标公共服务平台（www.cebpubservice.com）、东莞实业投资控股集团网站-招标采购栏目（</w:t>
      </w:r>
      <w:r>
        <w:rPr>
          <w:rFonts w:hint="eastAsia" w:ascii="宋体" w:hAnsi="宋体" w:eastAsia="宋体" w:cs="宋体"/>
          <w:color w:val="auto"/>
          <w:sz w:val="21"/>
          <w:szCs w:val="21"/>
          <w:highlight w:val="none"/>
          <w:u w:val="single"/>
        </w:rPr>
        <w:t>http://www.dgsy.com.cn/</w:t>
      </w:r>
      <w:r>
        <w:rPr>
          <w:rFonts w:hint="eastAsia" w:ascii="宋体" w:hAnsi="宋体"/>
          <w:color w:val="auto"/>
          <w:sz w:val="21"/>
          <w:szCs w:val="21"/>
          <w:highlight w:val="none"/>
        </w:rPr>
        <w:t>）、</w:t>
      </w:r>
      <w:r>
        <w:rPr>
          <w:rFonts w:hint="eastAsia" w:ascii="宋体" w:hAnsi="宋体" w:cs="宋体"/>
          <w:color w:val="auto"/>
          <w:szCs w:val="21"/>
          <w:highlight w:val="none"/>
          <w:u w:val="single"/>
          <w:lang w:eastAsia="zh-CN"/>
        </w:rPr>
        <w:t>广东东实环境股份有限公司网站（http://www.dshuanbao.com.cn/）</w:t>
      </w:r>
      <w:r>
        <w:rPr>
          <w:rFonts w:hint="eastAsia" w:ascii="宋体" w:hAnsi="宋体"/>
          <w:color w:val="auto"/>
          <w:sz w:val="21"/>
          <w:szCs w:val="21"/>
          <w:highlight w:val="none"/>
        </w:rPr>
        <w:t>及</w:t>
      </w:r>
      <w:r>
        <w:rPr>
          <w:rFonts w:hint="eastAsia" w:ascii="宋体" w:hAnsi="宋体" w:cs="宋体"/>
          <w:color w:val="auto"/>
          <w:sz w:val="21"/>
          <w:szCs w:val="21"/>
          <w:highlight w:val="none"/>
        </w:rPr>
        <w:t>招标代理机构公司网站（</w:t>
      </w:r>
      <w:r>
        <w:rPr>
          <w:rFonts w:hint="eastAsia" w:ascii="宋体" w:hAnsi="宋体" w:cs="宋体"/>
          <w:color w:val="auto"/>
          <w:szCs w:val="21"/>
          <w:highlight w:val="none"/>
          <w:u w:val="single"/>
        </w:rPr>
        <w:t>http://www.gdzhihe.cn/</w:t>
      </w:r>
      <w:r>
        <w:rPr>
          <w:rFonts w:hint="eastAsia" w:ascii="宋体" w:hAnsi="宋体" w:cs="宋体"/>
          <w:color w:val="auto"/>
          <w:sz w:val="21"/>
          <w:szCs w:val="21"/>
          <w:highlight w:val="none"/>
        </w:rPr>
        <w:t>）</w:t>
      </w:r>
      <w:r>
        <w:rPr>
          <w:rFonts w:hint="eastAsia" w:ascii="宋体" w:hAnsi="宋体" w:eastAsia="宋体" w:cs="宋体"/>
          <w:color w:val="auto"/>
          <w:sz w:val="21"/>
          <w:szCs w:val="21"/>
          <w:highlight w:val="none"/>
        </w:rPr>
        <w:t>。</w:t>
      </w:r>
    </w:p>
    <w:p>
      <w:pPr>
        <w:pStyle w:val="36"/>
        <w:spacing w:line="360"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2、结果公告发布媒介：</w:t>
      </w:r>
    </w:p>
    <w:p>
      <w:pPr>
        <w:pStyle w:val="36"/>
        <w:spacing w:line="360"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东莞实业投资控股集团有限公司-招标采购栏目（http://www.dgsy.com.cn/）。</w:t>
      </w:r>
    </w:p>
    <w:p>
      <w:pPr>
        <w:ind w:firstLine="413" w:firstLineChars="196"/>
        <w:rPr>
          <w:rFonts w:ascii="宋体" w:hAnsi="宋体"/>
          <w:bCs/>
          <w:color w:val="auto"/>
          <w:szCs w:val="21"/>
          <w:highlight w:val="none"/>
        </w:rPr>
      </w:pPr>
      <w:r>
        <w:rPr>
          <w:rFonts w:hint="eastAsia" w:ascii="宋体" w:hAnsi="宋体"/>
          <w:b/>
          <w:color w:val="auto"/>
          <w:szCs w:val="21"/>
          <w:highlight w:val="none"/>
        </w:rPr>
        <w:t>六、采购人及采购代理机构的名称、地址和联系方法：</w:t>
      </w:r>
    </w:p>
    <w:p>
      <w:pPr>
        <w:ind w:firstLine="420" w:firstLineChars="200"/>
        <w:rPr>
          <w:rFonts w:ascii="宋体" w:hAnsi="宋体"/>
          <w:bCs/>
          <w:color w:val="auto"/>
          <w:szCs w:val="21"/>
          <w:highlight w:val="none"/>
        </w:rPr>
      </w:pPr>
      <w:r>
        <w:rPr>
          <w:rFonts w:hint="eastAsia" w:ascii="宋体" w:hAnsi="宋体"/>
          <w:bCs/>
          <w:color w:val="auto"/>
          <w:szCs w:val="21"/>
          <w:highlight w:val="none"/>
        </w:rPr>
        <w:t>采购人</w:t>
      </w:r>
      <w:r>
        <w:rPr>
          <w:rFonts w:ascii="宋体" w:hAnsi="宋体"/>
          <w:bCs/>
          <w:color w:val="auto"/>
          <w:szCs w:val="21"/>
          <w:highlight w:val="none"/>
        </w:rPr>
        <w:t>名称</w:t>
      </w:r>
      <w:r>
        <w:rPr>
          <w:rFonts w:hint="eastAsia" w:ascii="宋体" w:hAnsi="宋体"/>
          <w:bCs/>
          <w:color w:val="auto"/>
          <w:szCs w:val="21"/>
          <w:highlight w:val="none"/>
        </w:rPr>
        <w:t>：</w:t>
      </w:r>
      <w:r>
        <w:rPr>
          <w:rFonts w:hint="eastAsia" w:ascii="宋体" w:hAnsi="宋体" w:cs="宋体"/>
          <w:color w:val="auto"/>
          <w:sz w:val="21"/>
          <w:szCs w:val="21"/>
          <w:highlight w:val="none"/>
        </w:rPr>
        <w:t>东莞市新东元环保投资有限公司</w:t>
      </w:r>
    </w:p>
    <w:p>
      <w:pPr>
        <w:ind w:firstLine="420" w:firstLineChars="200"/>
        <w:rPr>
          <w:rFonts w:ascii="宋体" w:hAnsi="宋体"/>
          <w:bCs/>
          <w:color w:val="auto"/>
          <w:szCs w:val="21"/>
          <w:highlight w:val="none"/>
        </w:rPr>
      </w:pPr>
      <w:r>
        <w:rPr>
          <w:rFonts w:hint="eastAsia" w:ascii="宋体" w:hAnsi="宋体"/>
          <w:bCs/>
          <w:color w:val="auto"/>
          <w:szCs w:val="21"/>
          <w:highlight w:val="none"/>
        </w:rPr>
        <w:t>采购人联系人：</w:t>
      </w:r>
      <w:r>
        <w:rPr>
          <w:rFonts w:hint="eastAsia" w:ascii="宋体" w:hAnsi="宋体" w:cs="宋体"/>
          <w:color w:val="auto"/>
          <w:sz w:val="21"/>
          <w:szCs w:val="21"/>
          <w:highlight w:val="none"/>
        </w:rPr>
        <w:t>徐小姐</w:t>
      </w:r>
    </w:p>
    <w:p>
      <w:pPr>
        <w:ind w:firstLine="420" w:firstLineChars="200"/>
        <w:rPr>
          <w:rFonts w:ascii="宋体" w:hAnsi="宋体"/>
          <w:bCs/>
          <w:color w:val="auto"/>
          <w:szCs w:val="21"/>
          <w:highlight w:val="none"/>
        </w:rPr>
      </w:pPr>
      <w:r>
        <w:rPr>
          <w:rFonts w:hint="eastAsia" w:ascii="宋体" w:hAnsi="宋体"/>
          <w:bCs/>
          <w:color w:val="auto"/>
          <w:szCs w:val="21"/>
          <w:highlight w:val="none"/>
        </w:rPr>
        <w:t>采购人地址：</w:t>
      </w:r>
      <w:r>
        <w:rPr>
          <w:rFonts w:hint="eastAsia" w:ascii="宋体" w:hAnsi="宋体" w:cs="宋体"/>
          <w:color w:val="auto"/>
          <w:szCs w:val="21"/>
          <w:highlight w:val="none"/>
        </w:rPr>
        <w:t>东莞市麻涌镇大步村海心沙岛</w:t>
      </w:r>
    </w:p>
    <w:p>
      <w:pPr>
        <w:ind w:firstLine="420" w:firstLineChars="200"/>
        <w:rPr>
          <w:rFonts w:hint="eastAsia" w:ascii="宋体" w:hAnsi="宋体" w:eastAsia="宋体"/>
          <w:bCs/>
          <w:color w:val="auto"/>
          <w:szCs w:val="21"/>
          <w:highlight w:val="none"/>
          <w:lang w:eastAsia="zh-CN"/>
        </w:rPr>
      </w:pPr>
      <w:r>
        <w:rPr>
          <w:rFonts w:hint="eastAsia" w:ascii="宋体" w:hAnsi="宋体"/>
          <w:bCs/>
          <w:color w:val="auto"/>
          <w:szCs w:val="21"/>
          <w:highlight w:val="none"/>
        </w:rPr>
        <w:t>采购人联系电话：</w:t>
      </w:r>
      <w:r>
        <w:rPr>
          <w:rFonts w:hint="eastAsia" w:ascii="宋体" w:hAnsi="宋体" w:cs="宋体"/>
          <w:color w:val="auto"/>
          <w:sz w:val="21"/>
          <w:szCs w:val="21"/>
          <w:highlight w:val="none"/>
          <w:lang w:eastAsia="zh-CN"/>
        </w:rPr>
        <w:t>0769-81219261-6010</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采购代理机构名称：</w:t>
      </w:r>
      <w:r>
        <w:rPr>
          <w:rFonts w:hint="eastAsia" w:ascii="宋体" w:hAnsi="宋体" w:cs="宋体"/>
          <w:color w:val="auto"/>
          <w:szCs w:val="21"/>
          <w:highlight w:val="none"/>
          <w:lang w:val="zh-TW" w:eastAsia="zh-TW"/>
        </w:rPr>
        <w:t>广东志合项目管理有限公司</w:t>
      </w:r>
    </w:p>
    <w:p>
      <w:pPr>
        <w:ind w:firstLine="420" w:firstLineChars="200"/>
        <w:rPr>
          <w:rFonts w:ascii="宋体" w:hAnsi="宋体"/>
          <w:color w:val="auto"/>
          <w:szCs w:val="21"/>
          <w:highlight w:val="none"/>
        </w:rPr>
      </w:pPr>
      <w:r>
        <w:rPr>
          <w:rFonts w:hint="eastAsia" w:ascii="宋体" w:hAnsi="宋体"/>
          <w:color w:val="auto"/>
          <w:szCs w:val="21"/>
          <w:highlight w:val="none"/>
        </w:rPr>
        <w:t>采购代理机构地址：</w:t>
      </w:r>
      <w:r>
        <w:rPr>
          <w:rFonts w:hint="eastAsia" w:ascii="宋体" w:hAnsi="宋体" w:cs="宋体"/>
          <w:color w:val="auto"/>
          <w:szCs w:val="21"/>
          <w:highlight w:val="none"/>
          <w:lang w:val="zh-TW" w:eastAsia="zh-TW"/>
        </w:rPr>
        <w:t>广东省东莞市南城街道西平三路</w:t>
      </w:r>
      <w:r>
        <w:rPr>
          <w:rFonts w:hint="eastAsia" w:ascii="宋体" w:hAnsi="宋体" w:cs="宋体"/>
          <w:color w:val="auto"/>
          <w:szCs w:val="21"/>
          <w:highlight w:val="none"/>
        </w:rPr>
        <w:t>3</w:t>
      </w:r>
      <w:r>
        <w:rPr>
          <w:rFonts w:hint="eastAsia" w:ascii="宋体" w:hAnsi="宋体" w:cs="宋体"/>
          <w:color w:val="auto"/>
          <w:szCs w:val="21"/>
          <w:highlight w:val="none"/>
          <w:lang w:val="zh-TW" w:eastAsia="zh-TW"/>
        </w:rPr>
        <w:t>号</w:t>
      </w:r>
      <w:r>
        <w:rPr>
          <w:rFonts w:hint="eastAsia" w:ascii="宋体" w:hAnsi="宋体" w:cs="宋体"/>
          <w:color w:val="auto"/>
          <w:szCs w:val="21"/>
          <w:highlight w:val="none"/>
        </w:rPr>
        <w:t>2</w:t>
      </w:r>
      <w:r>
        <w:rPr>
          <w:rFonts w:hint="eastAsia" w:ascii="宋体" w:hAnsi="宋体" w:cs="宋体"/>
          <w:color w:val="auto"/>
          <w:szCs w:val="21"/>
          <w:highlight w:val="none"/>
          <w:lang w:val="zh-TW" w:eastAsia="zh-TW"/>
        </w:rPr>
        <w:t>栋</w:t>
      </w:r>
      <w:r>
        <w:rPr>
          <w:rFonts w:hint="eastAsia" w:ascii="宋体" w:hAnsi="宋体" w:cs="宋体"/>
          <w:color w:val="auto"/>
          <w:szCs w:val="21"/>
          <w:highlight w:val="none"/>
        </w:rPr>
        <w:t>11</w:t>
      </w:r>
      <w:r>
        <w:rPr>
          <w:rFonts w:hint="eastAsia" w:ascii="宋体" w:hAnsi="宋体" w:cs="宋体"/>
          <w:color w:val="auto"/>
          <w:szCs w:val="21"/>
          <w:highlight w:val="none"/>
          <w:lang w:val="zh-TW" w:eastAsia="zh-TW"/>
        </w:rPr>
        <w:t>单元</w:t>
      </w:r>
      <w:r>
        <w:rPr>
          <w:rFonts w:hint="eastAsia" w:ascii="宋体" w:hAnsi="宋体" w:cs="宋体"/>
          <w:color w:val="auto"/>
          <w:szCs w:val="21"/>
          <w:highlight w:val="none"/>
        </w:rPr>
        <w:t>301</w:t>
      </w:r>
      <w:r>
        <w:rPr>
          <w:rFonts w:hint="eastAsia" w:ascii="宋体" w:hAnsi="宋体" w:cs="宋体"/>
          <w:color w:val="auto"/>
          <w:szCs w:val="21"/>
          <w:highlight w:val="none"/>
          <w:lang w:val="zh-TW" w:eastAsia="zh-TW"/>
        </w:rPr>
        <w:t>室</w:t>
      </w:r>
    </w:p>
    <w:p>
      <w:pPr>
        <w:ind w:firstLine="420" w:firstLineChars="200"/>
        <w:rPr>
          <w:rFonts w:ascii="宋体" w:hAnsi="宋体"/>
          <w:color w:val="auto"/>
          <w:szCs w:val="21"/>
          <w:highlight w:val="none"/>
        </w:rPr>
      </w:pPr>
      <w:r>
        <w:rPr>
          <w:rFonts w:hint="eastAsia" w:ascii="宋体" w:hAnsi="宋体"/>
          <w:color w:val="auto"/>
          <w:szCs w:val="21"/>
          <w:highlight w:val="none"/>
        </w:rPr>
        <w:t>采购代理机构联系人：</w:t>
      </w:r>
      <w:r>
        <w:rPr>
          <w:rFonts w:hint="eastAsia" w:ascii="宋体" w:hAnsi="宋体" w:cs="宋体"/>
          <w:color w:val="auto"/>
          <w:szCs w:val="21"/>
          <w:highlight w:val="none"/>
          <w:lang w:val="zh-TW" w:eastAsia="zh-TW"/>
        </w:rPr>
        <w:t>周旭</w:t>
      </w:r>
    </w:p>
    <w:p>
      <w:pPr>
        <w:ind w:firstLine="420" w:firstLineChars="200"/>
        <w:rPr>
          <w:rFonts w:ascii="宋体" w:hAnsi="宋体"/>
          <w:color w:val="auto"/>
          <w:szCs w:val="21"/>
          <w:highlight w:val="none"/>
        </w:rPr>
      </w:pPr>
      <w:r>
        <w:rPr>
          <w:rFonts w:hint="eastAsia" w:ascii="宋体" w:hAnsi="宋体"/>
          <w:color w:val="auto"/>
          <w:szCs w:val="21"/>
          <w:highlight w:val="none"/>
        </w:rPr>
        <w:t>采购代理机构联系电话：</w:t>
      </w:r>
      <w:r>
        <w:rPr>
          <w:rFonts w:hint="eastAsia" w:ascii="宋体" w:hAnsi="宋体" w:cs="宋体"/>
          <w:color w:val="auto"/>
          <w:szCs w:val="21"/>
          <w:highlight w:val="none"/>
        </w:rPr>
        <w:t>0769-22333556</w:t>
      </w:r>
      <w:r>
        <w:rPr>
          <w:rFonts w:hint="eastAsia" w:ascii="宋体" w:hAnsi="宋体"/>
          <w:color w:val="auto"/>
          <w:szCs w:val="21"/>
          <w:highlight w:val="none"/>
        </w:rPr>
        <w:t xml:space="preserve"> </w:t>
      </w:r>
    </w:p>
    <w:p>
      <w:pPr>
        <w:ind w:firstLine="420" w:firstLineChars="200"/>
        <w:rPr>
          <w:color w:val="auto"/>
          <w:highlight w:val="none"/>
        </w:rPr>
      </w:pPr>
      <w:r>
        <w:rPr>
          <w:rFonts w:hint="eastAsia" w:ascii="宋体" w:hAnsi="宋体"/>
          <w:color w:val="auto"/>
          <w:szCs w:val="21"/>
          <w:highlight w:val="none"/>
        </w:rPr>
        <w:t>采购代理机构邮箱：</w:t>
      </w:r>
      <w:r>
        <w:rPr>
          <w:rFonts w:hint="eastAsia" w:ascii="宋体" w:hAnsi="宋体" w:cs="宋体"/>
          <w:color w:val="auto"/>
          <w:szCs w:val="21"/>
          <w:highlight w:val="none"/>
        </w:rPr>
        <w:t>48463673@qq.com</w:t>
      </w:r>
      <w:r>
        <w:rPr>
          <w:rFonts w:hint="eastAsia" w:ascii="宋体" w:hAnsi="宋体"/>
          <w:color w:val="auto"/>
          <w:szCs w:val="21"/>
          <w:highlight w:val="none"/>
        </w:rPr>
        <w:t xml:space="preserve"> </w:t>
      </w:r>
    </w:p>
    <w:p>
      <w:pPr>
        <w:ind w:firstLine="420" w:firstLineChars="200"/>
        <w:rPr>
          <w:color w:val="auto"/>
          <w:highlight w:val="none"/>
        </w:rPr>
      </w:pPr>
    </w:p>
    <w:p>
      <w:pPr>
        <w:ind w:right="752" w:rightChars="358"/>
        <w:jc w:val="right"/>
        <w:rPr>
          <w:color w:val="auto"/>
          <w:highlight w:val="none"/>
        </w:rPr>
      </w:pPr>
    </w:p>
    <w:p>
      <w:pPr>
        <w:ind w:right="752" w:rightChars="358"/>
        <w:jc w:val="right"/>
        <w:rPr>
          <w:rFonts w:ascii="宋体" w:hAnsi="宋体" w:cs="宋体"/>
          <w:color w:val="auto"/>
          <w:szCs w:val="21"/>
          <w:highlight w:val="none"/>
        </w:rPr>
      </w:pPr>
      <w:r>
        <w:rPr>
          <w:rFonts w:hint="eastAsia" w:ascii="宋体" w:hAnsi="宋体" w:cs="宋体"/>
          <w:color w:val="auto"/>
          <w:szCs w:val="21"/>
          <w:highlight w:val="none"/>
          <w:lang w:val="zh-TW" w:eastAsia="zh-TW"/>
        </w:rPr>
        <w:t>广东志合项目管理有限公司</w:t>
      </w:r>
    </w:p>
    <w:p>
      <w:pPr>
        <w:ind w:right="752" w:rightChars="358"/>
        <w:jc w:val="right"/>
        <w:rPr>
          <w:rFonts w:ascii="宋体" w:hAnsi="宋体" w:cs="宋体"/>
          <w:color w:val="auto"/>
          <w:szCs w:val="21"/>
          <w:highlight w:val="none"/>
        </w:rPr>
      </w:pPr>
      <w:r>
        <w:rPr>
          <w:rFonts w:hint="eastAsia" w:ascii="宋体" w:hAnsi="宋体" w:cs="宋体"/>
          <w:color w:val="auto"/>
          <w:szCs w:val="21"/>
          <w:highlight w:val="none"/>
        </w:rPr>
        <w:t>2023年</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 xml:space="preserve">月 </w:t>
      </w:r>
    </w:p>
    <w:p>
      <w:pPr>
        <w:ind w:left="6205" w:leftChars="2755" w:hanging="420" w:hangingChars="200"/>
        <w:rPr>
          <w:rFonts w:ascii="黑体" w:hAnsi="宋体" w:eastAsia="黑体"/>
          <w:color w:val="auto"/>
          <w:highlight w:val="none"/>
        </w:rPr>
      </w:pPr>
      <w:r>
        <w:rPr>
          <w:rFonts w:hint="eastAsia" w:ascii="宋体" w:hAnsi="宋体" w:cs="宋体"/>
          <w:color w:val="auto"/>
          <w:szCs w:val="21"/>
          <w:highlight w:val="none"/>
        </w:rPr>
        <w:br w:type="page"/>
      </w:r>
    </w:p>
    <w:p>
      <w:pPr>
        <w:pStyle w:val="3"/>
        <w:spacing w:before="0" w:after="0" w:line="240" w:lineRule="auto"/>
        <w:rPr>
          <w:color w:val="auto"/>
          <w:sz w:val="28"/>
          <w:szCs w:val="28"/>
          <w:highlight w:val="none"/>
        </w:rPr>
      </w:pPr>
      <w:bookmarkStart w:id="3" w:name="_Toc17849"/>
      <w:r>
        <w:rPr>
          <w:rFonts w:hint="eastAsia"/>
          <w:color w:val="auto"/>
          <w:sz w:val="28"/>
          <w:szCs w:val="28"/>
          <w:highlight w:val="none"/>
        </w:rPr>
        <w:t>第二部分相关资料表格</w:t>
      </w:r>
      <w:bookmarkEnd w:id="3"/>
    </w:p>
    <w:p>
      <w:pPr>
        <w:pStyle w:val="4"/>
        <w:spacing w:before="0" w:after="0" w:line="240" w:lineRule="auto"/>
        <w:jc w:val="center"/>
        <w:rPr>
          <w:rFonts w:ascii="宋体" w:hAnsi="宋体" w:cs="宋体"/>
          <w:color w:val="auto"/>
          <w:sz w:val="24"/>
          <w:szCs w:val="24"/>
          <w:highlight w:val="none"/>
        </w:rPr>
      </w:pPr>
      <w:bookmarkStart w:id="4" w:name="_Toc23020"/>
      <w:r>
        <w:rPr>
          <w:rFonts w:hint="eastAsia" w:ascii="宋体" w:hAnsi="宋体" w:cs="宋体"/>
          <w:color w:val="auto"/>
          <w:sz w:val="24"/>
          <w:szCs w:val="24"/>
          <w:highlight w:val="none"/>
        </w:rPr>
        <w:t>附表一：投标资料表</w:t>
      </w:r>
      <w:bookmarkEnd w:id="4"/>
    </w:p>
    <w:tbl>
      <w:tblPr>
        <w:tblStyle w:val="28"/>
        <w:tblW w:w="8410" w:type="dxa"/>
        <w:tblInd w:w="-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49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7532" w:type="dxa"/>
            <w:gridSpan w:val="2"/>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项目最高限价（</w:t>
            </w:r>
            <w:r>
              <w:rPr>
                <w:rFonts w:hint="eastAsia" w:ascii="宋体" w:hAnsi="宋体"/>
                <w:b/>
                <w:bCs/>
                <w:color w:val="auto"/>
                <w:szCs w:val="21"/>
                <w:highlight w:val="none"/>
                <w:u w:val="single"/>
              </w:rPr>
              <w:t>单位：元</w:t>
            </w:r>
            <w:r>
              <w:rPr>
                <w:rFonts w:hint="eastAsia" w:ascii="宋体" w:hAnsi="宋体"/>
                <w:b/>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color w:val="auto"/>
                <w:szCs w:val="21"/>
                <w:highlight w:val="none"/>
                <w:u w:val="single"/>
                <w:lang w:val="en-US" w:eastAsia="zh-CN"/>
              </w:rPr>
              <w:t>熟石灰：</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688.00</w:t>
            </w:r>
            <w:r>
              <w:rPr>
                <w:rFonts w:hint="eastAsia" w:ascii="宋体" w:hAnsi="宋体"/>
                <w:color w:val="auto"/>
                <w:szCs w:val="21"/>
                <w:highlight w:val="none"/>
                <w:u w:val="single"/>
              </w:rPr>
              <w:t>元</w:t>
            </w:r>
            <w:r>
              <w:rPr>
                <w:rFonts w:hint="eastAsia" w:ascii="宋体" w:hAnsi="宋体"/>
                <w:color w:val="auto"/>
                <w:szCs w:val="21"/>
                <w:highlight w:val="none"/>
                <w:u w:val="single"/>
                <w:lang w:val="en-US" w:eastAsia="zh-CN"/>
              </w:rPr>
              <w:t>/</w:t>
            </w:r>
            <w:r>
              <w:rPr>
                <w:rFonts w:hint="eastAsia" w:ascii="宋体" w:hAnsi="宋体" w:cs="宋体"/>
                <w:color w:val="auto"/>
                <w:szCs w:val="21"/>
                <w:highlight w:val="none"/>
                <w:u w:val="single"/>
              </w:rPr>
              <w:t>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发包方式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color w:val="auto"/>
                <w:szCs w:val="21"/>
                <w:highlight w:val="none"/>
              </w:rPr>
              <w:sym w:font="Wingdings 2" w:char="00A3"/>
            </w:r>
            <w:r>
              <w:rPr>
                <w:rFonts w:hint="eastAsia" w:ascii="宋体" w:hAnsi="宋体"/>
                <w:b/>
                <w:bCs/>
                <w:color w:val="auto"/>
                <w:szCs w:val="21"/>
                <w:highlight w:val="none"/>
              </w:rPr>
              <w:t>固定总价包干；</w:t>
            </w:r>
          </w:p>
          <w:p>
            <w:pPr>
              <w:rPr>
                <w:rFonts w:ascii="宋体" w:hAnsi="宋体"/>
                <w:b/>
                <w:bCs/>
                <w:color w:val="auto"/>
                <w:szCs w:val="21"/>
                <w:highlight w:val="none"/>
              </w:rPr>
            </w:pPr>
            <w:r>
              <w:rPr>
                <w:rFonts w:hint="eastAsia" w:ascii="宋体" w:hAnsi="宋体"/>
                <w:color w:val="auto"/>
                <w:szCs w:val="21"/>
                <w:highlight w:val="none"/>
              </w:rPr>
              <w:sym w:font="Wingdings 2" w:char="0052"/>
            </w:r>
            <w:r>
              <w:rPr>
                <w:rFonts w:hint="eastAsia" w:ascii="宋体" w:hAnsi="宋体"/>
                <w:b/>
                <w:bCs/>
                <w:color w:val="auto"/>
                <w:szCs w:val="21"/>
                <w:highlight w:val="none"/>
              </w:rPr>
              <w:t>固定单价暂定总价包干；</w:t>
            </w:r>
          </w:p>
          <w:p>
            <w:pPr>
              <w:rPr>
                <w:rFonts w:ascii="宋体" w:hAnsi="宋体"/>
                <w:b/>
                <w:bCs/>
                <w:color w:val="auto"/>
                <w:szCs w:val="21"/>
                <w:highlight w:val="none"/>
                <w:u w:val="single"/>
              </w:rPr>
            </w:pPr>
            <w:r>
              <w:rPr>
                <w:rFonts w:hint="eastAsia" w:ascii="宋体" w:hAnsi="宋体"/>
                <w:color w:val="auto"/>
                <w:szCs w:val="21"/>
                <w:highlight w:val="none"/>
              </w:rPr>
              <w:sym w:font="Wingdings 2" w:char="00A3"/>
            </w:r>
            <w:r>
              <w:rPr>
                <w:rFonts w:hint="eastAsia" w:ascii="宋体" w:hAnsi="宋体"/>
                <w:b/>
                <w:bCs/>
                <w:color w:val="auto"/>
                <w:szCs w:val="21"/>
                <w:highlight w:val="none"/>
              </w:rPr>
              <w:t>费率</w:t>
            </w:r>
            <w:r>
              <w:rPr>
                <w:rFonts w:hint="eastAsia" w:ascii="宋体" w:hAnsi="宋体"/>
                <w:b/>
                <w:bCs/>
                <w:color w:val="auto"/>
                <w:szCs w:val="21"/>
                <w:highlight w:val="none"/>
                <w:u w:val="single"/>
              </w:rPr>
              <w:t xml:space="preserve">         ；</w:t>
            </w:r>
          </w:p>
          <w:p>
            <w:pPr>
              <w:rPr>
                <w:rFonts w:ascii="宋体" w:hAnsi="宋体"/>
                <w:b/>
                <w:bCs/>
                <w:color w:val="auto"/>
                <w:szCs w:val="21"/>
                <w:highlight w:val="none"/>
              </w:rPr>
            </w:pPr>
            <w:r>
              <w:rPr>
                <w:rFonts w:hint="eastAsia" w:ascii="宋体" w:hAnsi="宋体"/>
                <w:color w:val="auto"/>
                <w:szCs w:val="21"/>
                <w:highlight w:val="none"/>
              </w:rPr>
              <w:sym w:font="Wingdings 2" w:char="00A3"/>
            </w:r>
            <w:r>
              <w:rPr>
                <w:rFonts w:hint="eastAsia" w:ascii="宋体" w:hAnsi="宋体"/>
                <w:b/>
                <w:bCs/>
                <w:color w:val="auto"/>
                <w:szCs w:val="21"/>
                <w:highlight w:val="none"/>
              </w:rPr>
              <w:t>其他</w:t>
            </w:r>
            <w:r>
              <w:rPr>
                <w:rFonts w:hint="eastAsia" w:ascii="宋体" w:hAnsi="宋体"/>
                <w:b/>
                <w:bCs/>
                <w:color w:val="auto"/>
                <w:szCs w:val="21"/>
                <w:highlight w:val="none"/>
                <w:u w:val="single"/>
                <w:lang w:val="en-US" w:eastAsia="zh-CN"/>
              </w:rPr>
              <w:t xml:space="preserve">         </w:t>
            </w:r>
            <w:r>
              <w:rPr>
                <w:rFonts w:hint="eastAsia" w:ascii="宋体" w:hAnsi="宋体"/>
                <w:b/>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是否接受联合体投标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pStyle w:val="39"/>
              <w:ind w:firstLine="0" w:firstLineChars="0"/>
              <w:rPr>
                <w:rFonts w:ascii="宋体" w:hAnsi="宋体" w:cs="宋体"/>
                <w:color w:val="auto"/>
                <w:szCs w:val="21"/>
                <w:highlight w:val="none"/>
              </w:rPr>
            </w:pPr>
            <w:r>
              <w:rPr>
                <w:rFonts w:hint="eastAsia" w:ascii="宋体" w:hAnsi="宋体"/>
                <w:color w:val="auto"/>
                <w:szCs w:val="21"/>
                <w:highlight w:val="none"/>
              </w:rPr>
              <w:sym w:font="Wingdings 2" w:char="00A3"/>
            </w:r>
            <w:r>
              <w:rPr>
                <w:rFonts w:hint="eastAsia" w:ascii="宋体" w:hAnsi="宋体" w:cs="宋体"/>
                <w:color w:val="auto"/>
                <w:szCs w:val="21"/>
                <w:highlight w:val="none"/>
              </w:rPr>
              <w:t>是，</w:t>
            </w:r>
            <w:r>
              <w:rPr>
                <w:rFonts w:hint="eastAsia" w:ascii="宋体" w:hAnsi="宋体"/>
                <w:color w:val="auto"/>
                <w:szCs w:val="21"/>
                <w:highlight w:val="none"/>
              </w:rPr>
              <w:t>联合体投标的，应满足下列要求：</w:t>
            </w:r>
            <w:r>
              <w:rPr>
                <w:rFonts w:ascii="宋体" w:hAnsi="宋体"/>
                <w:color w:val="auto"/>
                <w:szCs w:val="21"/>
                <w:highlight w:val="none"/>
                <w:u w:val="single"/>
              </w:rPr>
              <w:t xml:space="preserve">         </w:t>
            </w:r>
            <w:r>
              <w:rPr>
                <w:rFonts w:hint="eastAsia" w:ascii="宋体" w:hAnsi="宋体" w:cs="宋体"/>
                <w:color w:val="auto"/>
                <w:szCs w:val="21"/>
                <w:highlight w:val="none"/>
              </w:rPr>
              <w:t>；</w:t>
            </w:r>
          </w:p>
          <w:p>
            <w:pPr>
              <w:rPr>
                <w:rFonts w:ascii="宋体" w:hAnsi="宋体"/>
                <w:b/>
                <w:bCs/>
                <w:color w:val="auto"/>
                <w:szCs w:val="21"/>
                <w:highlight w:val="none"/>
              </w:rPr>
            </w:pPr>
            <w:r>
              <w:rPr>
                <w:rFonts w:hint="eastAsia" w:ascii="宋体" w:hAnsi="宋体"/>
                <w:color w:val="auto"/>
                <w:szCs w:val="21"/>
                <w:highlight w:val="none"/>
              </w:rPr>
              <w:sym w:font="Wingdings 2" w:char="0052"/>
            </w:r>
            <w:r>
              <w:rPr>
                <w:rFonts w:hint="eastAsia" w:ascii="宋体" w:hAnsi="宋体" w:cs="宋体"/>
                <w:color w:val="auto"/>
                <w:szCs w:val="21"/>
                <w:highlight w:val="none"/>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b/>
                <w:bCs/>
                <w:color w:val="auto"/>
                <w:szCs w:val="21"/>
                <w:highlight w:val="none"/>
              </w:rPr>
              <w:t>资金来源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bCs/>
                <w:color w:val="auto"/>
                <w:szCs w:val="21"/>
                <w:highlight w:val="none"/>
              </w:rPr>
            </w:pPr>
            <w:r>
              <w:rPr>
                <w:rFonts w:hint="eastAsia" w:ascii="宋体" w:hAnsi="宋体"/>
                <w:color w:val="auto"/>
                <w:szCs w:val="21"/>
                <w:highlight w:val="none"/>
                <w:u w:val="single"/>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7532" w:type="dxa"/>
            <w:gridSpan w:val="2"/>
            <w:tcBorders>
              <w:tl2br w:val="nil"/>
              <w:tr2bl w:val="nil"/>
            </w:tcBorders>
            <w:vAlign w:val="center"/>
          </w:tcPr>
          <w:p>
            <w:pPr>
              <w:rPr>
                <w:rFonts w:ascii="宋体" w:hAnsi="宋体"/>
                <w:b/>
                <w:color w:val="auto"/>
                <w:szCs w:val="21"/>
                <w:highlight w:val="none"/>
              </w:rPr>
            </w:pPr>
            <w:r>
              <w:rPr>
                <w:rFonts w:hint="eastAsia" w:ascii="宋体" w:hAnsi="宋体"/>
                <w:b/>
                <w:color w:val="auto"/>
                <w:szCs w:val="21"/>
                <w:highlight w:val="none"/>
              </w:rPr>
              <w:t>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Cs/>
                <w:color w:val="auto"/>
                <w:szCs w:val="21"/>
                <w:highlight w:val="none"/>
              </w:rPr>
            </w:pPr>
            <w:r>
              <w:rPr>
                <w:rFonts w:hint="eastAsia" w:ascii="宋体" w:hAnsi="宋体"/>
                <w:bCs/>
                <w:color w:val="auto"/>
                <w:szCs w:val="21"/>
                <w:highlight w:val="none"/>
                <w:lang w:eastAsia="zh-CN"/>
              </w:rPr>
              <w:sym w:font="Wingdings 2" w:char="0052"/>
            </w:r>
            <w:r>
              <w:rPr>
                <w:rFonts w:hint="eastAsia" w:ascii="宋体" w:hAnsi="宋体"/>
                <w:bCs/>
                <w:color w:val="auto"/>
                <w:szCs w:val="21"/>
                <w:highlight w:val="none"/>
              </w:rPr>
              <w:t>不组织 。</w:t>
            </w:r>
          </w:p>
          <w:p>
            <w:pPr>
              <w:rPr>
                <w:rFonts w:ascii="宋体" w:hAnsi="宋体"/>
                <w:bCs/>
                <w:color w:val="auto"/>
                <w:szCs w:val="21"/>
                <w:highlight w:val="none"/>
              </w:rPr>
            </w:pPr>
            <w:r>
              <w:rPr>
                <w:rFonts w:hint="eastAsia" w:ascii="宋体" w:hAnsi="宋体"/>
                <w:bCs/>
                <w:color w:val="auto"/>
                <w:szCs w:val="21"/>
                <w:highlight w:val="none"/>
              </w:rPr>
              <w:t>□组织，踏勘现场时间、地点：</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629"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二、投标文件的编制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7532" w:type="dxa"/>
            <w:gridSpan w:val="2"/>
            <w:tcBorders>
              <w:tl2br w:val="nil"/>
              <w:tr2bl w:val="nil"/>
            </w:tcBorders>
            <w:vAlign w:val="center"/>
          </w:tcPr>
          <w:p>
            <w:pPr>
              <w:rPr>
                <w:rFonts w:ascii="宋体" w:hAnsi="宋体"/>
                <w:b/>
                <w:color w:val="auto"/>
                <w:szCs w:val="21"/>
                <w:highlight w:val="none"/>
              </w:rPr>
            </w:pPr>
            <w:r>
              <w:rPr>
                <w:rFonts w:hint="eastAsia" w:ascii="宋体" w:hAnsi="宋体"/>
                <w:b/>
                <w:color w:val="auto"/>
                <w:szCs w:val="21"/>
                <w:highlight w:val="none"/>
              </w:rPr>
              <w:t>投标语言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rPr>
                <w:rFonts w:ascii="宋体" w:hAnsi="宋体"/>
                <w:b/>
                <w:color w:val="auto"/>
                <w:szCs w:val="21"/>
                <w:highlight w:val="none"/>
              </w:rPr>
            </w:pPr>
            <w:r>
              <w:rPr>
                <w:rFonts w:hint="eastAsia" w:ascii="宋体" w:hAnsi="宋体"/>
                <w:color w:val="auto"/>
                <w:szCs w:val="21"/>
                <w:highlight w:val="none"/>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投标报价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color w:val="auto"/>
                <w:szCs w:val="21"/>
                <w:highlight w:val="none"/>
              </w:rPr>
              <w:t>详见投标人须知。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hint="eastAsia" w:ascii="宋体" w:hAnsi="宋体"/>
                <w:color w:val="auto"/>
                <w:szCs w:val="21"/>
                <w:highlight w:val="none"/>
              </w:rPr>
            </w:pPr>
            <w:r>
              <w:rPr>
                <w:rFonts w:hint="eastAsia" w:ascii="宋体" w:hAnsi="宋体"/>
                <w:color w:val="auto"/>
                <w:szCs w:val="21"/>
                <w:highlight w:val="none"/>
              </w:rPr>
              <w:t>（1）投标保证金金额：</w:t>
            </w:r>
          </w:p>
          <w:p>
            <w:pPr>
              <w:jc w:val="both"/>
              <w:rPr>
                <w:rFonts w:ascii="宋体" w:hAnsi="宋体"/>
                <w:color w:val="auto"/>
                <w:szCs w:val="21"/>
                <w:highlight w:val="none"/>
              </w:rPr>
            </w:pPr>
            <w:r>
              <w:rPr>
                <w:rFonts w:hint="eastAsia" w:ascii="宋体" w:hAnsi="宋体"/>
                <w:b/>
                <w:bCs/>
                <w:color w:val="auto"/>
                <w:szCs w:val="21"/>
                <w:highlight w:val="none"/>
                <w:u w:val="single"/>
              </w:rPr>
              <w:t>人民币</w:t>
            </w:r>
            <w:r>
              <w:rPr>
                <w:rFonts w:hint="eastAsia" w:ascii="宋体" w:hAnsi="宋体"/>
                <w:b/>
                <w:bCs/>
                <w:color w:val="auto"/>
                <w:szCs w:val="21"/>
                <w:highlight w:val="none"/>
                <w:u w:val="single"/>
                <w:lang w:eastAsia="zh-CN"/>
              </w:rPr>
              <w:t>壹拾柒万元整（</w:t>
            </w:r>
            <w:r>
              <w:rPr>
                <w:rFonts w:hint="eastAsia" w:ascii="宋体" w:hAnsi="宋体"/>
                <w:b/>
                <w:bCs/>
                <w:color w:val="auto"/>
                <w:szCs w:val="21"/>
                <w:highlight w:val="none"/>
                <w:u w:val="single"/>
              </w:rPr>
              <w:t>￥</w:t>
            </w:r>
            <w:r>
              <w:rPr>
                <w:rFonts w:hint="eastAsia" w:ascii="宋体" w:hAnsi="宋体"/>
                <w:b/>
                <w:bCs/>
                <w:color w:val="auto"/>
                <w:szCs w:val="21"/>
                <w:highlight w:val="none"/>
                <w:u w:val="single"/>
                <w:lang w:val="en-US" w:eastAsia="zh-CN"/>
              </w:rPr>
              <w:t>170</w:t>
            </w:r>
            <w:r>
              <w:rPr>
                <w:rFonts w:hint="eastAsia" w:ascii="宋体" w:hAnsi="宋体"/>
                <w:b/>
                <w:bCs/>
                <w:color w:val="auto"/>
                <w:szCs w:val="21"/>
                <w:highlight w:val="none"/>
                <w:u w:val="single"/>
              </w:rPr>
              <w:t>000.00元</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tabs>
                <w:tab w:val="left" w:pos="567"/>
              </w:tabs>
              <w:jc w:val="both"/>
              <w:rPr>
                <w:rFonts w:hAnsi="宋体"/>
                <w:color w:val="auto"/>
                <w:kern w:val="2"/>
                <w:szCs w:val="21"/>
                <w:highlight w:val="none"/>
                <w:lang w:val="zh-CN"/>
              </w:rPr>
            </w:pPr>
            <w:r>
              <w:rPr>
                <w:rFonts w:hint="eastAsia" w:ascii="宋体" w:hAnsi="宋体"/>
                <w:color w:val="auto"/>
                <w:szCs w:val="21"/>
                <w:highlight w:val="none"/>
              </w:rPr>
              <w:t>（2）</w:t>
            </w:r>
            <w:r>
              <w:rPr>
                <w:rFonts w:hint="eastAsia" w:hAnsi="宋体"/>
                <w:color w:val="auto"/>
                <w:kern w:val="2"/>
                <w:szCs w:val="21"/>
                <w:highlight w:val="none"/>
                <w:lang w:val="zh-CN"/>
              </w:rPr>
              <w:t>投标保证金采用转帐、电汇方式提交，应符合以下要求：采用银行转账、电汇方式提交的，保证金汇入以下投标保证金专用账户，不接收由以投标人分支机构、私人帐户和其他单位转入的保证金。投标保证金必须在投标文件递交截止前到账，投标保证金未按规定时间到达指定账户或提交金额不足的，将被视为无效投标。且在备注或用途中注明本项目的项目编号。</w:t>
            </w:r>
          </w:p>
          <w:p>
            <w:pPr>
              <w:tabs>
                <w:tab w:val="left" w:pos="567"/>
              </w:tabs>
              <w:ind w:left="567" w:hanging="567"/>
              <w:jc w:val="both"/>
              <w:rPr>
                <w:rFonts w:hAnsi="宋体"/>
                <w:color w:val="auto"/>
                <w:kern w:val="2"/>
                <w:szCs w:val="21"/>
                <w:highlight w:val="none"/>
                <w:lang w:val="zh-CN"/>
              </w:rPr>
            </w:pPr>
            <w:r>
              <w:rPr>
                <w:rFonts w:hint="eastAsia" w:hAnsi="宋体"/>
                <w:color w:val="auto"/>
                <w:kern w:val="2"/>
                <w:szCs w:val="21"/>
                <w:highlight w:val="none"/>
                <w:lang w:val="zh-CN"/>
              </w:rPr>
              <w:t>投标保证金专用账户如下：</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帐户名称：</w:t>
            </w:r>
            <w:r>
              <w:rPr>
                <w:rFonts w:hint="eastAsia" w:ascii="宋体" w:hAnsi="宋体" w:cs="宋体"/>
                <w:bCs/>
                <w:color w:val="auto"/>
                <w:sz w:val="21"/>
                <w:szCs w:val="21"/>
                <w:highlight w:val="none"/>
                <w:u w:val="single"/>
              </w:rPr>
              <w:t>东莞市新东元环保投资有限公司</w:t>
            </w:r>
            <w:r>
              <w:rPr>
                <w:rFonts w:hint="eastAsia" w:hAnsi="宋体" w:cs="宋体"/>
                <w:color w:val="auto"/>
                <w:kern w:val="2"/>
                <w:szCs w:val="21"/>
                <w:highlight w:val="none"/>
                <w:lang w:val="zh-CN"/>
              </w:rPr>
              <w:t>；</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开户银行：</w:t>
            </w:r>
            <w:r>
              <w:rPr>
                <w:rFonts w:hint="eastAsia" w:ascii="宋体" w:hAnsi="宋体" w:cs="宋体"/>
                <w:bCs/>
                <w:color w:val="auto"/>
                <w:sz w:val="21"/>
                <w:szCs w:val="21"/>
                <w:highlight w:val="none"/>
                <w:u w:val="single"/>
              </w:rPr>
              <w:t>中国银行股份有限公司东莞分行</w:t>
            </w:r>
            <w:r>
              <w:rPr>
                <w:rFonts w:hint="eastAsia" w:hAnsi="宋体" w:cs="宋体"/>
                <w:color w:val="auto"/>
                <w:kern w:val="2"/>
                <w:szCs w:val="21"/>
                <w:highlight w:val="none"/>
                <w:lang w:val="zh-CN"/>
              </w:rPr>
              <w:t>；</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银行帐号：</w:t>
            </w:r>
            <w:r>
              <w:rPr>
                <w:rFonts w:ascii="宋体" w:hAnsi="宋体"/>
                <w:color w:val="auto"/>
                <w:sz w:val="21"/>
                <w:szCs w:val="21"/>
                <w:highlight w:val="none"/>
                <w:u w:val="single"/>
              </w:rPr>
              <w:t>669170104633</w:t>
            </w:r>
            <w:r>
              <w:rPr>
                <w:rFonts w:hint="eastAsia" w:hAnsi="宋体" w:cs="宋体"/>
                <w:color w:val="auto"/>
                <w:kern w:val="2"/>
                <w:szCs w:val="21"/>
                <w:highlight w:val="none"/>
                <w:lang w:val="zh-CN"/>
              </w:rPr>
              <w:t>；</w:t>
            </w:r>
            <w:r>
              <w:rPr>
                <w:rFonts w:hint="eastAsia" w:hAnsi="宋体" w:cs="宋体"/>
                <w:color w:val="auto"/>
                <w:kern w:val="2"/>
                <w:szCs w:val="21"/>
                <w:highlight w:val="none"/>
                <w:u w:val="single"/>
              </w:rPr>
              <w:t xml:space="preserve">  </w:t>
            </w:r>
          </w:p>
          <w:p>
            <w:pPr>
              <w:tabs>
                <w:tab w:val="left" w:pos="567"/>
              </w:tabs>
              <w:ind w:firstLine="422" w:firstLineChars="200"/>
              <w:jc w:val="both"/>
              <w:rPr>
                <w:rFonts w:ascii="宋体" w:hAnsi="宋体"/>
                <w:b/>
                <w:color w:val="auto"/>
                <w:szCs w:val="21"/>
                <w:highlight w:val="none"/>
              </w:rPr>
            </w:pPr>
            <w:r>
              <w:rPr>
                <w:rFonts w:hint="eastAsia" w:ascii="宋体" w:hAnsi="宋体" w:eastAsia="宋体" w:cs="宋体"/>
                <w:b/>
                <w:color w:val="auto"/>
                <w:szCs w:val="21"/>
                <w:highlight w:val="none"/>
              </w:rPr>
              <w:t>（注：</w:t>
            </w:r>
            <w:r>
              <w:rPr>
                <w:rFonts w:hint="eastAsia" w:ascii="宋体" w:hAnsi="宋体" w:eastAsia="宋体" w:cs="宋体"/>
                <w:b/>
                <w:color w:val="auto"/>
                <w:szCs w:val="21"/>
                <w:highlight w:val="none"/>
                <w:lang w:val="en-US" w:eastAsia="zh-CN"/>
              </w:rPr>
              <w:t>1、</w:t>
            </w:r>
            <w:r>
              <w:rPr>
                <w:rFonts w:hint="eastAsia" w:ascii="宋体" w:hAnsi="宋体" w:eastAsia="宋体" w:cs="宋体"/>
                <w:b/>
                <w:color w:val="auto"/>
                <w:szCs w:val="21"/>
                <w:highlight w:val="none"/>
              </w:rPr>
              <w:t>各投标人在转帐或电汇时须在用途栏上备注项目编号，及项目名称，如有字数限制项目名称可简写。</w:t>
            </w:r>
            <w:r>
              <w:rPr>
                <w:rFonts w:hint="eastAsia" w:ascii="宋体" w:hAnsi="宋体" w:eastAsia="宋体" w:cs="宋体"/>
                <w:b/>
                <w:color w:val="auto"/>
                <w:szCs w:val="21"/>
                <w:highlight w:val="none"/>
                <w:lang w:val="en-US" w:eastAsia="zh-CN"/>
              </w:rPr>
              <w:t>2、参与东莞市海心沙资源综合利用中心环保热电厂活性炭、石灰采购项目的</w:t>
            </w:r>
            <w:r>
              <w:rPr>
                <w:rFonts w:hint="eastAsia" w:ascii="宋体" w:hAnsi="宋体" w:eastAsia="宋体" w:cs="宋体"/>
                <w:b/>
                <w:color w:val="auto"/>
                <w:szCs w:val="21"/>
                <w:highlight w:val="none"/>
              </w:rPr>
              <w:t>投标保证金</w:t>
            </w:r>
            <w:r>
              <w:rPr>
                <w:rFonts w:hint="eastAsia" w:ascii="宋体" w:hAnsi="宋体" w:eastAsia="宋体" w:cs="宋体"/>
                <w:b/>
                <w:color w:val="auto"/>
                <w:szCs w:val="21"/>
                <w:highlight w:val="none"/>
                <w:lang w:eastAsia="zh-CN"/>
              </w:rPr>
              <w:t>可延长至本次采购，如不再参加本项目重新采购，需退回已递交的</w:t>
            </w:r>
            <w:r>
              <w:rPr>
                <w:rFonts w:hint="eastAsia" w:ascii="宋体" w:hAnsi="宋体" w:eastAsia="宋体" w:cs="宋体"/>
                <w:b/>
                <w:color w:val="auto"/>
                <w:szCs w:val="21"/>
                <w:highlight w:val="none"/>
              </w:rPr>
              <w:t>投标保证金</w:t>
            </w:r>
            <w:r>
              <w:rPr>
                <w:rFonts w:hint="eastAsia" w:ascii="宋体" w:hAnsi="宋体" w:eastAsia="宋体" w:cs="宋体"/>
                <w:b/>
                <w:color w:val="auto"/>
                <w:szCs w:val="21"/>
                <w:highlight w:val="none"/>
                <w:lang w:eastAsia="zh-CN"/>
              </w:rPr>
              <w:t>的，可发送</w:t>
            </w:r>
            <w:r>
              <w:rPr>
                <w:rFonts w:hint="eastAsia" w:ascii="宋体" w:hAnsi="宋体" w:eastAsia="宋体" w:cs="宋体"/>
                <w:b/>
                <w:color w:val="auto"/>
                <w:szCs w:val="21"/>
                <w:highlight w:val="none"/>
              </w:rPr>
              <w:t>投标保证金</w:t>
            </w:r>
            <w:r>
              <w:rPr>
                <w:rFonts w:hint="eastAsia" w:ascii="宋体" w:hAnsi="宋体" w:eastAsia="宋体" w:cs="宋体"/>
                <w:b/>
                <w:color w:val="auto"/>
                <w:szCs w:val="21"/>
                <w:highlight w:val="none"/>
                <w:lang w:eastAsia="zh-CN"/>
              </w:rPr>
              <w:t>退回申请至采购代理邮箱</w:t>
            </w:r>
            <w:r>
              <w:rPr>
                <w:rFonts w:hint="eastAsia" w:ascii="宋体" w:hAnsi="宋体" w:eastAsia="宋体" w:cs="宋体"/>
                <w:b/>
                <w:color w:val="auto"/>
                <w:szCs w:val="21"/>
                <w:highlight w:val="none"/>
              </w:rPr>
              <w:t>48463673@qq.com</w:t>
            </w:r>
            <w:r>
              <w:rPr>
                <w:rFonts w:hint="eastAsia" w:ascii="宋体" w:hAnsi="宋体" w:eastAsia="宋体" w:cs="宋体"/>
                <w:b/>
                <w:color w:val="auto"/>
                <w:szCs w:val="21"/>
                <w:highlight w:val="none"/>
                <w:lang w:val="en-US" w:eastAsia="zh-CN"/>
              </w:rPr>
              <w:t>，</w:t>
            </w:r>
            <w:r>
              <w:rPr>
                <w:rFonts w:hint="eastAsia" w:ascii="宋体" w:hAnsi="宋体" w:eastAsia="宋体" w:cs="宋体"/>
                <w:b/>
                <w:color w:val="auto"/>
                <w:szCs w:val="21"/>
                <w:highlight w:val="none"/>
              </w:rPr>
              <w:t>投标保证金</w:t>
            </w:r>
            <w:r>
              <w:rPr>
                <w:rFonts w:hint="eastAsia" w:ascii="宋体" w:hAnsi="宋体" w:eastAsia="宋体" w:cs="宋体"/>
                <w:b/>
                <w:color w:val="auto"/>
                <w:szCs w:val="21"/>
                <w:highlight w:val="none"/>
                <w:lang w:val="en-US" w:eastAsia="zh-CN"/>
              </w:rPr>
              <w:t>退回申请格式自拟，加盖响应供应商公章</w:t>
            </w:r>
            <w:r>
              <w:rPr>
                <w:rFonts w:hint="eastAsia" w:ascii="宋体" w:hAnsi="宋体" w:eastAsia="宋体" w:cs="宋体"/>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7532" w:type="dxa"/>
            <w:gridSpan w:val="2"/>
            <w:tcBorders>
              <w:tl2br w:val="nil"/>
              <w:tr2bl w:val="nil"/>
            </w:tcBorders>
            <w:vAlign w:val="center"/>
          </w:tcPr>
          <w:p>
            <w:pPr>
              <w:jc w:val="both"/>
              <w:rPr>
                <w:rFonts w:ascii="宋体" w:hAnsi="宋体"/>
                <w:b/>
                <w:bCs/>
                <w:color w:val="auto"/>
                <w:szCs w:val="21"/>
                <w:highlight w:val="none"/>
                <w:lang w:val="zh-CN"/>
              </w:rPr>
            </w:pPr>
            <w:r>
              <w:rPr>
                <w:rFonts w:hint="eastAsia" w:ascii="宋体" w:hAnsi="宋体"/>
                <w:b/>
                <w:bCs/>
                <w:color w:val="auto"/>
                <w:szCs w:val="21"/>
                <w:highlight w:val="none"/>
                <w:lang w:val="zh-CN"/>
              </w:rPr>
              <w:t>投标保证金退还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70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lang w:val="zh-CN"/>
              </w:rPr>
            </w:pPr>
            <w:r>
              <w:rPr>
                <w:rFonts w:hint="eastAsia" w:ascii="宋体" w:hAnsi="宋体"/>
                <w:color w:val="auto"/>
                <w:szCs w:val="21"/>
                <w:highlight w:val="none"/>
                <w:lang w:val="zh-CN"/>
              </w:rPr>
              <w:t>（</w:t>
            </w:r>
            <w:r>
              <w:rPr>
                <w:rFonts w:hint="eastAsia" w:ascii="宋体" w:hAnsi="宋体"/>
                <w:color w:val="auto"/>
                <w:szCs w:val="21"/>
                <w:highlight w:val="none"/>
              </w:rPr>
              <w:t>1</w:t>
            </w:r>
            <w:r>
              <w:rPr>
                <w:rFonts w:hint="eastAsia" w:ascii="宋体" w:hAnsi="宋体"/>
                <w:color w:val="auto"/>
                <w:szCs w:val="21"/>
                <w:highlight w:val="none"/>
                <w:lang w:val="zh-CN"/>
              </w:rPr>
              <w:t>）未中标的投标人的保证金应当在中标通知书发出后退还，中标</w:t>
            </w:r>
            <w:r>
              <w:rPr>
                <w:rFonts w:hint="eastAsia" w:ascii="宋体" w:hAnsi="宋体"/>
                <w:color w:val="auto"/>
                <w:szCs w:val="21"/>
                <w:highlight w:val="none"/>
              </w:rPr>
              <w:t>的</w:t>
            </w:r>
            <w:r>
              <w:rPr>
                <w:rFonts w:hint="eastAsia" w:ascii="宋体" w:hAnsi="宋体"/>
                <w:color w:val="auto"/>
                <w:szCs w:val="21"/>
                <w:highlight w:val="none"/>
                <w:lang w:val="zh-CN"/>
              </w:rPr>
              <w:t>投标人的保证金应当在采购合同签订</w:t>
            </w:r>
            <w:r>
              <w:rPr>
                <w:rFonts w:hint="eastAsia" w:ascii="宋体" w:hAnsi="宋体"/>
                <w:color w:val="auto"/>
                <w:szCs w:val="21"/>
                <w:highlight w:val="none"/>
              </w:rPr>
              <w:t>并缴纳履约保证金</w:t>
            </w:r>
            <w:r>
              <w:rPr>
                <w:rFonts w:hint="eastAsia" w:ascii="宋体" w:hAnsi="宋体"/>
                <w:color w:val="auto"/>
                <w:szCs w:val="21"/>
                <w:highlight w:val="none"/>
                <w:lang w:val="zh-CN"/>
              </w:rPr>
              <w:t>后退还。</w:t>
            </w:r>
          </w:p>
          <w:p>
            <w:pPr>
              <w:jc w:val="both"/>
              <w:rPr>
                <w:color w:val="auto"/>
                <w:highlight w:val="none"/>
              </w:rPr>
            </w:pPr>
            <w:r>
              <w:rPr>
                <w:rFonts w:hint="eastAsia" w:ascii="宋体" w:hAnsi="宋体"/>
                <w:color w:val="auto"/>
                <w:szCs w:val="21"/>
                <w:highlight w:val="none"/>
                <w:lang w:val="zh-CN"/>
              </w:rPr>
              <w:t>（</w:t>
            </w:r>
            <w:r>
              <w:rPr>
                <w:rFonts w:hint="eastAsia" w:ascii="宋体" w:hAnsi="宋体"/>
                <w:color w:val="auto"/>
                <w:szCs w:val="21"/>
                <w:highlight w:val="none"/>
              </w:rPr>
              <w:t>2</w:t>
            </w:r>
            <w:r>
              <w:rPr>
                <w:rFonts w:hint="eastAsia" w:ascii="宋体" w:hAnsi="宋体"/>
                <w:color w:val="auto"/>
                <w:szCs w:val="21"/>
                <w:highlight w:val="none"/>
                <w:lang w:val="zh-CN"/>
              </w:rPr>
              <w:t>）为方便退还未中标的投标人的保证金，投标人应制作《投标保证金汇入情况说明》随唱标信封一并递交。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10</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投标有效期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color w:val="auto"/>
                <w:szCs w:val="21"/>
                <w:highlight w:val="none"/>
              </w:rPr>
              <w:t>九十天。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11</w:t>
            </w:r>
          </w:p>
        </w:tc>
        <w:tc>
          <w:tcPr>
            <w:tcW w:w="7532" w:type="dxa"/>
            <w:gridSpan w:val="2"/>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人应提交以下投标文件（投标文件由唱标信封、价格文件、商务文件、技术文件、电子文档五部分组成；价格文件、商务文件、技术文件分别单独装订成册，电子文档装入唱标信封一同封装；具体编制和封装要求详见第四部分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投标文件类型</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份数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唱标信封</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投标文件正本</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7"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投标文件副本</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sym w:font="Wingdings 2" w:char="00A3"/>
            </w:r>
            <w:r>
              <w:rPr>
                <w:rFonts w:hint="eastAsia" w:ascii="宋体" w:hAnsi="宋体"/>
                <w:b/>
                <w:color w:val="auto"/>
                <w:szCs w:val="21"/>
                <w:highlight w:val="none"/>
              </w:rPr>
              <w:t xml:space="preserve">5  </w:t>
            </w:r>
            <w:r>
              <w:rPr>
                <w:rFonts w:hint="eastAsia" w:ascii="宋体" w:hAnsi="宋体"/>
                <w:b/>
                <w:color w:val="auto"/>
                <w:szCs w:val="21"/>
                <w:highlight w:val="none"/>
              </w:rPr>
              <w:sym w:font="Wingdings 2" w:char="0052"/>
            </w:r>
            <w:r>
              <w:rPr>
                <w:rFonts w:hint="eastAsia" w:ascii="宋体" w:hAnsi="宋体"/>
                <w:b/>
                <w:color w:val="auto"/>
                <w:szCs w:val="21"/>
                <w:highlight w:val="none"/>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vMerge w:val="restart"/>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电子文档</w:t>
            </w: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2608" w:type="dxa"/>
            <w:vMerge w:val="continue"/>
            <w:tcBorders>
              <w:tl2br w:val="nil"/>
              <w:tr2bl w:val="nil"/>
            </w:tcBorders>
            <w:vAlign w:val="center"/>
          </w:tcPr>
          <w:p>
            <w:pPr>
              <w:jc w:val="center"/>
              <w:rPr>
                <w:rFonts w:ascii="宋体" w:hAnsi="宋体"/>
                <w:b/>
                <w:color w:val="auto"/>
                <w:szCs w:val="21"/>
                <w:highlight w:val="none"/>
              </w:rPr>
            </w:pPr>
          </w:p>
        </w:tc>
        <w:tc>
          <w:tcPr>
            <w:tcW w:w="4924" w:type="dxa"/>
            <w:tcBorders>
              <w:tl2br w:val="nil"/>
              <w:tr2bl w:val="nil"/>
            </w:tcBorders>
            <w:vAlign w:val="center"/>
          </w:tcPr>
          <w:p>
            <w:pPr>
              <w:jc w:val="center"/>
              <w:rPr>
                <w:rFonts w:ascii="宋体" w:hAnsi="宋体"/>
                <w:b/>
                <w:color w:val="auto"/>
                <w:szCs w:val="21"/>
                <w:highlight w:val="none"/>
              </w:rPr>
            </w:pPr>
            <w:r>
              <w:rPr>
                <w:rFonts w:hint="eastAsia" w:ascii="宋体" w:hAnsi="宋体" w:cs="Times New Roman"/>
                <w:b/>
                <w:color w:val="auto"/>
                <w:szCs w:val="21"/>
                <w:highlight w:val="none"/>
              </w:rPr>
              <w:t>U盘，须含盖章版PDF投标文件和WORD版投标文件各一版，文字采用WORD文档，计算表格采用 EXCEL文档。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三、开标与评标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ascii="宋体" w:hAnsi="宋体"/>
                <w:color w:val="auto"/>
                <w:szCs w:val="21"/>
                <w:highlight w:val="none"/>
              </w:rPr>
            </w:pPr>
            <w:r>
              <w:rPr>
                <w:rFonts w:hint="eastAsia" w:ascii="宋体" w:hAnsi="宋体"/>
                <w:color w:val="auto"/>
                <w:szCs w:val="21"/>
                <w:highlight w:val="none"/>
              </w:rPr>
              <w:t>12</w:t>
            </w: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b/>
                <w:color w:val="auto"/>
                <w:szCs w:val="21"/>
                <w:highlight w:val="none"/>
              </w:rPr>
              <w:t>本项目评标方法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cs="Arial"/>
                <w:b/>
                <w:color w:val="auto"/>
                <w:sz w:val="21"/>
                <w:szCs w:val="21"/>
                <w:highlight w:val="none"/>
              </w:rPr>
              <w:t>最低评标价法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b/>
                <w:color w:val="auto"/>
                <w:szCs w:val="21"/>
                <w:highlight w:val="none"/>
              </w:rPr>
              <w:t>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ascii="宋体" w:hAnsi="宋体"/>
                <w:color w:val="auto"/>
                <w:szCs w:val="21"/>
                <w:highlight w:val="none"/>
              </w:rPr>
            </w:pPr>
            <w:r>
              <w:rPr>
                <w:rFonts w:hint="eastAsia" w:ascii="宋体" w:hAnsi="宋体"/>
                <w:color w:val="auto"/>
                <w:szCs w:val="21"/>
                <w:highlight w:val="none"/>
              </w:rPr>
              <w:t>评标委员会成员共</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七</w:t>
            </w:r>
            <w:r>
              <w:rPr>
                <w:rFonts w:hint="eastAsia" w:ascii="宋体" w:hAnsi="宋体"/>
                <w:color w:val="auto"/>
                <w:szCs w:val="21"/>
                <w:highlight w:val="none"/>
                <w:u w:val="single"/>
              </w:rPr>
              <w:t xml:space="preserve"> </w:t>
            </w:r>
            <w:r>
              <w:rPr>
                <w:rFonts w:hint="eastAsia" w:ascii="宋体" w:hAnsi="宋体"/>
                <w:color w:val="auto"/>
                <w:szCs w:val="21"/>
                <w:highlight w:val="none"/>
              </w:rPr>
              <w:t>人：</w:t>
            </w:r>
            <w:r>
              <w:rPr>
                <w:rFonts w:hint="eastAsia" w:ascii="宋体" w:hAnsi="宋体"/>
                <w:color w:val="auto"/>
                <w:szCs w:val="21"/>
                <w:highlight w:val="none"/>
                <w:lang w:val="zh-CN"/>
              </w:rPr>
              <w:t>评标委员会由采购人</w:t>
            </w:r>
            <w:r>
              <w:rPr>
                <w:rFonts w:hint="eastAsia" w:ascii="宋体" w:hAnsi="宋体"/>
                <w:color w:val="auto"/>
                <w:szCs w:val="21"/>
                <w:highlight w:val="none"/>
              </w:rPr>
              <w:t>的</w:t>
            </w:r>
            <w:r>
              <w:rPr>
                <w:rFonts w:hint="eastAsia" w:ascii="宋体" w:hAnsi="宋体"/>
                <w:color w:val="auto"/>
                <w:szCs w:val="21"/>
                <w:highlight w:val="none"/>
                <w:lang w:val="zh-CN"/>
              </w:rPr>
              <w:t>代表和</w:t>
            </w:r>
            <w:r>
              <w:rPr>
                <w:rFonts w:hint="eastAsia" w:ascii="宋体" w:hAnsi="宋体"/>
                <w:color w:val="auto"/>
                <w:szCs w:val="21"/>
                <w:highlight w:val="none"/>
              </w:rPr>
              <w:t>有关方面的</w:t>
            </w:r>
            <w:r>
              <w:rPr>
                <w:rFonts w:hint="eastAsia" w:ascii="宋体" w:hAnsi="宋体"/>
                <w:color w:val="auto"/>
                <w:szCs w:val="21"/>
                <w:highlight w:val="none"/>
                <w:lang w:val="zh-CN"/>
              </w:rPr>
              <w:t>专家组成，</w:t>
            </w:r>
            <w:r>
              <w:rPr>
                <w:rFonts w:hint="eastAsia" w:ascii="宋体" w:hAnsi="宋体"/>
                <w:color w:val="auto"/>
                <w:szCs w:val="21"/>
                <w:highlight w:val="none"/>
              </w:rPr>
              <w:t>成员人数为</w:t>
            </w:r>
            <w:r>
              <w:rPr>
                <w:rFonts w:hint="eastAsia" w:ascii="宋体" w:hAnsi="宋体"/>
                <w:color w:val="auto"/>
                <w:szCs w:val="21"/>
                <w:highlight w:val="none"/>
                <w:lang w:eastAsia="zh-CN"/>
              </w:rPr>
              <w:t>七</w:t>
            </w:r>
            <w:r>
              <w:rPr>
                <w:rFonts w:hint="eastAsia" w:ascii="宋体" w:hAnsi="宋体"/>
                <w:color w:val="auto"/>
                <w:szCs w:val="21"/>
                <w:highlight w:val="none"/>
              </w:rPr>
              <w:t>人或</w:t>
            </w:r>
            <w:r>
              <w:rPr>
                <w:rFonts w:hint="eastAsia" w:ascii="宋体" w:hAnsi="宋体"/>
                <w:color w:val="auto"/>
                <w:szCs w:val="21"/>
                <w:highlight w:val="none"/>
                <w:lang w:eastAsia="zh-CN"/>
              </w:rPr>
              <w:t>七</w:t>
            </w:r>
            <w:r>
              <w:rPr>
                <w:rFonts w:hint="eastAsia" w:ascii="宋体" w:hAnsi="宋体"/>
                <w:color w:val="auto"/>
                <w:szCs w:val="21"/>
                <w:highlight w:val="none"/>
              </w:rPr>
              <w:t>人以上单数</w:t>
            </w:r>
            <w:r>
              <w:rPr>
                <w:rFonts w:hint="eastAsia" w:ascii="宋体" w:hAnsi="宋体"/>
                <w:color w:val="auto"/>
                <w:szCs w:val="21"/>
                <w:highlight w:val="none"/>
                <w:lang w:val="zh-CN"/>
              </w:rPr>
              <w:t>，其中专家不得少于成员总数的三分之二。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748" w:hRule="atLeast"/>
        </w:trPr>
        <w:tc>
          <w:tcPr>
            <w:tcW w:w="8410" w:type="dxa"/>
            <w:gridSpan w:val="3"/>
            <w:tcBorders>
              <w:tl2br w:val="nil"/>
              <w:tr2bl w:val="nil"/>
            </w:tcBorders>
            <w:vAlign w:val="center"/>
          </w:tcPr>
          <w:p>
            <w:pPr>
              <w:jc w:val="center"/>
              <w:rPr>
                <w:rFonts w:ascii="宋体" w:hAnsi="宋体"/>
                <w:b/>
                <w:color w:val="auto"/>
                <w:szCs w:val="21"/>
                <w:highlight w:val="none"/>
              </w:rPr>
            </w:pPr>
            <w:r>
              <w:rPr>
                <w:rFonts w:hint="eastAsia" w:ascii="宋体" w:hAnsi="宋体"/>
                <w:b/>
                <w:color w:val="auto"/>
                <w:szCs w:val="21"/>
                <w:highlight w:val="none"/>
              </w:rPr>
              <w:t>四、授予合同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tcBorders>
              <w:tl2br w:val="nil"/>
              <w:tr2bl w:val="nil"/>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4</w:t>
            </w:r>
          </w:p>
        </w:tc>
        <w:tc>
          <w:tcPr>
            <w:tcW w:w="7532" w:type="dxa"/>
            <w:gridSpan w:val="2"/>
            <w:tcBorders>
              <w:tl2br w:val="nil"/>
              <w:tr2bl w:val="nil"/>
            </w:tcBorders>
            <w:shd w:val="clear" w:color="auto" w:fill="auto"/>
            <w:vAlign w:val="center"/>
          </w:tcPr>
          <w:p>
            <w:pPr>
              <w:jc w:val="both"/>
              <w:rPr>
                <w:rFonts w:ascii="宋体" w:hAnsi="宋体"/>
                <w:b/>
                <w:color w:val="auto"/>
                <w:szCs w:val="21"/>
                <w:highlight w:val="none"/>
              </w:rPr>
            </w:pPr>
            <w:r>
              <w:rPr>
                <w:rFonts w:hint="eastAsia" w:ascii="宋体" w:hAnsi="宋体"/>
                <w:b/>
                <w:color w:val="auto"/>
                <w:szCs w:val="21"/>
                <w:highlight w:val="none"/>
              </w:rPr>
              <w:t>履约担保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shd w:val="clear" w:color="auto" w:fill="auto"/>
            <w:vAlign w:val="center"/>
          </w:tcPr>
          <w:p>
            <w:pPr>
              <w:jc w:val="both"/>
              <w:rPr>
                <w:rFonts w:hint="eastAsia" w:ascii="宋体" w:hAnsi="宋体" w:eastAsia="宋体"/>
                <w:color w:val="auto"/>
                <w:szCs w:val="21"/>
                <w:highlight w:val="none"/>
                <w:lang w:eastAsia="zh-CN"/>
              </w:rPr>
            </w:pPr>
            <w:r>
              <w:rPr>
                <w:rFonts w:hint="eastAsia" w:ascii="宋体" w:hAnsi="宋体"/>
                <w:color w:val="auto"/>
                <w:szCs w:val="21"/>
                <w:highlight w:val="none"/>
              </w:rPr>
              <w:t>1.履约担保金额为</w:t>
            </w:r>
            <w:r>
              <w:rPr>
                <w:rFonts w:hint="eastAsia" w:ascii="宋体" w:hAnsi="宋体"/>
                <w:color w:val="auto"/>
                <w:szCs w:val="21"/>
                <w:highlight w:val="none"/>
                <w:u w:val="none"/>
              </w:rPr>
              <w:t>：</w:t>
            </w:r>
            <w:r>
              <w:rPr>
                <w:rFonts w:hint="eastAsia" w:ascii="宋体" w:hAnsi="宋体"/>
                <w:color w:val="auto"/>
                <w:szCs w:val="21"/>
                <w:highlight w:val="none"/>
                <w:u w:val="none"/>
                <w:lang w:val="en-US" w:eastAsia="zh-CN"/>
              </w:rPr>
              <w:t>合同暂定总价的</w:t>
            </w:r>
            <w:r>
              <w:rPr>
                <w:rFonts w:hint="eastAsia" w:ascii="宋体" w:hAnsi="宋体"/>
                <w:color w:val="auto"/>
                <w:szCs w:val="21"/>
                <w:highlight w:val="none"/>
                <w:u w:val="single"/>
                <w:lang w:val="en-US" w:eastAsia="zh-CN"/>
              </w:rPr>
              <w:t>10%</w:t>
            </w:r>
            <w:r>
              <w:rPr>
                <w:rFonts w:hint="eastAsia" w:ascii="宋体" w:hAnsi="宋体"/>
                <w:color w:val="auto"/>
                <w:szCs w:val="21"/>
                <w:highlight w:val="none"/>
                <w:u w:val="single"/>
                <w:lang w:eastAsia="zh-CN"/>
              </w:rPr>
              <w:t>；</w:t>
            </w:r>
          </w:p>
          <w:p>
            <w:pPr>
              <w:jc w:val="both"/>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履约保证金账户信息：</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帐户名称：</w:t>
            </w:r>
            <w:r>
              <w:rPr>
                <w:rFonts w:hint="eastAsia" w:ascii="宋体" w:hAnsi="宋体" w:cs="宋体"/>
                <w:bCs/>
                <w:color w:val="auto"/>
                <w:sz w:val="21"/>
                <w:szCs w:val="21"/>
                <w:highlight w:val="none"/>
                <w:u w:val="single"/>
              </w:rPr>
              <w:t>东莞市新东元环保投资有限公司</w:t>
            </w:r>
            <w:r>
              <w:rPr>
                <w:rFonts w:hint="eastAsia" w:hAnsi="宋体" w:cs="宋体"/>
                <w:color w:val="auto"/>
                <w:kern w:val="2"/>
                <w:szCs w:val="21"/>
                <w:highlight w:val="none"/>
                <w:lang w:val="zh-CN"/>
              </w:rPr>
              <w:t>；</w:t>
            </w:r>
          </w:p>
          <w:p>
            <w:pPr>
              <w:tabs>
                <w:tab w:val="left" w:pos="567"/>
              </w:tabs>
              <w:ind w:firstLine="420" w:firstLineChars="200"/>
              <w:jc w:val="both"/>
              <w:rPr>
                <w:rFonts w:hAnsi="宋体" w:cs="宋体"/>
                <w:color w:val="auto"/>
                <w:kern w:val="2"/>
                <w:szCs w:val="21"/>
                <w:highlight w:val="none"/>
                <w:lang w:val="zh-CN"/>
              </w:rPr>
            </w:pPr>
            <w:r>
              <w:rPr>
                <w:rFonts w:hint="eastAsia" w:hAnsi="宋体" w:cs="宋体"/>
                <w:color w:val="auto"/>
                <w:kern w:val="2"/>
                <w:szCs w:val="21"/>
                <w:highlight w:val="none"/>
                <w:lang w:val="zh-CN"/>
              </w:rPr>
              <w:t xml:space="preserve">开户银行： </w:t>
            </w:r>
            <w:r>
              <w:rPr>
                <w:rFonts w:hint="eastAsia" w:ascii="宋体" w:hAnsi="宋体" w:cs="宋体"/>
                <w:bCs/>
                <w:color w:val="auto"/>
                <w:sz w:val="21"/>
                <w:szCs w:val="21"/>
                <w:highlight w:val="none"/>
                <w:u w:val="single"/>
              </w:rPr>
              <w:t>中国银行股份有限公司东莞分行</w:t>
            </w:r>
            <w:r>
              <w:rPr>
                <w:rFonts w:hint="eastAsia" w:hAnsi="宋体" w:cs="宋体"/>
                <w:color w:val="auto"/>
                <w:kern w:val="2"/>
                <w:szCs w:val="21"/>
                <w:highlight w:val="none"/>
                <w:lang w:val="zh-CN"/>
              </w:rPr>
              <w:t>；</w:t>
            </w:r>
          </w:p>
          <w:p>
            <w:pPr>
              <w:ind w:firstLine="420" w:firstLineChars="200"/>
              <w:jc w:val="both"/>
              <w:rPr>
                <w:rFonts w:ascii="宋体" w:hAnsi="宋体"/>
                <w:color w:val="auto"/>
                <w:szCs w:val="21"/>
                <w:highlight w:val="none"/>
              </w:rPr>
            </w:pPr>
            <w:r>
              <w:rPr>
                <w:rFonts w:hint="eastAsia" w:hAnsi="宋体" w:cs="宋体"/>
                <w:color w:val="auto"/>
                <w:kern w:val="2"/>
                <w:szCs w:val="21"/>
                <w:highlight w:val="none"/>
                <w:lang w:val="zh-CN"/>
              </w:rPr>
              <w:t xml:space="preserve">银行帐号： </w:t>
            </w:r>
            <w:r>
              <w:rPr>
                <w:rFonts w:ascii="宋体" w:hAnsi="宋体"/>
                <w:color w:val="auto"/>
                <w:sz w:val="21"/>
                <w:szCs w:val="21"/>
                <w:highlight w:val="none"/>
                <w:u w:val="single"/>
              </w:rPr>
              <w:t>669170104633</w:t>
            </w:r>
            <w:r>
              <w:rPr>
                <w:rFonts w:hint="eastAsia" w:hAnsi="宋体" w:cs="宋体"/>
                <w:color w:val="auto"/>
                <w:kern w:val="2"/>
                <w:szCs w:val="21"/>
                <w:highlight w:val="none"/>
                <w:lang w:val="zh-CN"/>
              </w:rPr>
              <w:t>；</w:t>
            </w:r>
          </w:p>
          <w:p>
            <w:pPr>
              <w:jc w:val="both"/>
              <w:rPr>
                <w:rFonts w:ascii="宋体" w:hAnsi="宋体"/>
                <w:color w:val="auto"/>
                <w:szCs w:val="21"/>
                <w:highlight w:val="none"/>
              </w:rPr>
            </w:pPr>
            <w:r>
              <w:rPr>
                <w:rFonts w:hint="eastAsia" w:ascii="宋体" w:hAnsi="宋体"/>
                <w:color w:val="auto"/>
                <w:szCs w:val="21"/>
                <w:highlight w:val="none"/>
              </w:rPr>
              <w:t>3.中标人在签订合同后15个日历天内提交履约担保，履约担保金额</w:t>
            </w:r>
            <w:r>
              <w:rPr>
                <w:rFonts w:hint="eastAsia" w:ascii="宋体" w:hAnsi="宋体"/>
                <w:color w:val="auto"/>
                <w:szCs w:val="21"/>
                <w:highlight w:val="none"/>
                <w:lang w:eastAsia="zh-CN"/>
              </w:rPr>
              <w:t>为</w:t>
            </w:r>
            <w:r>
              <w:rPr>
                <w:rFonts w:hint="eastAsia" w:ascii="宋体" w:hAnsi="宋体"/>
                <w:color w:val="auto"/>
                <w:szCs w:val="21"/>
                <w:highlight w:val="none"/>
              </w:rPr>
              <w:t>合同暂定总价的10%，如果中标人提交的履约保函的有效期先于合同要求的履约保函有效期到达，中标人应在原提交的履约保函有效期满前15天，无条件办理保函延期手续。否则，视为中标人违约，采购人可在保函到期前将保函金额转为现金存入履约保证金帐户。</w:t>
            </w:r>
          </w:p>
          <w:p>
            <w:pPr>
              <w:jc w:val="both"/>
              <w:rPr>
                <w:rFonts w:ascii="宋体" w:hAnsi="宋体"/>
                <w:color w:val="auto"/>
                <w:szCs w:val="21"/>
                <w:highlight w:val="none"/>
              </w:rPr>
            </w:pPr>
            <w:r>
              <w:rPr>
                <w:rFonts w:hint="eastAsia" w:ascii="宋体" w:hAnsi="宋体"/>
                <w:color w:val="auto"/>
                <w:szCs w:val="21"/>
                <w:highlight w:val="none"/>
              </w:rPr>
              <w:t>4.履约担保期限从合同签订之日起至</w:t>
            </w:r>
            <w:r>
              <w:rPr>
                <w:rFonts w:hint="eastAsia" w:ascii="宋体" w:hAnsi="宋体"/>
                <w:color w:val="auto"/>
                <w:szCs w:val="21"/>
                <w:highlight w:val="none"/>
                <w:lang w:eastAsia="zh-CN"/>
              </w:rPr>
              <w:t>完成本项目最后一批供货并验收合格</w:t>
            </w:r>
            <w:r>
              <w:rPr>
                <w:rFonts w:hint="eastAsia" w:ascii="宋体" w:hAnsi="宋体"/>
                <w:color w:val="auto"/>
                <w:szCs w:val="21"/>
                <w:highlight w:val="none"/>
              </w:rPr>
              <w:t>后，经双方签字</w:t>
            </w:r>
            <w:r>
              <w:rPr>
                <w:rFonts w:hint="eastAsia" w:ascii="宋体" w:hAnsi="宋体"/>
                <w:color w:val="auto"/>
                <w:szCs w:val="21"/>
                <w:highlight w:val="none"/>
                <w:u w:val="single"/>
              </w:rPr>
              <w:t xml:space="preserve">  7  </w:t>
            </w:r>
            <w:r>
              <w:rPr>
                <w:rFonts w:hint="eastAsia" w:ascii="宋体" w:hAnsi="宋体"/>
                <w:color w:val="auto"/>
                <w:szCs w:val="21"/>
                <w:highlight w:val="none"/>
              </w:rPr>
              <w:t>天内保持有效。</w:t>
            </w:r>
          </w:p>
          <w:p>
            <w:pPr>
              <w:jc w:val="both"/>
              <w:rPr>
                <w:rFonts w:ascii="宋体" w:hAnsi="宋体"/>
                <w:color w:val="auto"/>
                <w:szCs w:val="21"/>
                <w:highlight w:val="none"/>
              </w:rPr>
            </w:pPr>
            <w:r>
              <w:rPr>
                <w:rFonts w:hint="eastAsia" w:ascii="宋体" w:hAnsi="宋体"/>
                <w:color w:val="auto"/>
                <w:szCs w:val="21"/>
                <w:highlight w:val="none"/>
              </w:rPr>
              <w:t>5、履约担保要求：</w:t>
            </w:r>
          </w:p>
          <w:p>
            <w:pPr>
              <w:jc w:val="both"/>
              <w:rPr>
                <w:rFonts w:ascii="宋体" w:hAnsi="宋体"/>
                <w:color w:val="auto"/>
                <w:szCs w:val="21"/>
                <w:highlight w:val="none"/>
              </w:rPr>
            </w:pPr>
            <w:r>
              <w:rPr>
                <w:rFonts w:hint="eastAsia" w:ascii="宋体" w:hAnsi="宋体"/>
                <w:color w:val="auto"/>
                <w:szCs w:val="21"/>
                <w:highlight w:val="none"/>
              </w:rPr>
              <w:t>（1）履约保函。如果中标人的履约担保是以银行保函形式提供的，则该银行保函应：</w:t>
            </w:r>
          </w:p>
          <w:p>
            <w:pPr>
              <w:jc w:val="both"/>
              <w:rPr>
                <w:rFonts w:ascii="宋体" w:hAnsi="宋体"/>
                <w:color w:val="auto"/>
                <w:szCs w:val="21"/>
                <w:highlight w:val="none"/>
              </w:rPr>
            </w:pPr>
            <w:r>
              <w:rPr>
                <w:rFonts w:hint="eastAsia" w:ascii="宋体" w:hAnsi="宋体"/>
                <w:color w:val="auto"/>
                <w:szCs w:val="21"/>
                <w:highlight w:val="none"/>
              </w:rPr>
              <w:t>①保函应由银行支行或以上银行机构开具，非东莞市行政区内的银行开具的保函要由银行所在地公证部门出具的公证书。</w:t>
            </w:r>
          </w:p>
          <w:p>
            <w:pPr>
              <w:jc w:val="both"/>
              <w:rPr>
                <w:rFonts w:ascii="宋体" w:hAnsi="宋体"/>
                <w:color w:val="auto"/>
                <w:szCs w:val="21"/>
                <w:highlight w:val="none"/>
              </w:rPr>
            </w:pPr>
            <w:r>
              <w:rPr>
                <w:rFonts w:hint="eastAsia" w:ascii="宋体" w:hAnsi="宋体"/>
                <w:color w:val="auto"/>
                <w:szCs w:val="21"/>
                <w:highlight w:val="none"/>
              </w:rPr>
              <w:t>②保函的格式参考投标文件附件中提供的无条件不可撤销履约保函格式，保函担保期内若项目未能按期</w:t>
            </w:r>
            <w:r>
              <w:rPr>
                <w:rFonts w:hint="eastAsia" w:ascii="宋体" w:hAnsi="宋体"/>
                <w:color w:val="auto"/>
                <w:szCs w:val="21"/>
                <w:highlight w:val="none"/>
                <w:lang w:eastAsia="zh-CN"/>
              </w:rPr>
              <w:t>供货完毕</w:t>
            </w:r>
            <w:r>
              <w:rPr>
                <w:rFonts w:hint="eastAsia" w:ascii="宋体" w:hAnsi="宋体"/>
                <w:color w:val="auto"/>
                <w:szCs w:val="21"/>
                <w:highlight w:val="none"/>
              </w:rPr>
              <w:t>，保函必须延期，办理延期手续时在银行方面所产生费用由中标人负责。</w:t>
            </w:r>
          </w:p>
          <w:p>
            <w:pPr>
              <w:jc w:val="both"/>
              <w:rPr>
                <w:rFonts w:ascii="宋体" w:hAnsi="宋体"/>
                <w:color w:val="auto"/>
                <w:szCs w:val="21"/>
                <w:highlight w:val="none"/>
              </w:rPr>
            </w:pPr>
            <w:r>
              <w:rPr>
                <w:rFonts w:hint="eastAsia" w:ascii="宋体" w:hAnsi="宋体"/>
                <w:color w:val="auto"/>
                <w:szCs w:val="21"/>
                <w:highlight w:val="none"/>
              </w:rPr>
              <w:t>③履约保函必须打印，手写、涂改无效。</w:t>
            </w:r>
          </w:p>
          <w:p>
            <w:pPr>
              <w:jc w:val="both"/>
              <w:rPr>
                <w:rFonts w:ascii="宋体" w:hAnsi="宋体"/>
                <w:color w:val="auto"/>
                <w:szCs w:val="21"/>
                <w:highlight w:val="none"/>
              </w:rPr>
            </w:pPr>
            <w:r>
              <w:rPr>
                <w:rFonts w:hint="eastAsia" w:ascii="宋体" w:hAnsi="宋体"/>
                <w:color w:val="auto"/>
                <w:szCs w:val="21"/>
                <w:highlight w:val="none"/>
              </w:rPr>
              <w:t>（2）履约保证金。可采用电汇、银行汇票等银行转帐方式提交，但不可以采用现金方式提交。中标人必须保证履约保证金以中标人名称在签订合同前提交至采购人指定账户。</w:t>
            </w:r>
          </w:p>
          <w:p>
            <w:pPr>
              <w:jc w:val="both"/>
              <w:rPr>
                <w:rFonts w:ascii="宋体" w:hAnsi="宋体"/>
                <w:color w:val="auto"/>
                <w:szCs w:val="21"/>
                <w:highlight w:val="none"/>
              </w:rPr>
            </w:pPr>
            <w:r>
              <w:rPr>
                <w:rFonts w:hint="eastAsia" w:ascii="宋体" w:hAnsi="宋体"/>
                <w:color w:val="auto"/>
                <w:szCs w:val="21"/>
                <w:highlight w:val="none"/>
              </w:rPr>
              <w:t>（3）若中标人不能按本采购文件的规定提交履约保证金的，采购人将有权取消中标人的中标资格（采购人可以按照评标委员会提出的中标候选人名单排序依次确定其他中标候选人为中标人，也可以重新采购），投标保证金不予退还，给采购人造成的损失如果超过投标保证金数额的，还应当对超过部分予以赔偿。</w:t>
            </w:r>
          </w:p>
          <w:p>
            <w:pPr>
              <w:jc w:val="both"/>
              <w:rPr>
                <w:rFonts w:ascii="宋体" w:hAnsi="宋体"/>
                <w:color w:val="auto"/>
                <w:szCs w:val="21"/>
                <w:highlight w:val="none"/>
              </w:rPr>
            </w:pPr>
            <w:r>
              <w:rPr>
                <w:rFonts w:hint="eastAsia" w:ascii="宋体" w:hAnsi="宋体"/>
                <w:color w:val="auto"/>
                <w:szCs w:val="21"/>
                <w:highlight w:val="none"/>
              </w:rPr>
              <w:t>（4）为取得履约担保所需的费用，由中标人承担；若</w:t>
            </w:r>
            <w:r>
              <w:rPr>
                <w:rFonts w:hint="eastAsia" w:ascii="宋体" w:hAnsi="宋体"/>
                <w:color w:val="auto"/>
                <w:szCs w:val="21"/>
                <w:highlight w:val="none"/>
                <w:lang w:val="en-US" w:eastAsia="zh-CN"/>
              </w:rPr>
              <w:t>合同期延长</w:t>
            </w:r>
            <w:r>
              <w:rPr>
                <w:rFonts w:hint="eastAsia" w:ascii="宋体" w:hAnsi="宋体"/>
                <w:color w:val="auto"/>
                <w:szCs w:val="21"/>
                <w:highlight w:val="none"/>
              </w:rPr>
              <w:t>，履约担保时间延长，延长费用由中标人承担。</w:t>
            </w:r>
          </w:p>
          <w:p>
            <w:pPr>
              <w:jc w:val="both"/>
              <w:rPr>
                <w:rFonts w:ascii="宋体" w:hAnsi="宋体"/>
                <w:color w:val="auto"/>
                <w:szCs w:val="21"/>
                <w:highlight w:val="none"/>
              </w:rPr>
            </w:pPr>
            <w:r>
              <w:rPr>
                <w:rFonts w:hint="eastAsia" w:ascii="宋体" w:hAnsi="宋体"/>
                <w:color w:val="auto"/>
                <w:szCs w:val="21"/>
                <w:highlight w:val="none"/>
              </w:rPr>
              <w:t>（5）若中标人在合同履行过程中出现项目质量事故、工期拖延、欠付工人工资、欠付材料款等情况，采购人在经核查属实后，有权将履约保函金额转为现金存入履约保证金账户；中标人造成采购人损失的，采购人有权立即没收其履约担保，若造成损失超过履约担保的，还应当对超过部分予以赔偿。</w:t>
            </w:r>
          </w:p>
          <w:p>
            <w:pPr>
              <w:jc w:val="both"/>
              <w:rPr>
                <w:rFonts w:ascii="宋体" w:hAnsi="宋体"/>
                <w:color w:val="auto"/>
                <w:szCs w:val="21"/>
                <w:highlight w:val="none"/>
              </w:rPr>
            </w:pPr>
            <w:r>
              <w:rPr>
                <w:rFonts w:hint="eastAsia" w:ascii="宋体" w:hAnsi="宋体"/>
                <w:color w:val="auto"/>
                <w:szCs w:val="21"/>
                <w:highlight w:val="none"/>
              </w:rPr>
              <w:t>（6）下列任何情况发生时，采购人有权行使享有的担保权利：</w:t>
            </w:r>
          </w:p>
          <w:p>
            <w:pPr>
              <w:jc w:val="both"/>
              <w:rPr>
                <w:rFonts w:ascii="宋体" w:hAnsi="宋体"/>
                <w:color w:val="auto"/>
                <w:szCs w:val="21"/>
                <w:highlight w:val="none"/>
              </w:rPr>
            </w:pPr>
            <w:r>
              <w:rPr>
                <w:rFonts w:hint="eastAsia" w:ascii="宋体" w:hAnsi="宋体"/>
                <w:color w:val="auto"/>
                <w:szCs w:val="21"/>
                <w:highlight w:val="none"/>
              </w:rPr>
              <w:t>①中标人将本项目转让给他人，或者在投标文件中未说明，且未经采购人同意，将中标项目分包给他人的；</w:t>
            </w:r>
          </w:p>
          <w:p>
            <w:pPr>
              <w:jc w:val="both"/>
              <w:rPr>
                <w:rFonts w:ascii="宋体" w:hAnsi="宋体"/>
                <w:color w:val="auto"/>
                <w:szCs w:val="21"/>
                <w:highlight w:val="none"/>
              </w:rPr>
            </w:pPr>
            <w:r>
              <w:rPr>
                <w:rFonts w:hint="eastAsia" w:ascii="宋体" w:hAnsi="宋体"/>
                <w:color w:val="auto"/>
                <w:szCs w:val="21"/>
                <w:highlight w:val="none"/>
              </w:rPr>
              <w:t>②中标人在履行采购合同期间，违反有关法律法规的规定及合同约定的条款，损害了采购人的利益。</w:t>
            </w:r>
          </w:p>
          <w:p>
            <w:pPr>
              <w:jc w:val="both"/>
              <w:rPr>
                <w:rFonts w:ascii="宋体" w:hAnsi="宋体"/>
                <w:b/>
                <w:color w:val="auto"/>
                <w:szCs w:val="21"/>
                <w:highlight w:val="none"/>
              </w:rPr>
            </w:pPr>
            <w:r>
              <w:rPr>
                <w:rFonts w:hint="eastAsia" w:ascii="宋体" w:hAnsi="宋体"/>
                <w:color w:val="auto"/>
                <w:szCs w:val="21"/>
                <w:highlight w:val="none"/>
              </w:rPr>
              <w:t>（7）在整个项目验收合格后，中标人向采购人提交退回履约担保的申请，采购人办理履约担保退还手续。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restart"/>
            <w:tcBorders>
              <w:tl2br w:val="nil"/>
              <w:tr2bl w:val="nil"/>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5</w:t>
            </w:r>
          </w:p>
        </w:tc>
        <w:tc>
          <w:tcPr>
            <w:tcW w:w="7532" w:type="dxa"/>
            <w:gridSpan w:val="2"/>
            <w:tcBorders>
              <w:tl2br w:val="nil"/>
              <w:tr2bl w:val="nil"/>
            </w:tcBorders>
            <w:vAlign w:val="center"/>
          </w:tcPr>
          <w:p>
            <w:pPr>
              <w:jc w:val="both"/>
              <w:rPr>
                <w:rFonts w:ascii="宋体" w:hAnsi="宋体"/>
                <w:b/>
                <w:color w:val="auto"/>
                <w:szCs w:val="21"/>
                <w:highlight w:val="none"/>
              </w:rPr>
            </w:pPr>
            <w:r>
              <w:rPr>
                <w:rFonts w:hint="eastAsia" w:ascii="宋体" w:hAnsi="宋体"/>
                <w:b/>
                <w:color w:val="auto"/>
                <w:szCs w:val="21"/>
                <w:highlight w:val="none"/>
              </w:rPr>
              <w:t>中标服务费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continue"/>
            <w:tcBorders>
              <w:tl2br w:val="nil"/>
              <w:tr2bl w:val="nil"/>
            </w:tcBorders>
            <w:vAlign w:val="center"/>
          </w:tcPr>
          <w:p>
            <w:pPr>
              <w:jc w:val="center"/>
              <w:rPr>
                <w:rFonts w:ascii="宋体" w:hAnsi="宋体"/>
                <w:color w:val="auto"/>
                <w:szCs w:val="21"/>
                <w:highlight w:val="none"/>
              </w:rPr>
            </w:pPr>
          </w:p>
        </w:tc>
        <w:tc>
          <w:tcPr>
            <w:tcW w:w="7532" w:type="dxa"/>
            <w:gridSpan w:val="2"/>
            <w:tcBorders>
              <w:tl2br w:val="nil"/>
              <w:tr2bl w:val="nil"/>
            </w:tcBorders>
            <w:vAlign w:val="center"/>
          </w:tcPr>
          <w:p>
            <w:pPr>
              <w:jc w:val="both"/>
              <w:rPr>
                <w:rFonts w:hint="eastAsia" w:ascii="宋体" w:hAnsi="宋体"/>
                <w:color w:val="auto"/>
                <w:szCs w:val="21"/>
                <w:highlight w:val="none"/>
              </w:rPr>
            </w:pPr>
            <w:r>
              <w:rPr>
                <w:rFonts w:hint="eastAsia" w:ascii="宋体" w:hAnsi="宋体"/>
                <w:color w:val="auto"/>
                <w:szCs w:val="21"/>
                <w:highlight w:val="none"/>
              </w:rPr>
              <w:t>本项目中标服务费由</w:t>
            </w:r>
            <w:r>
              <w:rPr>
                <w:rFonts w:hint="eastAsia" w:ascii="宋体" w:hAnsi="宋体"/>
                <w:color w:val="auto"/>
                <w:szCs w:val="21"/>
                <w:highlight w:val="none"/>
                <w:lang w:eastAsia="zh-CN"/>
              </w:rPr>
              <w:t>中标</w:t>
            </w:r>
            <w:r>
              <w:rPr>
                <w:rFonts w:hint="eastAsia" w:ascii="宋体" w:hAnsi="宋体"/>
                <w:color w:val="auto"/>
                <w:szCs w:val="21"/>
                <w:highlight w:val="none"/>
              </w:rPr>
              <w:t>人支付</w:t>
            </w:r>
            <w:r>
              <w:rPr>
                <w:rFonts w:hint="eastAsia" w:ascii="宋体" w:hAnsi="宋体"/>
                <w:color w:val="auto"/>
                <w:szCs w:val="21"/>
                <w:highlight w:val="none"/>
                <w:lang w:val="en-US" w:eastAsia="zh-CN"/>
              </w:rPr>
              <w:t>(每个包组15000.00元）</w:t>
            </w:r>
            <w:r>
              <w:rPr>
                <w:rFonts w:hint="eastAsia" w:ascii="宋体" w:hAnsi="宋体"/>
                <w:color w:val="auto"/>
                <w:szCs w:val="21"/>
                <w:highlight w:val="none"/>
              </w:rPr>
              <w:t>。</w:t>
            </w:r>
          </w:p>
          <w:p>
            <w:pPr>
              <w:jc w:val="both"/>
              <w:rPr>
                <w:rFonts w:hint="eastAsia" w:ascii="宋体" w:hAnsi="宋体"/>
                <w:color w:val="auto"/>
                <w:szCs w:val="21"/>
                <w:highlight w:val="none"/>
                <w:lang w:eastAsia="zh-CN"/>
              </w:rPr>
            </w:pPr>
            <w:r>
              <w:rPr>
                <w:rFonts w:hint="eastAsia" w:ascii="宋体" w:hAnsi="宋体"/>
                <w:color w:val="auto"/>
                <w:szCs w:val="21"/>
                <w:highlight w:val="none"/>
              </w:rPr>
              <w:t>缴纳方式</w:t>
            </w:r>
            <w:r>
              <w:rPr>
                <w:rFonts w:hint="eastAsia" w:ascii="宋体" w:hAnsi="宋体"/>
                <w:color w:val="auto"/>
                <w:szCs w:val="21"/>
                <w:highlight w:val="none"/>
                <w:lang w:eastAsia="zh-CN"/>
              </w:rPr>
              <w:t>：</w:t>
            </w:r>
            <w:r>
              <w:rPr>
                <w:rFonts w:hint="eastAsia" w:ascii="宋体" w:hAnsi="宋体"/>
                <w:color w:val="auto"/>
                <w:szCs w:val="21"/>
                <w:highlight w:val="none"/>
              </w:rPr>
              <w:t>一次性以</w:t>
            </w:r>
            <w:r>
              <w:rPr>
                <w:rFonts w:hint="eastAsia" w:ascii="宋体" w:hAnsi="宋体"/>
                <w:color w:val="auto"/>
                <w:szCs w:val="21"/>
                <w:highlight w:val="none"/>
                <w:lang w:val="en-US" w:eastAsia="zh-CN"/>
              </w:rPr>
              <w:t>现金</w:t>
            </w:r>
            <w:r>
              <w:rPr>
                <w:rFonts w:hint="eastAsia" w:ascii="宋体" w:hAnsi="宋体"/>
                <w:color w:val="auto"/>
                <w:szCs w:val="21"/>
                <w:highlight w:val="none"/>
              </w:rPr>
              <w:t>、电汇的形式支付</w:t>
            </w:r>
            <w:r>
              <w:rPr>
                <w:rFonts w:hint="eastAsia" w:ascii="宋体" w:hAnsi="宋体"/>
                <w:color w:val="auto"/>
                <w:szCs w:val="21"/>
                <w:highlight w:val="none"/>
                <w:lang w:eastAsia="zh-CN"/>
              </w:rPr>
              <w:t>；</w:t>
            </w:r>
          </w:p>
          <w:p>
            <w:pPr>
              <w:jc w:val="both"/>
              <w:rPr>
                <w:rFonts w:hint="eastAsia" w:ascii="宋体" w:hAnsi="宋体"/>
                <w:color w:val="auto"/>
                <w:szCs w:val="21"/>
                <w:highlight w:val="none"/>
                <w:lang w:eastAsia="zh-CN"/>
              </w:rPr>
            </w:pPr>
            <w:r>
              <w:rPr>
                <w:rFonts w:hint="eastAsia" w:ascii="宋体" w:hAnsi="宋体"/>
                <w:color w:val="auto"/>
                <w:szCs w:val="21"/>
                <w:highlight w:val="none"/>
              </w:rPr>
              <w:t>收款人名称</w:t>
            </w:r>
            <w:r>
              <w:rPr>
                <w:rFonts w:hint="eastAsia" w:ascii="宋体" w:hAnsi="宋体"/>
                <w:color w:val="auto"/>
                <w:szCs w:val="21"/>
                <w:highlight w:val="none"/>
                <w:lang w:eastAsia="zh-CN"/>
              </w:rPr>
              <w:t>：广东志合项目管理有限公司</w:t>
            </w:r>
          </w:p>
          <w:p>
            <w:pPr>
              <w:jc w:val="both"/>
              <w:rPr>
                <w:rFonts w:hint="eastAsia" w:ascii="宋体" w:hAnsi="宋体"/>
                <w:color w:val="auto"/>
                <w:szCs w:val="21"/>
                <w:highlight w:val="none"/>
              </w:rPr>
            </w:pPr>
            <w:r>
              <w:rPr>
                <w:rFonts w:hint="eastAsia" w:ascii="宋体" w:hAnsi="宋体"/>
                <w:color w:val="auto"/>
                <w:szCs w:val="21"/>
                <w:highlight w:val="none"/>
              </w:rPr>
              <w:t>开户银行</w:t>
            </w:r>
            <w:r>
              <w:rPr>
                <w:rFonts w:hint="eastAsia" w:ascii="宋体" w:hAnsi="宋体"/>
                <w:color w:val="auto"/>
                <w:szCs w:val="21"/>
                <w:highlight w:val="none"/>
                <w:lang w:eastAsia="zh-CN"/>
              </w:rPr>
              <w:t>：</w:t>
            </w:r>
            <w:r>
              <w:rPr>
                <w:rFonts w:hint="eastAsia" w:ascii="宋体" w:hAnsi="宋体"/>
                <w:color w:val="auto"/>
                <w:szCs w:val="21"/>
                <w:highlight w:val="none"/>
              </w:rPr>
              <w:t>中信银行股份有限公司东莞东城支行</w:t>
            </w:r>
          </w:p>
          <w:p>
            <w:pPr>
              <w:jc w:val="both"/>
              <w:rPr>
                <w:rFonts w:hint="eastAsia" w:ascii="宋体" w:hAnsi="宋体"/>
                <w:color w:val="auto"/>
                <w:szCs w:val="21"/>
                <w:highlight w:val="none"/>
              </w:rPr>
            </w:pPr>
            <w:r>
              <w:rPr>
                <w:rFonts w:hint="eastAsia" w:ascii="宋体" w:hAnsi="宋体"/>
                <w:color w:val="auto"/>
                <w:szCs w:val="21"/>
                <w:highlight w:val="none"/>
              </w:rPr>
              <w:t>开户账号</w:t>
            </w:r>
            <w:r>
              <w:rPr>
                <w:rFonts w:hint="eastAsia" w:ascii="宋体" w:hAnsi="宋体"/>
                <w:color w:val="auto"/>
                <w:szCs w:val="21"/>
                <w:highlight w:val="none"/>
                <w:lang w:eastAsia="zh-CN"/>
              </w:rPr>
              <w:t>：</w:t>
            </w:r>
            <w:r>
              <w:rPr>
                <w:rFonts w:hint="eastAsia" w:ascii="宋体" w:hAnsi="宋体"/>
                <w:color w:val="auto"/>
                <w:szCs w:val="21"/>
                <w:highlight w:val="none"/>
              </w:rPr>
              <w:t>8114801013600150835</w:t>
            </w:r>
          </w:p>
          <w:p>
            <w:pPr>
              <w:jc w:val="both"/>
              <w:rPr>
                <w:rFonts w:hint="eastAsia" w:ascii="宋体" w:hAnsi="宋体" w:eastAsia="宋体"/>
                <w:b w:val="0"/>
                <w:bCs w:val="0"/>
                <w:color w:val="auto"/>
                <w:sz w:val="21"/>
                <w:szCs w:val="21"/>
                <w:highlight w:val="none"/>
                <w:lang w:eastAsia="zh-CN"/>
              </w:rPr>
            </w:pPr>
            <w:r>
              <w:rPr>
                <w:rFonts w:hint="eastAsia" w:ascii="宋体" w:hAnsi="宋体" w:eastAsia="宋体"/>
                <w:b/>
                <w:bCs/>
                <w:color w:val="auto"/>
                <w:sz w:val="21"/>
                <w:szCs w:val="21"/>
                <w:highlight w:val="none"/>
                <w:lang w:eastAsia="zh-CN"/>
              </w:rPr>
              <w:t>注：中标单位在</w:t>
            </w:r>
            <w:r>
              <w:rPr>
                <w:rFonts w:hint="eastAsia" w:ascii="宋体" w:hAnsi="宋体" w:eastAsia="宋体"/>
                <w:b/>
                <w:bCs/>
                <w:color w:val="auto"/>
                <w:sz w:val="21"/>
                <w:szCs w:val="21"/>
                <w:highlight w:val="none"/>
              </w:rPr>
              <w:t>缴纳</w:t>
            </w:r>
            <w:r>
              <w:rPr>
                <w:rFonts w:hint="eastAsia" w:ascii="宋体" w:hAnsi="宋体"/>
                <w:b/>
                <w:bCs/>
                <w:color w:val="auto"/>
                <w:szCs w:val="21"/>
                <w:highlight w:val="none"/>
              </w:rPr>
              <w:t>中标服务费</w:t>
            </w:r>
            <w:r>
              <w:rPr>
                <w:rFonts w:hint="eastAsia" w:ascii="宋体" w:hAnsi="宋体"/>
                <w:b/>
                <w:bCs/>
                <w:color w:val="auto"/>
                <w:szCs w:val="21"/>
                <w:highlight w:val="none"/>
                <w:lang w:eastAsia="zh-CN"/>
              </w:rPr>
              <w:t>时需注意，</w:t>
            </w:r>
            <w:r>
              <w:rPr>
                <w:rFonts w:hint="eastAsia" w:ascii="宋体" w:hAnsi="宋体" w:eastAsia="宋体"/>
                <w:b/>
                <w:bCs/>
                <w:color w:val="auto"/>
                <w:sz w:val="21"/>
                <w:szCs w:val="21"/>
                <w:highlight w:val="none"/>
                <w:lang w:eastAsia="zh-CN"/>
              </w:rPr>
              <w:t>投标保证、履约担保与</w:t>
            </w:r>
            <w:r>
              <w:rPr>
                <w:rFonts w:hint="eastAsia" w:ascii="宋体" w:hAnsi="宋体"/>
                <w:b/>
                <w:bCs/>
                <w:color w:val="auto"/>
                <w:szCs w:val="21"/>
                <w:highlight w:val="none"/>
              </w:rPr>
              <w:t>中标服务费</w:t>
            </w:r>
            <w:r>
              <w:rPr>
                <w:rFonts w:hint="eastAsia" w:ascii="宋体" w:hAnsi="宋体"/>
                <w:b/>
                <w:bCs/>
                <w:color w:val="auto"/>
                <w:szCs w:val="21"/>
                <w:highlight w:val="none"/>
                <w:lang w:eastAsia="zh-CN"/>
              </w:rPr>
              <w:t>不是同一</w:t>
            </w:r>
            <w:r>
              <w:rPr>
                <w:rFonts w:hint="eastAsia" w:hAnsi="宋体" w:cs="宋体"/>
                <w:b/>
                <w:bCs/>
                <w:color w:val="auto"/>
                <w:kern w:val="2"/>
                <w:szCs w:val="21"/>
                <w:highlight w:val="none"/>
                <w:lang w:val="zh-CN"/>
              </w:rPr>
              <w:t>帐户。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3"/>
            <w:tcBorders>
              <w:tl2br w:val="nil"/>
              <w:tr2bl w:val="nil"/>
            </w:tcBorders>
            <w:vAlign w:val="center"/>
          </w:tcPr>
          <w:p>
            <w:pPr>
              <w:widowControl w:val="0"/>
              <w:tabs>
                <w:tab w:val="left" w:pos="907"/>
              </w:tabs>
              <w:adjustRightInd/>
              <w:snapToGrid/>
              <w:ind w:firstLine="420" w:firstLineChars="200"/>
              <w:jc w:val="both"/>
              <w:rPr>
                <w:rFonts w:ascii="宋体" w:hAnsi="宋体"/>
                <w:color w:val="auto"/>
                <w:szCs w:val="21"/>
                <w:highlight w:val="none"/>
              </w:rPr>
            </w:pPr>
            <w:r>
              <w:rPr>
                <w:rFonts w:hint="eastAsia" w:ascii="宋体" w:hAnsi="宋体"/>
                <w:color w:val="auto"/>
                <w:szCs w:val="21"/>
                <w:highlight w:val="none"/>
              </w:rPr>
              <w:t>注：本表关于要采购项目的具体资料，是对投标人须知的具体补充和修改，如有矛盾，应以本资料表为准。不满足采购文件中 “★”条款的投标文件将作无效投标处理。</w:t>
            </w:r>
          </w:p>
        </w:tc>
      </w:tr>
    </w:tbl>
    <w:p>
      <w:pPr>
        <w:jc w:val="center"/>
        <w:rPr>
          <w:color w:val="auto"/>
          <w:highlight w:val="none"/>
        </w:rPr>
      </w:pPr>
      <w:r>
        <w:rPr>
          <w:rFonts w:hint="eastAsia"/>
          <w:color w:val="auto"/>
          <w:highlight w:val="none"/>
        </w:rPr>
        <w:br w:type="page"/>
      </w:r>
    </w:p>
    <w:p>
      <w:pPr>
        <w:pStyle w:val="3"/>
        <w:spacing w:before="0" w:after="0" w:line="240" w:lineRule="auto"/>
        <w:rPr>
          <w:color w:val="auto"/>
          <w:sz w:val="36"/>
          <w:szCs w:val="36"/>
          <w:highlight w:val="none"/>
        </w:rPr>
      </w:pPr>
      <w:bookmarkStart w:id="5" w:name="_Toc29189"/>
      <w:r>
        <w:rPr>
          <w:rFonts w:hint="eastAsia"/>
          <w:color w:val="auto"/>
          <w:sz w:val="28"/>
          <w:szCs w:val="28"/>
          <w:highlight w:val="none"/>
        </w:rPr>
        <w:t>第三部分用户需求书</w:t>
      </w:r>
      <w:bookmarkEnd w:id="5"/>
    </w:p>
    <w:p>
      <w:pPr>
        <w:pStyle w:val="4"/>
        <w:spacing w:before="0" w:after="0" w:line="360" w:lineRule="auto"/>
        <w:jc w:val="center"/>
        <w:rPr>
          <w:rFonts w:ascii="宋体" w:hAnsi="宋体"/>
          <w:color w:val="auto"/>
          <w:highlight w:val="none"/>
        </w:rPr>
      </w:pPr>
      <w:bookmarkStart w:id="6" w:name="_Toc3536"/>
      <w:bookmarkStart w:id="7" w:name="_Toc1593"/>
      <w:bookmarkStart w:id="8" w:name="_Toc308786492"/>
      <w:bookmarkStart w:id="9" w:name="_Toc31278"/>
      <w:bookmarkStart w:id="10" w:name="_Toc14462"/>
      <w:bookmarkStart w:id="11" w:name="_Toc13112"/>
      <w:bookmarkStart w:id="12" w:name="_Toc24679"/>
      <w:r>
        <w:rPr>
          <w:rFonts w:hint="eastAsia" w:ascii="宋体" w:hAnsi="宋体"/>
          <w:color w:val="auto"/>
          <w:highlight w:val="none"/>
        </w:rPr>
        <w:t>第一章 商务需求书</w:t>
      </w:r>
      <w:bookmarkEnd w:id="6"/>
      <w:bookmarkEnd w:id="7"/>
    </w:p>
    <w:tbl>
      <w:tblPr>
        <w:tblStyle w:val="28"/>
        <w:tblW w:w="86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501"/>
        <w:gridCol w:w="6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条款名称</w:t>
            </w:r>
          </w:p>
        </w:tc>
        <w:tc>
          <w:tcPr>
            <w:tcW w:w="646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合格投标人</w:t>
            </w:r>
          </w:p>
        </w:tc>
        <w:tc>
          <w:tcPr>
            <w:tcW w:w="6466" w:type="dxa"/>
            <w:vAlign w:val="center"/>
          </w:tcPr>
          <w:p>
            <w:pPr>
              <w:pStyle w:val="39"/>
              <w:ind w:firstLine="0" w:firstLineChars="0"/>
              <w:rPr>
                <w:rFonts w:ascii="宋体" w:hAnsi="宋体" w:cs="宋体"/>
                <w:bCs/>
                <w:color w:val="auto"/>
                <w:kern w:val="44"/>
                <w:szCs w:val="21"/>
                <w:highlight w:val="none"/>
              </w:rPr>
            </w:pPr>
            <w:r>
              <w:rPr>
                <w:rFonts w:hint="eastAsia" w:ascii="宋体" w:hAnsi="宋体" w:cs="宋体"/>
                <w:color w:val="auto"/>
                <w:szCs w:val="21"/>
                <w:highlight w:val="none"/>
              </w:rPr>
              <w:t>详见“第一部分 投标邀请”中“二、投标人资格要求”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供货期</w:t>
            </w:r>
          </w:p>
        </w:tc>
        <w:tc>
          <w:tcPr>
            <w:tcW w:w="6466" w:type="dxa"/>
            <w:vAlign w:val="center"/>
          </w:tcPr>
          <w:p>
            <w:pPr>
              <w:pStyle w:val="39"/>
              <w:ind w:firstLine="0" w:firstLineChars="0"/>
              <w:rPr>
                <w:rFonts w:ascii="宋体" w:hAnsi="宋体" w:cs="宋体"/>
                <w:color w:val="auto"/>
                <w:szCs w:val="21"/>
                <w:highlight w:val="none"/>
              </w:rPr>
            </w:pPr>
            <w:r>
              <w:rPr>
                <w:rFonts w:hint="eastAsia" w:ascii="宋体" w:hAnsi="宋体" w:cs="宋体"/>
                <w:color w:val="auto"/>
                <w:sz w:val="21"/>
                <w:szCs w:val="21"/>
                <w:highlight w:val="none"/>
                <w:lang w:val="en-US" w:eastAsia="zh-CN" w:bidi="ar-SA"/>
              </w:rPr>
              <w:t>自合同签订之日起为期 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6466" w:type="dxa"/>
            <w:vAlign w:val="center"/>
          </w:tcPr>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本合同项下确定的合同总价由甲方向乙方按</w:t>
            </w:r>
            <w:r>
              <w:rPr>
                <w:rFonts w:hint="eastAsia" w:ascii="宋体" w:hAnsi="宋体" w:cs="宋体"/>
                <w:color w:val="auto"/>
                <w:sz w:val="21"/>
                <w:szCs w:val="21"/>
                <w:highlight w:val="none"/>
                <w:u w:val="none"/>
              </w:rPr>
              <w:t>月结</w:t>
            </w:r>
            <w:r>
              <w:rPr>
                <w:rFonts w:hint="eastAsia" w:ascii="宋体" w:hAnsi="宋体" w:cs="宋体"/>
                <w:color w:val="auto"/>
                <w:sz w:val="21"/>
                <w:szCs w:val="21"/>
                <w:highlight w:val="none"/>
              </w:rPr>
              <w:t>方式支付：</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月结：每自然月结束后，甲方向乙方申请结算上月货物货款。结算数量按上月乙方货物经甲方验收合格的数量（对质量有争议的部分暂时不予结算支付），并且在甲方收到乙方交付的以下资料后三十个工作日内以电汇/转账/银行承兑汇票等方式向乙方支付：</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A．（货物的过磅计量清单）标的货物经甲方地磅计量的实际重量；</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B．开具金额为该月验收合格货物总价100%的增值税专用发票；</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C．乙方向甲方缴纳的履约担保证明资料（首次支付时需要）；</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D．乙方</w:t>
            </w:r>
            <w:r>
              <w:rPr>
                <w:rFonts w:hint="eastAsia" w:ascii="宋体" w:hAnsi="宋体" w:cs="宋体"/>
                <w:snapToGrid/>
                <w:color w:val="auto"/>
                <w:sz w:val="21"/>
                <w:szCs w:val="21"/>
                <w:highlight w:val="none"/>
              </w:rPr>
              <w:t>每月二次随机抽检的第三方检测合格报告；</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E．送货清单（甲方指定收货人签字确认）；</w:t>
            </w:r>
          </w:p>
          <w:p>
            <w:pPr>
              <w:spacing w:line="360" w:lineRule="auto"/>
              <w:ind w:firstLine="0" w:firstLineChars="0"/>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F．每车次货物出厂化验报告；</w:t>
            </w:r>
          </w:p>
          <w:p>
            <w:pPr>
              <w:contextualSpacing/>
              <w:rPr>
                <w:rFonts w:hint="eastAsia" w:ascii="宋体" w:hAnsi="宋体" w:cs="宋体"/>
                <w:color w:val="auto"/>
                <w:szCs w:val="21"/>
                <w:highlight w:val="none"/>
              </w:rPr>
            </w:pPr>
            <w:r>
              <w:rPr>
                <w:rFonts w:hint="eastAsia" w:ascii="宋体" w:hAnsi="宋体" w:cs="宋体"/>
                <w:color w:val="auto"/>
                <w:sz w:val="21"/>
                <w:szCs w:val="21"/>
                <w:highlight w:val="none"/>
              </w:rPr>
              <w:t>G. 双方盖章确认的月度对账单。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项目地点</w:t>
            </w:r>
          </w:p>
        </w:tc>
        <w:tc>
          <w:tcPr>
            <w:tcW w:w="6466" w:type="dxa"/>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东莞市海心沙资源综合利用中心环保热电厂指定地点。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trPr>
        <w:tc>
          <w:tcPr>
            <w:tcW w:w="71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6466" w:type="dxa"/>
            <w:vAlign w:val="center"/>
          </w:tcPr>
          <w:p>
            <w:pPr>
              <w:spacing w:line="360" w:lineRule="auto"/>
              <w:ind w:firstLine="0" w:firstLineChars="0"/>
              <w:contextualSpacing/>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本采购项目为固定单价承包项目，合同价款包括投标人为完成</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项目所需的一切含成本、费用、税金、利润及项目过程中一切可遇见和不可遇见的所有费用。</w:t>
            </w:r>
          </w:p>
          <w:p>
            <w:pPr>
              <w:spacing w:line="360" w:lineRule="auto"/>
              <w:ind w:firstLine="0" w:firstLineChars="0"/>
              <w:contextualSpacing/>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、若投标人对某些项目未报价，则应认为已包括在其它项目的单价和合价内。</w:t>
            </w:r>
          </w:p>
          <w:p>
            <w:pPr>
              <w:pStyle w:val="8"/>
              <w:ind w:firstLine="0" w:firstLineChars="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、投标人的优惠条件应在投标文件中详细予以说明，并与投标报价表一同密封，否则，评标委员会在评审时均将不予考虑。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718"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501" w:type="dxa"/>
            <w:vAlign w:val="center"/>
          </w:tcPr>
          <w:p>
            <w:pPr>
              <w:jc w:val="center"/>
              <w:rPr>
                <w:rFonts w:ascii="宋体" w:hAnsi="宋体"/>
                <w:color w:val="auto"/>
                <w:szCs w:val="21"/>
                <w:highlight w:val="none"/>
              </w:rPr>
            </w:pPr>
            <w:r>
              <w:rPr>
                <w:rFonts w:hint="eastAsia" w:ascii="宋体" w:hAnsi="宋体"/>
                <w:color w:val="auto"/>
                <w:szCs w:val="21"/>
                <w:highlight w:val="none"/>
              </w:rPr>
              <w:t>质保期</w:t>
            </w:r>
          </w:p>
        </w:tc>
        <w:tc>
          <w:tcPr>
            <w:tcW w:w="6466" w:type="dxa"/>
            <w:vAlign w:val="center"/>
          </w:tcPr>
          <w:p>
            <w:pPr>
              <w:tabs>
                <w:tab w:val="center" w:pos="3125"/>
              </w:tabs>
              <w:rPr>
                <w:rFonts w:ascii="宋体" w:hAnsi="宋体" w:cs="宋体"/>
                <w:color w:val="auto"/>
                <w:szCs w:val="21"/>
                <w:highlight w:val="none"/>
              </w:rPr>
            </w:pPr>
            <w:r>
              <w:rPr>
                <w:rFonts w:hint="eastAsia" w:ascii="宋体" w:hAnsi="宋体" w:cs="宋体"/>
                <w:color w:val="auto"/>
                <w:szCs w:val="21"/>
                <w:highlight w:val="none"/>
              </w:rPr>
              <w:t>中标人提供自货物交付验收合格之日起，至少6个月质量保证书。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18"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466" w:type="dxa"/>
            <w:vAlign w:val="center"/>
          </w:tcPr>
          <w:p>
            <w:pPr>
              <w:tabs>
                <w:tab w:val="center" w:pos="3125"/>
              </w:tabs>
              <w:rPr>
                <w:rFonts w:ascii="宋体" w:hAnsi="宋体" w:cs="宋体"/>
                <w:color w:val="auto"/>
                <w:szCs w:val="21"/>
                <w:highlight w:val="none"/>
              </w:rPr>
            </w:pPr>
            <w:r>
              <w:rPr>
                <w:rFonts w:hint="eastAsia" w:ascii="宋体" w:hAnsi="宋体" w:cs="宋体"/>
                <w:color w:val="auto"/>
                <w:szCs w:val="21"/>
                <w:highlight w:val="none"/>
              </w:rPr>
              <w:t>自开标之日起90天。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718"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5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合同条款</w:t>
            </w:r>
          </w:p>
        </w:tc>
        <w:tc>
          <w:tcPr>
            <w:tcW w:w="6466" w:type="dxa"/>
            <w:vAlign w:val="center"/>
          </w:tcPr>
          <w:p>
            <w:pPr>
              <w:rPr>
                <w:rFonts w:ascii="宋体" w:hAnsi="宋体" w:cs="宋体"/>
                <w:color w:val="auto"/>
                <w:szCs w:val="21"/>
                <w:highlight w:val="none"/>
              </w:rPr>
            </w:pPr>
            <w:r>
              <w:rPr>
                <w:rFonts w:hint="eastAsia" w:ascii="宋体" w:hAnsi="宋体" w:cs="宋体"/>
                <w:color w:val="auto"/>
                <w:szCs w:val="21"/>
                <w:highlight w:val="none"/>
              </w:rPr>
              <w:t>投标人实质响应合同各条款。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1" w:hRule="atLeast"/>
        </w:trPr>
        <w:tc>
          <w:tcPr>
            <w:tcW w:w="718"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501"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服务质量考核</w:t>
            </w:r>
          </w:p>
        </w:tc>
        <w:tc>
          <w:tcPr>
            <w:tcW w:w="6466" w:type="dxa"/>
            <w:vAlign w:val="center"/>
          </w:tcPr>
          <w:p>
            <w:pPr>
              <w:rPr>
                <w:rFonts w:ascii="宋体" w:hAnsi="宋体" w:cs="宋体"/>
                <w:color w:val="auto"/>
                <w:szCs w:val="21"/>
                <w:highlight w:val="none"/>
              </w:rPr>
            </w:pPr>
            <w:r>
              <w:rPr>
                <w:rFonts w:hint="eastAsia" w:ascii="宋体" w:hAnsi="宋体" w:cs="宋体"/>
                <w:color w:val="auto"/>
                <w:szCs w:val="21"/>
                <w:highlight w:val="none"/>
              </w:rPr>
              <w:t>1、采购人按考核评分表（附件1）对中标人供货质量、服务情况等进行季度考核。季度考核综合得分大于等于80分，中标人继续履行合同；季度考核综合得分小于80分，采购人有权解除合同。</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2、季度总评考核结果：</w:t>
            </w:r>
          </w:p>
          <w:tbl>
            <w:tblPr>
              <w:tblStyle w:val="28"/>
              <w:tblW w:w="6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15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49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考核结果</w:t>
                  </w:r>
                </w:p>
              </w:tc>
              <w:tc>
                <w:tcPr>
                  <w:tcW w:w="215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分值区间</w:t>
                  </w:r>
                </w:p>
              </w:tc>
              <w:tc>
                <w:tcPr>
                  <w:tcW w:w="25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是否继续执行合同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9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合格</w:t>
                  </w:r>
                </w:p>
              </w:tc>
              <w:tc>
                <w:tcPr>
                  <w:tcW w:w="215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综合得分≥80分</w:t>
                  </w:r>
                </w:p>
              </w:tc>
              <w:tc>
                <w:tcPr>
                  <w:tcW w:w="25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继续执行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49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不合格</w:t>
                  </w:r>
                </w:p>
              </w:tc>
              <w:tc>
                <w:tcPr>
                  <w:tcW w:w="215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综合得分＜80分</w:t>
                  </w:r>
                </w:p>
              </w:tc>
              <w:tc>
                <w:tcPr>
                  <w:tcW w:w="25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任一次不合格采购人有权解除合同</w:t>
                  </w:r>
                </w:p>
              </w:tc>
            </w:tr>
          </w:tbl>
          <w:p>
            <w:pPr>
              <w:ind w:firstLine="420" w:firstLineChars="200"/>
              <w:rPr>
                <w:color w:val="auto"/>
                <w:highlight w:val="none"/>
              </w:rPr>
            </w:pPr>
            <w:r>
              <w:rPr>
                <w:rFonts w:hint="eastAsia" w:ascii="宋体" w:hAnsi="宋体" w:eastAsia="宋体" w:cs="宋体"/>
                <w:color w:val="auto"/>
                <w:szCs w:val="21"/>
                <w:highlight w:val="none"/>
                <w:lang w:eastAsia="zh-CN"/>
              </w:rPr>
              <w:t>内容详见</w:t>
            </w:r>
            <w:r>
              <w:rPr>
                <w:rFonts w:hint="eastAsia" w:ascii="宋体" w:hAnsi="宋体" w:eastAsia="宋体" w:cs="宋体"/>
                <w:color w:val="auto"/>
                <w:szCs w:val="21"/>
                <w:highlight w:val="none"/>
              </w:rPr>
              <w:t>附件1《供货考核评分表》</w:t>
            </w:r>
          </w:p>
        </w:tc>
      </w:tr>
    </w:tbl>
    <w:p>
      <w:pPr>
        <w:rPr>
          <w:rFonts w:hint="eastAsia" w:ascii="宋体" w:hAnsi="宋体"/>
          <w:color w:val="auto"/>
          <w:highlight w:val="none"/>
        </w:rPr>
      </w:pPr>
      <w:bookmarkStart w:id="13" w:name="_Toc19316"/>
    </w:p>
    <w:p>
      <w:pPr>
        <w:adjustRightInd w:val="0"/>
        <w:snapToGrid w:val="0"/>
        <w:spacing w:line="480" w:lineRule="auto"/>
        <w:rPr>
          <w:rFonts w:ascii="宋体" w:hAnsi="宋体" w:cs="宋体"/>
          <w:color w:val="auto"/>
          <w:sz w:val="22"/>
          <w:szCs w:val="22"/>
          <w:highlight w:val="none"/>
        </w:rPr>
      </w:pPr>
      <w:r>
        <w:rPr>
          <w:rFonts w:hint="eastAsia" w:ascii="宋体" w:hAnsi="宋体" w:cs="宋体"/>
          <w:b/>
          <w:bCs/>
          <w:color w:val="auto"/>
          <w:sz w:val="28"/>
          <w:szCs w:val="28"/>
          <w:highlight w:val="none"/>
        </w:rPr>
        <w:t>附件1《供货考核评分表》</w:t>
      </w:r>
    </w:p>
    <w:tbl>
      <w:tblPr>
        <w:tblStyle w:val="28"/>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632"/>
        <w:gridCol w:w="682"/>
        <w:gridCol w:w="4689"/>
        <w:gridCol w:w="576"/>
        <w:gridCol w:w="599"/>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63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类别</w:t>
            </w: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细分项目</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评分细则</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满分</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评分</w:t>
            </w:r>
          </w:p>
        </w:tc>
        <w:tc>
          <w:tcPr>
            <w:tcW w:w="862" w:type="dxa"/>
            <w:tcBorders>
              <w:top w:val="single" w:color="auto" w:sz="4" w:space="0"/>
              <w:left w:val="single" w:color="auto" w:sz="4" w:space="0"/>
              <w:bottom w:val="single" w:color="auto" w:sz="4" w:space="0"/>
              <w:right w:val="single" w:color="auto" w:sz="4" w:space="0"/>
            </w:tcBorders>
            <w:shd w:val="clear" w:color="auto" w:fill="CCE8CF"/>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扣分/加分事由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632" w:type="dxa"/>
            <w:vMerge w:val="restart"/>
            <w:tcBorders>
              <w:top w:val="single" w:color="auto" w:sz="4" w:space="0"/>
              <w:left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送货质量</w:t>
            </w: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交货及时</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每逾期1天交货扣3分，逾期达3天及以上交货扣10分，扣至0分为止。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632" w:type="dxa"/>
            <w:vMerge w:val="continue"/>
            <w:tcBorders>
              <w:left w:val="single" w:color="auto" w:sz="4" w:space="0"/>
              <w:right w:val="single" w:color="auto" w:sz="4" w:space="0"/>
            </w:tcBorders>
            <w:shd w:val="clear" w:color="auto" w:fill="CCE8CF"/>
            <w:vAlign w:val="center"/>
          </w:tcPr>
          <w:p>
            <w:pPr>
              <w:widowControl/>
              <w:jc w:val="left"/>
              <w:rPr>
                <w:rFonts w:ascii="宋体" w:hAnsi="宋体" w:cs="宋体"/>
                <w:color w:val="auto"/>
                <w:szCs w:val="21"/>
                <w:highlight w:val="none"/>
              </w:rPr>
            </w:pP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现场整洁</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卸货范围内的卫生保持整洁，全月无投诉得10分，每次投诉扣3分，扣至0分为止。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632" w:type="dxa"/>
            <w:vMerge w:val="restart"/>
            <w:tcBorders>
              <w:top w:val="single" w:color="auto" w:sz="4" w:space="0"/>
              <w:left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产品质量</w:t>
            </w:r>
          </w:p>
        </w:tc>
        <w:tc>
          <w:tcPr>
            <w:tcW w:w="682" w:type="dxa"/>
            <w:tcBorders>
              <w:top w:val="single" w:color="auto" w:sz="4" w:space="0"/>
              <w:left w:val="single" w:color="auto" w:sz="4" w:space="0"/>
              <w:bottom w:val="single" w:color="auto" w:sz="4" w:space="0"/>
              <w:right w:val="single" w:color="auto" w:sz="4" w:space="0"/>
            </w:tcBorders>
            <w:shd w:val="clear" w:color="auto" w:fill="CCE8CF"/>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现场检测</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产品现场检验如出现不合格情况，每次扣3分，扣至0分为止。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63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szCs w:val="21"/>
                <w:highlight w:val="none"/>
              </w:rPr>
            </w:pPr>
          </w:p>
        </w:tc>
        <w:tc>
          <w:tcPr>
            <w:tcW w:w="682" w:type="dxa"/>
            <w:tcBorders>
              <w:top w:val="single" w:color="auto" w:sz="4" w:space="0"/>
              <w:left w:val="single" w:color="auto" w:sz="4" w:space="0"/>
              <w:bottom w:val="single" w:color="auto" w:sz="4" w:space="0"/>
              <w:right w:val="single" w:color="auto" w:sz="4" w:space="0"/>
            </w:tcBorders>
            <w:shd w:val="clear" w:color="auto" w:fill="CCE8CF"/>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换货及时</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产品不合格换货情况，需按采购人要求在10个小时内完成换货，每超出一次扣3分，扣至0分为止。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63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szCs w:val="21"/>
                <w:highlight w:val="none"/>
              </w:rPr>
            </w:pPr>
          </w:p>
        </w:tc>
        <w:tc>
          <w:tcPr>
            <w:tcW w:w="682" w:type="dxa"/>
            <w:tcBorders>
              <w:top w:val="single" w:color="auto" w:sz="4" w:space="0"/>
              <w:left w:val="single" w:color="auto" w:sz="4" w:space="0"/>
              <w:bottom w:val="single" w:color="auto" w:sz="4" w:space="0"/>
              <w:right w:val="single" w:color="auto" w:sz="4" w:space="0"/>
            </w:tcBorders>
            <w:shd w:val="clear" w:color="auto" w:fill="CCE8CF"/>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质量异议</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如出现质量异议问题，送第三方检测后发生一次不合格扣10分，发生二次及以上不合格扣20分，扣至0分为止。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632" w:type="dxa"/>
            <w:vMerge w:val="restart"/>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技术服务</w:t>
            </w: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技术咨询</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技术咨询及时反馈，未及时反馈（通常指一天内）一次扣2分，扣至0分为止。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6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szCs w:val="21"/>
                <w:highlight w:val="none"/>
              </w:rPr>
            </w:pP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现场服务</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如甲方需要提供现场服务，未按需求及时到达现场（通常指2天内）一次扣3分，扣至0分为止。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632" w:type="dxa"/>
            <w:vMerge w:val="restart"/>
            <w:tcBorders>
              <w:top w:val="single" w:color="auto" w:sz="4" w:space="0"/>
              <w:left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服务质量水平</w:t>
            </w: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服务整改</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每次因收到各种途径的投诉下发的整改单扣5分，如整改后效果明显改善可免除扣分，该项扣至0分为止。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632" w:type="dxa"/>
            <w:vMerge w:val="continue"/>
            <w:tcBorders>
              <w:left w:val="single" w:color="auto" w:sz="4" w:space="0"/>
              <w:bottom w:val="single" w:color="auto" w:sz="4" w:space="0"/>
              <w:right w:val="single" w:color="auto" w:sz="4" w:space="0"/>
            </w:tcBorders>
            <w:shd w:val="clear" w:color="auto" w:fill="CCE8CF"/>
            <w:vAlign w:val="center"/>
          </w:tcPr>
          <w:p>
            <w:pPr>
              <w:widowControl/>
              <w:jc w:val="left"/>
              <w:rPr>
                <w:rFonts w:ascii="宋体" w:hAnsi="宋体" w:cs="宋体"/>
                <w:color w:val="auto"/>
                <w:szCs w:val="21"/>
                <w:highlight w:val="none"/>
              </w:rPr>
            </w:pP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整改逾期</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每次服务整改逾期扣5分，如在整改规定日期前完成可免除扣分，该项扣至0分为止。</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632" w:type="dxa"/>
            <w:vMerge w:val="restart"/>
            <w:tcBorders>
              <w:left w:val="single" w:color="auto" w:sz="4" w:space="0"/>
              <w:right w:val="single" w:color="auto" w:sz="4" w:space="0"/>
            </w:tcBorders>
            <w:shd w:val="clear" w:color="auto" w:fill="CCE8CF"/>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加分项</w:t>
            </w: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紧急供货</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节假日或紧急采购等特殊时期，乙方保证甲方货源充足和供货及时稳定等，可酌情适当加分，如无则为0分</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632" w:type="dxa"/>
            <w:vMerge w:val="continue"/>
            <w:tcBorders>
              <w:left w:val="single" w:color="auto" w:sz="4" w:space="0"/>
              <w:bottom w:val="single" w:color="auto" w:sz="4" w:space="0"/>
              <w:right w:val="single" w:color="auto" w:sz="4" w:space="0"/>
            </w:tcBorders>
            <w:shd w:val="clear" w:color="auto" w:fill="CCE8CF"/>
            <w:vAlign w:val="center"/>
          </w:tcPr>
          <w:p>
            <w:pPr>
              <w:widowControl/>
              <w:jc w:val="left"/>
              <w:rPr>
                <w:rFonts w:ascii="宋体" w:hAnsi="宋体" w:cs="宋体"/>
                <w:color w:val="auto"/>
                <w:szCs w:val="21"/>
                <w:highlight w:val="none"/>
              </w:rPr>
            </w:pPr>
          </w:p>
        </w:tc>
        <w:tc>
          <w:tcPr>
            <w:tcW w:w="68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质量稳定</w:t>
            </w:r>
          </w:p>
        </w:tc>
        <w:tc>
          <w:tcPr>
            <w:tcW w:w="468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乙方每次供货质量优于或满足甲方要求，连续一个月加2分，连续两个月加4分，连续三个月加6分。</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599" w:type="dxa"/>
            <w:gridSpan w:val="4"/>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合计</w:t>
            </w:r>
          </w:p>
        </w:tc>
        <w:tc>
          <w:tcPr>
            <w:tcW w:w="576"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110</w:t>
            </w:r>
          </w:p>
        </w:tc>
        <w:tc>
          <w:tcPr>
            <w:tcW w:w="599"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c>
          <w:tcPr>
            <w:tcW w:w="862" w:type="dxa"/>
            <w:tcBorders>
              <w:top w:val="single" w:color="auto" w:sz="4" w:space="0"/>
              <w:left w:val="single" w:color="auto" w:sz="4" w:space="0"/>
              <w:bottom w:val="single" w:color="auto" w:sz="4" w:space="0"/>
              <w:right w:val="single" w:color="auto" w:sz="4" w:space="0"/>
            </w:tcBorders>
            <w:shd w:val="clear" w:color="auto" w:fill="CCE8CF"/>
            <w:vAlign w:val="center"/>
          </w:tcPr>
          <w:p>
            <w:pPr>
              <w:spacing w:line="360" w:lineRule="auto"/>
              <w:jc w:val="center"/>
              <w:rPr>
                <w:rFonts w:ascii="宋体" w:hAnsi="宋体" w:cs="宋体"/>
                <w:color w:val="auto"/>
                <w:szCs w:val="21"/>
                <w:highlight w:val="none"/>
              </w:rPr>
            </w:pPr>
          </w:p>
        </w:tc>
      </w:tr>
    </w:tbl>
    <w:p>
      <w:pPr>
        <w:pStyle w:val="12"/>
        <w:adjustRightInd w:val="0"/>
        <w:snapToGrid w:val="0"/>
        <w:spacing w:line="360" w:lineRule="auto"/>
        <w:ind w:left="0" w:leftChars="0" w:firstLine="420" w:firstLineChars="200"/>
        <w:jc w:val="left"/>
        <w:rPr>
          <w:rFonts w:ascii="宋体" w:hAnsi="宋体" w:cs="宋体"/>
          <w:b w:val="0"/>
          <w:bCs w:val="0"/>
          <w:color w:val="auto"/>
          <w:szCs w:val="21"/>
          <w:highlight w:val="none"/>
        </w:rPr>
      </w:pPr>
      <w:r>
        <w:rPr>
          <w:rFonts w:hint="eastAsia" w:ascii="宋体" w:hAnsi="宋体" w:cs="宋体"/>
          <w:b w:val="0"/>
          <w:bCs w:val="0"/>
          <w:color w:val="auto"/>
          <w:szCs w:val="21"/>
          <w:highlight w:val="none"/>
        </w:rPr>
        <w:t>采购人：经办人签字：                           中标人： 经办人签字：</w:t>
      </w:r>
    </w:p>
    <w:p>
      <w:pPr>
        <w:pStyle w:val="12"/>
        <w:adjustRightInd w:val="0"/>
        <w:snapToGrid w:val="0"/>
        <w:spacing w:line="360" w:lineRule="auto"/>
        <w:ind w:left="0" w:leftChars="0" w:firstLine="420" w:firstLineChars="200"/>
        <w:jc w:val="left"/>
        <w:rPr>
          <w:rFonts w:ascii="宋体" w:hAnsi="宋体" w:cs="宋体"/>
          <w:b w:val="0"/>
          <w:bCs w:val="0"/>
          <w:color w:val="auto"/>
          <w:szCs w:val="21"/>
          <w:highlight w:val="none"/>
        </w:rPr>
      </w:pPr>
      <w:r>
        <w:rPr>
          <w:rFonts w:hint="eastAsia" w:ascii="宋体" w:hAnsi="宋体" w:cs="宋体"/>
          <w:b w:val="0"/>
          <w:bCs w:val="0"/>
          <w:color w:val="auto"/>
          <w:szCs w:val="21"/>
          <w:highlight w:val="none"/>
        </w:rPr>
        <w:t xml:space="preserve">        部门负责人签字：                        项目负责人签字：</w:t>
      </w:r>
    </w:p>
    <w:p>
      <w:pPr>
        <w:pStyle w:val="12"/>
        <w:adjustRightInd w:val="0"/>
        <w:snapToGrid w:val="0"/>
        <w:spacing w:line="360" w:lineRule="auto"/>
        <w:ind w:left="0" w:leftChars="0" w:firstLine="1260" w:firstLineChars="600"/>
        <w:jc w:val="left"/>
        <w:rPr>
          <w:rFonts w:ascii="宋体" w:hAnsi="宋体" w:cs="宋体"/>
          <w:b w:val="0"/>
          <w:bCs w:val="0"/>
          <w:color w:val="auto"/>
          <w:szCs w:val="21"/>
          <w:highlight w:val="none"/>
        </w:rPr>
      </w:pPr>
      <w:r>
        <w:rPr>
          <w:rFonts w:hint="eastAsia" w:ascii="宋体" w:hAnsi="宋体" w:cs="宋体"/>
          <w:b w:val="0"/>
          <w:bCs w:val="0"/>
          <w:color w:val="auto"/>
          <w:szCs w:val="21"/>
          <w:highlight w:val="none"/>
        </w:rPr>
        <w:t xml:space="preserve">项目负责人签字：                                      </w:t>
      </w:r>
    </w:p>
    <w:p>
      <w:pPr>
        <w:pStyle w:val="12"/>
        <w:adjustRightInd w:val="0"/>
        <w:snapToGrid w:val="0"/>
        <w:spacing w:line="360" w:lineRule="auto"/>
        <w:ind w:left="0" w:leftChars="0" w:firstLine="1260" w:firstLineChars="600"/>
        <w:jc w:val="left"/>
        <w:rPr>
          <w:rFonts w:ascii="宋体" w:hAnsi="宋体"/>
          <w:color w:val="auto"/>
          <w:highlight w:val="none"/>
        </w:rPr>
      </w:pPr>
      <w:r>
        <w:rPr>
          <w:rFonts w:hint="eastAsia" w:ascii="宋体" w:hAnsi="宋体" w:cs="宋体"/>
          <w:b w:val="0"/>
          <w:bCs w:val="0"/>
          <w:color w:val="auto"/>
          <w:szCs w:val="21"/>
          <w:highlight w:val="none"/>
        </w:rPr>
        <w:t>日期:                                    日期：</w:t>
      </w:r>
      <w:r>
        <w:rPr>
          <w:rFonts w:hint="eastAsia" w:ascii="宋体" w:hAnsi="宋体"/>
          <w:color w:val="auto"/>
          <w:highlight w:val="none"/>
        </w:rPr>
        <w:br w:type="page"/>
      </w:r>
    </w:p>
    <w:p>
      <w:pPr>
        <w:pStyle w:val="4"/>
        <w:spacing w:before="0" w:after="0" w:line="360" w:lineRule="auto"/>
        <w:jc w:val="center"/>
        <w:rPr>
          <w:color w:val="auto"/>
          <w:highlight w:val="none"/>
        </w:rPr>
      </w:pPr>
      <w:bookmarkStart w:id="14" w:name="_Toc10136"/>
      <w:r>
        <w:rPr>
          <w:rFonts w:hint="eastAsia" w:ascii="宋体" w:hAnsi="宋体"/>
          <w:color w:val="auto"/>
          <w:highlight w:val="none"/>
        </w:rPr>
        <w:t>第二章 技术需求书</w:t>
      </w:r>
      <w:bookmarkEnd w:id="13"/>
      <w:bookmarkEnd w:id="14"/>
    </w:p>
    <w:bookmarkEnd w:id="8"/>
    <w:p>
      <w:pPr>
        <w:spacing w:line="360" w:lineRule="auto"/>
        <w:rPr>
          <w:rFonts w:ascii="宋体" w:hAnsi="宋体" w:cs="宋体"/>
          <w:b/>
          <w:color w:val="auto"/>
          <w:sz w:val="21"/>
          <w:szCs w:val="21"/>
          <w:highlight w:val="none"/>
        </w:rPr>
      </w:pPr>
      <w:r>
        <w:rPr>
          <w:rFonts w:hint="eastAsia" w:ascii="宋体" w:hAnsi="宋体" w:cs="宋体"/>
          <w:b/>
          <w:color w:val="auto"/>
          <w:sz w:val="21"/>
          <w:szCs w:val="21"/>
          <w:highlight w:val="none"/>
        </w:rPr>
        <w:t>项目概况：</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1、为保障东莞市海心沙资源综合利用中心环保热电厂正常生产运营，东莞市新东元环保投资有限公司通过公开</w:t>
      </w:r>
      <w:r>
        <w:rPr>
          <w:rFonts w:hint="eastAsia" w:ascii="宋体" w:hAnsi="宋体" w:cs="宋体"/>
          <w:color w:val="auto"/>
          <w:sz w:val="21"/>
          <w:szCs w:val="21"/>
          <w:highlight w:val="none"/>
          <w:lang w:eastAsia="zh-CN"/>
        </w:rPr>
        <w:t>采购</w:t>
      </w:r>
      <w:r>
        <w:rPr>
          <w:rFonts w:hint="eastAsia" w:ascii="宋体" w:hAnsi="宋体" w:cs="宋体"/>
          <w:color w:val="auto"/>
          <w:sz w:val="21"/>
          <w:szCs w:val="21"/>
          <w:highlight w:val="none"/>
        </w:rPr>
        <w:t>方式分别选取1家供应商作为</w:t>
      </w:r>
      <w:r>
        <w:rPr>
          <w:rFonts w:hint="eastAsia" w:ascii="宋体" w:hAnsi="宋体" w:cs="宋体"/>
          <w:b/>
          <w:bCs/>
          <w:color w:val="auto"/>
          <w:sz w:val="21"/>
          <w:szCs w:val="21"/>
          <w:highlight w:val="none"/>
          <w:u w:val="single"/>
        </w:rPr>
        <w:t>熟石灰</w:t>
      </w:r>
      <w:r>
        <w:rPr>
          <w:rFonts w:hint="eastAsia" w:ascii="宋体" w:hAnsi="宋体" w:cs="宋体"/>
          <w:color w:val="auto"/>
          <w:sz w:val="21"/>
          <w:szCs w:val="21"/>
          <w:highlight w:val="none"/>
        </w:rPr>
        <w:t>供应商</w:t>
      </w:r>
      <w:r>
        <w:rPr>
          <w:rFonts w:hint="eastAsia" w:ascii="宋体" w:hAnsi="宋体" w:cs="宋体"/>
          <w:b w:val="0"/>
          <w:bCs w:val="0"/>
          <w:color w:val="auto"/>
          <w:sz w:val="21"/>
          <w:szCs w:val="21"/>
          <w:highlight w:val="none"/>
          <w:u w:val="none"/>
        </w:rPr>
        <w:t>。</w:t>
      </w:r>
      <w:r>
        <w:rPr>
          <w:rFonts w:hint="eastAsia" w:ascii="宋体" w:hAnsi="宋体" w:cs="宋体"/>
          <w:color w:val="auto"/>
          <w:sz w:val="21"/>
          <w:szCs w:val="21"/>
          <w:highlight w:val="none"/>
        </w:rPr>
        <w:t>采购人根据项目需求及实际情况通知中标人随时供货，每车次具体供货数量按采购人供货通知为准，中标人在收到采购人通知（以订单形式、短信形式、微信、电子邮件形式均可）送货后2日内交货到厂。中标人应当常备充足的货物，保证采购人无论每批要求供货的数量多少，均可以随时满足供货需求。紧急供货：如采购人的任一项目因突发状况要求紧急供货，中标人应在收到采购人通知后根据采购人订单或电子邮件、短信等要求在10个小时内交货到厂。如不能在约定时间交货到厂，则承担逾期交货相关责任。在采购人的计划采购数量供应完毕后，合同期内采购人有权要求中标人继续供货，中标人不得提出任何异议，也不得要求采购人调整价格、支付任何赔偿或补偿。中标人须自行考虑并承担由此引起的相关风险。</w:t>
      </w:r>
    </w:p>
    <w:p>
      <w:pPr>
        <w:pStyle w:val="9"/>
        <w:rPr>
          <w:color w:val="auto"/>
          <w:sz w:val="21"/>
          <w:szCs w:val="21"/>
          <w:highlight w:val="none"/>
          <w:lang w:val="en-US" w:bidi="ar-SA"/>
        </w:rPr>
      </w:pPr>
      <w:r>
        <w:rPr>
          <w:rFonts w:hint="eastAsia" w:ascii="宋体" w:hAnsi="宋体" w:cs="宋体"/>
          <w:color w:val="auto"/>
          <w:sz w:val="21"/>
          <w:szCs w:val="21"/>
          <w:highlight w:val="none"/>
        </w:rPr>
        <w:t>2、本技术需求书所提出的是最低限度的技术要求，并未对一切技术细节作出规定，也未充分引述有关标准和规范的条文。本技术需求书所使用的标准，如遇与中标人所执行的标准不一致时，按较高的标准执行。如果本技术协议与现行使用的有关国家标准以及部颁标准有明显抵触的条文，中标人应按较高的标准执行。</w:t>
      </w:r>
    </w:p>
    <w:p>
      <w:pPr>
        <w:spacing w:line="360" w:lineRule="auto"/>
        <w:rPr>
          <w:rFonts w:ascii="宋体" w:hAnsi="宋体" w:cs="宋体"/>
          <w:b/>
          <w:color w:val="auto"/>
          <w:sz w:val="21"/>
          <w:szCs w:val="21"/>
          <w:highlight w:val="none"/>
        </w:rPr>
      </w:pPr>
      <w:r>
        <w:rPr>
          <w:rFonts w:hint="eastAsia" w:ascii="宋体" w:hAnsi="宋体" w:cs="宋体"/>
          <w:b/>
          <w:color w:val="auto"/>
          <w:sz w:val="21"/>
          <w:szCs w:val="21"/>
          <w:highlight w:val="none"/>
        </w:rPr>
        <w:t>一、采购清单</w:t>
      </w:r>
    </w:p>
    <w:tbl>
      <w:tblPr>
        <w:tblStyle w:val="28"/>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560"/>
        <w:gridCol w:w="1304"/>
        <w:gridCol w:w="1262"/>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辅料名称</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采购供货量</w:t>
            </w:r>
          </w:p>
        </w:tc>
        <w:tc>
          <w:tcPr>
            <w:tcW w:w="13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计量单位</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用途</w:t>
            </w:r>
          </w:p>
        </w:tc>
        <w:tc>
          <w:tcPr>
            <w:tcW w:w="2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送货要求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373"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熟石灰</w:t>
            </w:r>
          </w:p>
        </w:tc>
        <w:tc>
          <w:tcPr>
            <w:tcW w:w="156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约</w:t>
            </w:r>
            <w:r>
              <w:rPr>
                <w:rFonts w:ascii="宋体" w:hAnsi="宋体" w:cs="宋体"/>
                <w:color w:val="auto"/>
                <w:sz w:val="21"/>
                <w:szCs w:val="21"/>
                <w:highlight w:val="none"/>
              </w:rPr>
              <w:t>130</w:t>
            </w:r>
            <w:r>
              <w:rPr>
                <w:rFonts w:hint="eastAsia" w:ascii="宋体" w:hAnsi="宋体" w:cs="宋体"/>
                <w:color w:val="auto"/>
                <w:sz w:val="21"/>
                <w:szCs w:val="21"/>
                <w:highlight w:val="none"/>
              </w:rPr>
              <w:t>00</w:t>
            </w:r>
          </w:p>
        </w:tc>
        <w:tc>
          <w:tcPr>
            <w:tcW w:w="13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吨</w:t>
            </w:r>
          </w:p>
        </w:tc>
        <w:tc>
          <w:tcPr>
            <w:tcW w:w="1262"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烟气脱酸使用</w:t>
            </w:r>
          </w:p>
        </w:tc>
        <w:tc>
          <w:tcPr>
            <w:tcW w:w="268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现场有2个150m</w:t>
            </w:r>
            <w:r>
              <w:rPr>
                <w:rFonts w:hint="eastAsia" w:ascii="宋体" w:hAnsi="宋体" w:cs="宋体"/>
                <w:color w:val="auto"/>
                <w:sz w:val="21"/>
                <w:szCs w:val="21"/>
                <w:highlight w:val="none"/>
                <w:vertAlign w:val="superscript"/>
              </w:rPr>
              <w:t>3</w:t>
            </w:r>
            <w:r>
              <w:rPr>
                <w:rFonts w:hint="eastAsia" w:ascii="宋体" w:hAnsi="宋体" w:cs="宋体"/>
                <w:color w:val="auto"/>
                <w:sz w:val="21"/>
                <w:szCs w:val="21"/>
                <w:highlight w:val="none"/>
              </w:rPr>
              <w:t>储罐；按现场需求分批送货</w:t>
            </w:r>
          </w:p>
        </w:tc>
      </w:tr>
    </w:tbl>
    <w:p>
      <w:pPr>
        <w:spacing w:line="360" w:lineRule="auto"/>
        <w:rPr>
          <w:rFonts w:ascii="宋体" w:hAnsi="宋体" w:cs="宋体"/>
          <w:b/>
          <w:color w:val="auto"/>
          <w:sz w:val="21"/>
          <w:szCs w:val="21"/>
          <w:highlight w:val="none"/>
        </w:rPr>
      </w:pPr>
      <w:r>
        <w:rPr>
          <w:rFonts w:hint="eastAsia" w:ascii="宋体" w:hAnsi="宋体" w:cs="宋体"/>
          <w:b/>
          <w:color w:val="auto"/>
          <w:sz w:val="21"/>
          <w:szCs w:val="21"/>
          <w:highlight w:val="none"/>
        </w:rPr>
        <w:t>二、技术标准</w:t>
      </w:r>
    </w:p>
    <w:p>
      <w:pPr>
        <w:tabs>
          <w:tab w:val="left" w:pos="792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熟石灰技术参数需求：</w:t>
      </w:r>
    </w:p>
    <w:p>
      <w:pPr>
        <w:tabs>
          <w:tab w:val="left" w:pos="792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1、Ca(OH)</w:t>
      </w:r>
      <w:r>
        <w:rPr>
          <w:rFonts w:hint="eastAsia" w:ascii="宋体" w:hAnsi="宋体" w:cs="宋体"/>
          <w:color w:val="auto"/>
          <w:sz w:val="21"/>
          <w:szCs w:val="21"/>
          <w:highlight w:val="none"/>
          <w:vertAlign w:val="subscript"/>
        </w:rPr>
        <w:t xml:space="preserve"> 2</w:t>
      </w:r>
      <w:r>
        <w:rPr>
          <w:rFonts w:hint="eastAsia" w:ascii="宋体" w:hAnsi="宋体" w:cs="宋体"/>
          <w:color w:val="auto"/>
          <w:sz w:val="21"/>
          <w:szCs w:val="21"/>
          <w:highlight w:val="none"/>
        </w:rPr>
        <w:t>纯度 ≥95%；</w:t>
      </w:r>
    </w:p>
    <w:p>
      <w:pPr>
        <w:tabs>
          <w:tab w:val="left" w:pos="792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2、粒度：325目筛通过率≥95%；</w:t>
      </w:r>
    </w:p>
    <w:p>
      <w:pPr>
        <w:tabs>
          <w:tab w:val="left" w:pos="792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3、外观：灰白色粉末；</w:t>
      </w:r>
    </w:p>
    <w:p>
      <w:pPr>
        <w:tabs>
          <w:tab w:val="left" w:pos="792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4、比表面积（BET）≥</w:t>
      </w:r>
      <w:r>
        <w:rPr>
          <w:rFonts w:hint="eastAsia" w:ascii="宋体" w:hAnsi="宋体" w:cs="宋体"/>
          <w:b/>
          <w:bCs/>
          <w:color w:val="auto"/>
          <w:sz w:val="21"/>
          <w:szCs w:val="21"/>
          <w:highlight w:val="none"/>
        </w:rPr>
        <w:t>18㎡/g；</w:t>
      </w:r>
    </w:p>
    <w:p>
      <w:pPr>
        <w:tabs>
          <w:tab w:val="left" w:pos="792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5、温升≤4.5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C：将200ml水倒入100g熟石灰样品的保温壶中，温升不超过4.5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C。</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若化验结果达不到双方合同约定的氢氧化钙含量标准，经供方要求,可协商收货,协商单价按氢氧化钙有效成分计价，即氢氧化钙含量每降低一个百分点，单价则减少50元/吨。但氢氧化钙含量低于92%，</w:t>
      </w:r>
      <w:r>
        <w:rPr>
          <w:rFonts w:hint="eastAsia" w:ascii="宋体" w:hAnsi="宋体" w:cs="宋体"/>
          <w:color w:val="auto"/>
          <w:sz w:val="21"/>
          <w:szCs w:val="21"/>
          <w:highlight w:val="none"/>
          <w:lang w:eastAsia="zh-CN"/>
        </w:rPr>
        <w:t>采购人</w:t>
      </w:r>
      <w:r>
        <w:rPr>
          <w:rFonts w:hint="eastAsia" w:ascii="宋体" w:hAnsi="宋体" w:cs="宋体"/>
          <w:color w:val="auto"/>
          <w:sz w:val="21"/>
          <w:szCs w:val="21"/>
          <w:highlight w:val="none"/>
        </w:rPr>
        <w:t>拒绝收货。</w:t>
      </w:r>
    </w:p>
    <w:p>
      <w:pPr>
        <w:spacing w:line="360" w:lineRule="auto"/>
        <w:rPr>
          <w:rFonts w:ascii="宋体" w:hAnsi="宋体" w:cs="宋体"/>
          <w:b/>
          <w:color w:val="auto"/>
          <w:sz w:val="21"/>
          <w:szCs w:val="21"/>
          <w:highlight w:val="none"/>
        </w:rPr>
      </w:pPr>
      <w:bookmarkStart w:id="15" w:name="_Toc30422"/>
      <w:r>
        <w:rPr>
          <w:rFonts w:hint="eastAsia" w:ascii="宋体" w:hAnsi="宋体" w:cs="宋体"/>
          <w:b/>
          <w:color w:val="auto"/>
          <w:sz w:val="21"/>
          <w:szCs w:val="21"/>
          <w:highlight w:val="none"/>
        </w:rPr>
        <w:t>三、包装</w:t>
      </w:r>
      <w:r>
        <w:rPr>
          <w:rFonts w:hint="eastAsia" w:ascii="宋体" w:hAnsi="宋体" w:cs="宋体"/>
          <w:b/>
          <w:bCs/>
          <w:color w:val="auto"/>
          <w:sz w:val="21"/>
          <w:szCs w:val="21"/>
          <w:highlight w:val="none"/>
        </w:rPr>
        <w:t>、运输方式</w:t>
      </w:r>
      <w:r>
        <w:rPr>
          <w:rFonts w:hint="eastAsia" w:ascii="宋体" w:hAnsi="宋体" w:cs="宋体"/>
          <w:b/>
          <w:color w:val="auto"/>
          <w:sz w:val="21"/>
          <w:szCs w:val="21"/>
          <w:highlight w:val="none"/>
        </w:rPr>
        <w:t>及费用承担</w:t>
      </w:r>
      <w:bookmarkEnd w:id="15"/>
    </w:p>
    <w:p>
      <w:pPr>
        <w:spacing w:line="360" w:lineRule="auto"/>
        <w:ind w:firstLine="420" w:firstLineChars="200"/>
        <w:rPr>
          <w:rFonts w:ascii="宋体" w:hAnsi="宋体" w:cs="宋体"/>
          <w:color w:val="auto"/>
          <w:sz w:val="21"/>
          <w:szCs w:val="21"/>
          <w:highlight w:val="none"/>
        </w:rPr>
      </w:pPr>
      <w:r>
        <w:rPr>
          <w:rFonts w:hint="eastAsia" w:ascii="宋体" w:hAnsi="宋体" w:cs="宋体"/>
          <w:bCs/>
          <w:color w:val="auto"/>
          <w:sz w:val="21"/>
          <w:szCs w:val="21"/>
          <w:highlight w:val="none"/>
        </w:rPr>
        <w:t>1、货物的包装：</w:t>
      </w:r>
      <w:r>
        <w:rPr>
          <w:rFonts w:hint="eastAsia" w:ascii="宋体" w:hAnsi="宋体" w:cs="宋体"/>
          <w:color w:val="auto"/>
          <w:sz w:val="21"/>
          <w:szCs w:val="21"/>
          <w:highlight w:val="none"/>
        </w:rPr>
        <w:t>化学品的包装必须满足国家标准《化学品包装及标志》（GB15346-94）。对于瓶装或桶装的化学品，其标识必须包含化学品的名称、分子式、有效成分含量及等级、净重、供货厂家、批号，生产日期、有效期、产品质量符合标准的证明和标准编号等信息。对于运送散装化学品的储槽上必须有标识，必须包含化学品的名称等信息，运送人员同时提供产品质量检验报告。</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中标人应根据货物的特点，用符合规格密封良好的槽罐车送至采购人厂区指定的地点，槽罐必须注意防泄漏，车身干净整洁,注意环境保护。槽罐车实际容量可根据采购人实际送货需求调整。按最新交通运输法，载货后整车总质量必须</w:t>
      </w:r>
      <w:r>
        <w:rPr>
          <w:rFonts w:hint="eastAsia" w:ascii="宋体" w:hAnsi="宋体" w:cs="宋体"/>
          <w:color w:val="auto"/>
          <w:sz w:val="21"/>
          <w:szCs w:val="21"/>
          <w:highlight w:val="none"/>
          <w:shd w:val="clear" w:color="auto" w:fill="FFFFFF"/>
        </w:rPr>
        <w:t>＜</w:t>
      </w:r>
      <w:r>
        <w:rPr>
          <w:rFonts w:hint="eastAsia" w:ascii="宋体" w:hAnsi="宋体" w:cs="宋体"/>
          <w:color w:val="auto"/>
          <w:sz w:val="21"/>
          <w:szCs w:val="21"/>
          <w:highlight w:val="none"/>
        </w:rPr>
        <w:t>49吨。以上由中标人承担运输及装卸等费用，自行卸货。</w:t>
      </w:r>
    </w:p>
    <w:p>
      <w:pPr>
        <w:spacing w:line="360" w:lineRule="auto"/>
        <w:ind w:firstLine="420"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3、中标人负责将每车次货物运抵采购人指定的厂区地点，货到后中标人需到采购人地磅过磅，并提供该车次产品的签字盖章的出厂化验报告及送货单，过磅后货到采购人指定地点，在采购人完成取样后，方可卸货。卸货后中标人必须再次到采购人地磅过空磅，签字确认并拿取过磅单后，方可离厂。</w:t>
      </w:r>
      <w:r>
        <w:rPr>
          <w:rFonts w:hint="eastAsia" w:ascii="宋体" w:hAnsi="宋体" w:cs="宋体"/>
          <w:bCs/>
          <w:color w:val="auto"/>
          <w:sz w:val="21"/>
          <w:szCs w:val="21"/>
          <w:highlight w:val="none"/>
        </w:rPr>
        <w:t>项目指定两人进行收货验收。</w:t>
      </w:r>
    </w:p>
    <w:p>
      <w:pPr>
        <w:spacing w:line="360" w:lineRule="auto"/>
        <w:rPr>
          <w:rFonts w:ascii="宋体" w:hAnsi="宋体" w:cs="宋体"/>
          <w:b/>
          <w:color w:val="auto"/>
          <w:sz w:val="21"/>
          <w:szCs w:val="21"/>
          <w:highlight w:val="none"/>
        </w:rPr>
      </w:pPr>
      <w:bookmarkStart w:id="16" w:name="_Toc30593"/>
      <w:r>
        <w:rPr>
          <w:rFonts w:hint="eastAsia" w:ascii="宋体" w:hAnsi="宋体" w:cs="宋体"/>
          <w:b/>
          <w:color w:val="auto"/>
          <w:sz w:val="21"/>
          <w:szCs w:val="21"/>
          <w:highlight w:val="none"/>
        </w:rPr>
        <w:t>四、检验标准</w:t>
      </w:r>
      <w:bookmarkEnd w:id="16"/>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HG/T 4205-2011</w:t>
      </w:r>
    </w:p>
    <w:p>
      <w:pPr>
        <w:spacing w:line="360" w:lineRule="auto"/>
        <w:rPr>
          <w:rFonts w:ascii="宋体" w:hAnsi="宋体" w:cs="宋体"/>
          <w:b/>
          <w:color w:val="auto"/>
          <w:sz w:val="21"/>
          <w:szCs w:val="21"/>
          <w:highlight w:val="none"/>
        </w:rPr>
      </w:pPr>
      <w:bookmarkStart w:id="17" w:name="_Toc11335"/>
      <w:r>
        <w:rPr>
          <w:rFonts w:hint="eastAsia" w:ascii="宋体" w:hAnsi="宋体" w:cs="宋体"/>
          <w:b/>
          <w:color w:val="auto"/>
          <w:sz w:val="21"/>
          <w:szCs w:val="21"/>
          <w:highlight w:val="none"/>
        </w:rPr>
        <w:t>五、验收及质量要求</w:t>
      </w:r>
      <w:bookmarkEnd w:id="17"/>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1、中标人在送货时，必须提供每一批货物的出厂化验报告及送货单，要求必须签字盖章。无出厂化验报告，禁止入厂。</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车次过磅后中标人送达产品到采购人指定地点进行抽样取样，每次取样时，供需双方应当共同见证取样，且取样单须经供需双方共同签字签章确认（中标人拒绝派人参加取样或者拒绝签字盖章确认的，不影响采购人取样的效力）。每车次取4份样品（其中1份样品交由采购人实验室检测，1份预备送第三方检测机构进行检测，另外2份样品作为备样交由采购人备存），采购人完成取样并且实验室检测合格后，由中标人负责卸货至采购人指定地点，卸货费用已经包含在合同价款中。卸货后中标人必须再次到采购人地磅过空磅，签字确认并拿取过磅单后，方可离厂。如退货，中标人必须在10小时内将第二车送货到厂。</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3、不予收货：中标人货物经采购人分析检测室检验确认，熟石灰（Ca(OH)</w:t>
      </w:r>
      <w:r>
        <w:rPr>
          <w:rFonts w:hint="eastAsia" w:ascii="宋体" w:hAnsi="宋体" w:cs="宋体"/>
          <w:color w:val="auto"/>
          <w:sz w:val="21"/>
          <w:szCs w:val="21"/>
          <w:highlight w:val="none"/>
          <w:vertAlign w:val="subscript"/>
        </w:rPr>
        <w:t xml:space="preserve"> 2</w:t>
      </w:r>
      <w:r>
        <w:rPr>
          <w:rFonts w:hint="eastAsia" w:ascii="宋体" w:hAnsi="宋体" w:cs="宋体"/>
          <w:color w:val="auto"/>
          <w:sz w:val="21"/>
          <w:szCs w:val="21"/>
          <w:highlight w:val="none"/>
        </w:rPr>
        <w:t>）含量≥95%且熟石灰（Ca(OH)</w:t>
      </w:r>
      <w:r>
        <w:rPr>
          <w:rFonts w:hint="eastAsia" w:ascii="宋体" w:hAnsi="宋体" w:cs="宋体"/>
          <w:color w:val="auto"/>
          <w:sz w:val="21"/>
          <w:szCs w:val="21"/>
          <w:highlight w:val="none"/>
          <w:vertAlign w:val="subscript"/>
        </w:rPr>
        <w:t xml:space="preserve"> 2</w:t>
      </w:r>
      <w:r>
        <w:rPr>
          <w:rFonts w:hint="eastAsia" w:ascii="宋体" w:hAnsi="宋体" w:cs="宋体"/>
          <w:color w:val="auto"/>
          <w:sz w:val="21"/>
          <w:szCs w:val="21"/>
          <w:highlight w:val="none"/>
        </w:rPr>
        <w:t>）粒度通过率（325目）≥ 95%，温升≤4.5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C：将200ml水倒入100g熟石灰样品的保温壶中，温升不超过4.5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此三个要求，任意一个要求没有达到则拒绝收货，且确认为本车次产品不合格。</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若化验结果达不到双方合同约定的氢氧化钙含量标准，经中标人要求,可协商收货,协商单价按氢氧化钙有效成分计价，即氢氧化钙含量每降低一个百分点，单价则减少50元/吨。但氢氧化钙含量低于92%，采购人有权拒绝收货。</w:t>
      </w:r>
    </w:p>
    <w:p>
      <w:pPr>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color w:val="auto"/>
          <w:sz w:val="21"/>
          <w:szCs w:val="21"/>
          <w:highlight w:val="none"/>
        </w:rPr>
        <w:t>5、</w:t>
      </w:r>
      <w:r>
        <w:rPr>
          <w:rFonts w:hint="eastAsia" w:ascii="宋体" w:hAnsi="宋体" w:cs="宋体"/>
          <w:snapToGrid w:val="0"/>
          <w:color w:val="auto"/>
          <w:sz w:val="21"/>
          <w:szCs w:val="21"/>
          <w:highlight w:val="none"/>
        </w:rPr>
        <w:t>第三方检测：</w:t>
      </w:r>
    </w:p>
    <w:p>
      <w:pPr>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（1）采购人每月随机抽检2次样品送第三方检测（检测项目为含量、粒度、温升共四项）：采购人每月2次，每次不定期从同一车次来料货物样品中随机</w:t>
      </w:r>
      <w:r>
        <w:rPr>
          <w:rFonts w:hint="eastAsia" w:ascii="宋体" w:hAnsi="宋体" w:cs="宋体"/>
          <w:color w:val="auto"/>
          <w:sz w:val="21"/>
          <w:szCs w:val="21"/>
          <w:highlight w:val="none"/>
          <w:u w:val="single"/>
        </w:rPr>
        <w:t>抽取4份样品（其中1份样品交由采购人实验室检测，1份预备送第三方检测机构进行检测，另外2份样品作为备样交由采购人备存）</w:t>
      </w:r>
      <w:r>
        <w:rPr>
          <w:rFonts w:hint="eastAsia" w:ascii="宋体" w:hAnsi="宋体" w:cs="宋体"/>
          <w:snapToGrid w:val="0"/>
          <w:color w:val="auto"/>
          <w:sz w:val="21"/>
          <w:szCs w:val="21"/>
          <w:highlight w:val="none"/>
        </w:rPr>
        <w:t>，</w:t>
      </w:r>
      <w:r>
        <w:rPr>
          <w:rFonts w:hint="eastAsia" w:ascii="宋体" w:hAnsi="宋体" w:cs="宋体"/>
          <w:color w:val="auto"/>
          <w:sz w:val="21"/>
          <w:szCs w:val="21"/>
          <w:highlight w:val="none"/>
        </w:rPr>
        <w:t>双方明确三家具有省级或以上级别的计量认证资格证书（CMA）的第三方检测机构，由现场使用单位将样品随机送检</w:t>
      </w:r>
      <w:r>
        <w:rPr>
          <w:rFonts w:hint="eastAsia" w:ascii="宋体" w:hAnsi="宋体" w:cs="宋体"/>
          <w:snapToGrid w:val="0"/>
          <w:color w:val="auto"/>
          <w:sz w:val="21"/>
          <w:szCs w:val="21"/>
          <w:highlight w:val="none"/>
        </w:rPr>
        <w:t>，检验费用（含寄送费用、检测费用等）由中标人承担（如中标人拒付时，采购人有权从应付中标人的货款中直接扣除），</w:t>
      </w:r>
      <w:r>
        <w:rPr>
          <w:rFonts w:hint="eastAsia" w:ascii="宋体" w:hAnsi="宋体" w:cs="宋体"/>
          <w:color w:val="auto"/>
          <w:sz w:val="21"/>
          <w:szCs w:val="21"/>
          <w:highlight w:val="none"/>
        </w:rPr>
        <w:t>电厂项目中</w:t>
      </w:r>
      <w:r>
        <w:rPr>
          <w:rFonts w:hint="eastAsia" w:ascii="宋体" w:hAnsi="宋体" w:cs="宋体"/>
          <w:snapToGrid w:val="0"/>
          <w:color w:val="auto"/>
          <w:sz w:val="21"/>
          <w:szCs w:val="21"/>
          <w:highlight w:val="none"/>
        </w:rPr>
        <w:t>每月2次随机抽检的第三方检测合格报告作为结算依据。如因中标人未按时支付检测费用导致检测报告滞后出结果影响到付款时间，由中标人自行承担延误付款的不利后果，采购人概不负责。</w:t>
      </w:r>
    </w:p>
    <w:p>
      <w:pPr>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（2）出现异议货物送第三方检测：如中标人对</w:t>
      </w:r>
      <w:r>
        <w:rPr>
          <w:rFonts w:hint="eastAsia" w:ascii="宋体" w:hAnsi="宋体" w:cs="宋体"/>
          <w:color w:val="auto"/>
          <w:sz w:val="21"/>
          <w:szCs w:val="21"/>
          <w:highlight w:val="none"/>
        </w:rPr>
        <w:t>采购人实验室初步检验结果有异议，则采购人将共同封存的该车次样品由采购人在确定的三家检测单位中指定一家送检</w:t>
      </w:r>
      <w:r>
        <w:rPr>
          <w:rFonts w:hint="eastAsia" w:ascii="宋体" w:hAnsi="宋体" w:cs="宋体"/>
          <w:snapToGrid w:val="0"/>
          <w:color w:val="auto"/>
          <w:sz w:val="21"/>
          <w:szCs w:val="21"/>
          <w:highlight w:val="none"/>
        </w:rPr>
        <w:t>。第三方检测结果合格的，检测费用由采购人承担；第三方检测结果不合格的，检测费用由中标人承担（如中标人拒不付款时，采购人有权从应付中标人的货款中直接扣除）。</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（3）采购人不定点不定期抽样送第三方检测：</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采购人有权在合同履行期限内不定期随机抽检，双方见证取样，每车次取4份样品（1份样品送第三方检测机构进行检测，2份样品作为备样交由采购人备存，1份给中标人），由采购人指定检测单位及送检，检测费用由采购人承担。</w:t>
      </w:r>
    </w:p>
    <w:p>
      <w:pPr>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（4）检测内容及结果的应用:</w:t>
      </w:r>
    </w:p>
    <w:p>
      <w:pPr>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①每份检测报告内容包括但不限于：送检样品图片、样品封条（如有）、检验标准等技术需求书中规定的检测内容。</w:t>
      </w:r>
    </w:p>
    <w:p>
      <w:pPr>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②复检处理：若某车次货物第1份送检样品的第三方检测报告不合格，如中标人要求复检，</w:t>
      </w:r>
      <w:r>
        <w:rPr>
          <w:rFonts w:hint="eastAsia" w:ascii="宋体" w:hAnsi="宋体" w:cs="宋体"/>
          <w:color w:val="auto"/>
          <w:sz w:val="21"/>
          <w:szCs w:val="21"/>
          <w:highlight w:val="none"/>
        </w:rPr>
        <w:t>则由采购人将该车次2份备样在确定的三家检测单位中指定一家送检，中标人先垫付检测费，最终检测费用由责任方承担（包括送检运费、检测费用等）。</w:t>
      </w:r>
      <w:r>
        <w:rPr>
          <w:rFonts w:hint="eastAsia" w:ascii="宋体" w:hAnsi="宋体" w:cs="宋体"/>
          <w:snapToGrid w:val="0"/>
          <w:color w:val="auto"/>
          <w:sz w:val="21"/>
          <w:szCs w:val="21"/>
          <w:highlight w:val="none"/>
        </w:rPr>
        <w:t xml:space="preserve"> 2份备样检测全部合格则视为该车次货物合格，中标人免于处罚，合格检测报告作为该车次货物的结算依据；若有1份备样检测不合格，则视为该车次货物不合格，不予支付该不合格车次货款。</w:t>
      </w:r>
    </w:p>
    <w:p>
      <w:pPr>
        <w:pStyle w:val="84"/>
        <w:adjustRightInd w:val="0"/>
        <w:snapToGrid w:val="0"/>
        <w:spacing w:line="360"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③第三方检测报告（如有复检，按复检的第三方检测报告）作为货物结算依据。如每车次货物采购人实验室初步检验报告、所有电厂项目中每月二次随机抽检的第三方检测报告及甲方对异议货物要求乙方委托第三方出具的合格检测报告（如有）作为中标人进行结算的附件，若作为最终依据的第三方检测结果不合格，则视为该车次产品不合格。若中标人在货物质量方面不能满足采购人要求，事件发生一次，采购人将出具整改单给中标人，该不合格车次货款不予结算，且中标人须向采购人支付当月货款的2%作为违约金；累计不合格货物车次达三次或三次以上，中标人将被采购人列入严重不诚信行为名单，采购人有权单方面解除本合同，且中标人须向采购人支付合同总价（计划供货量*中标单价）的2%作为违约金，并赔偿采购人由此遭受的一切相关经济损失。采购人有权从履约担保中扣除违约金，履约担保不足支付部分，采购人有权另行向中标人索赔。</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snapToGrid w:val="0"/>
          <w:color w:val="auto"/>
          <w:sz w:val="21"/>
          <w:szCs w:val="21"/>
          <w:highlight w:val="none"/>
        </w:rPr>
        <w:t>6、若采购人在运行生产使用过程中，中标人的产品被采购人上级主管部门检查质量不</w:t>
      </w:r>
      <w:r>
        <w:rPr>
          <w:rFonts w:hint="eastAsia" w:ascii="宋体" w:hAnsi="宋体" w:cs="宋体"/>
          <w:color w:val="auto"/>
          <w:sz w:val="21"/>
          <w:szCs w:val="21"/>
          <w:highlight w:val="none"/>
        </w:rPr>
        <w:t>合格，并对采购人进行做出相关处罚，由此所产生的责任及采购人损失全由中标人承担。</w:t>
      </w:r>
    </w:p>
    <w:p>
      <w:pPr>
        <w:rPr>
          <w:color w:val="auto"/>
          <w:highlight w:val="none"/>
        </w:rPr>
      </w:pPr>
    </w:p>
    <w:bookmarkEnd w:id="9"/>
    <w:bookmarkEnd w:id="10"/>
    <w:bookmarkEnd w:id="11"/>
    <w:bookmarkEnd w:id="12"/>
    <w:p>
      <w:pPr>
        <w:rPr>
          <w:color w:val="auto"/>
          <w:sz w:val="28"/>
          <w:szCs w:val="28"/>
          <w:highlight w:val="none"/>
        </w:rPr>
      </w:pPr>
      <w:r>
        <w:rPr>
          <w:rFonts w:hint="eastAsia"/>
          <w:color w:val="auto"/>
          <w:sz w:val="28"/>
          <w:szCs w:val="28"/>
          <w:highlight w:val="none"/>
        </w:rPr>
        <w:br w:type="page"/>
      </w:r>
    </w:p>
    <w:p>
      <w:pPr>
        <w:pStyle w:val="3"/>
        <w:spacing w:before="0" w:after="0" w:line="240" w:lineRule="auto"/>
        <w:rPr>
          <w:color w:val="auto"/>
          <w:sz w:val="24"/>
          <w:szCs w:val="24"/>
          <w:highlight w:val="none"/>
        </w:rPr>
      </w:pPr>
      <w:bookmarkStart w:id="18" w:name="_Toc1652"/>
      <w:r>
        <w:rPr>
          <w:rFonts w:hint="eastAsia"/>
          <w:color w:val="auto"/>
          <w:sz w:val="28"/>
          <w:szCs w:val="28"/>
          <w:highlight w:val="none"/>
        </w:rPr>
        <w:t>第四部分投标人须知</w:t>
      </w:r>
      <w:bookmarkEnd w:id="18"/>
    </w:p>
    <w:p>
      <w:pPr>
        <w:pStyle w:val="4"/>
        <w:numPr>
          <w:ilvl w:val="0"/>
          <w:numId w:val="2"/>
        </w:numPr>
        <w:spacing w:before="0" w:after="0" w:line="480" w:lineRule="auto"/>
        <w:jc w:val="center"/>
        <w:rPr>
          <w:rFonts w:ascii="宋体" w:hAnsi="宋体"/>
          <w:color w:val="auto"/>
          <w:highlight w:val="none"/>
        </w:rPr>
      </w:pPr>
      <w:bookmarkStart w:id="19" w:name="_Toc18995"/>
      <w:r>
        <w:rPr>
          <w:rFonts w:hint="eastAsia" w:ascii="宋体" w:hAnsi="宋体"/>
          <w:color w:val="auto"/>
          <w:highlight w:val="none"/>
        </w:rPr>
        <w:t>说明</w:t>
      </w:r>
      <w:bookmarkEnd w:id="19"/>
    </w:p>
    <w:p>
      <w:pPr>
        <w:pStyle w:val="5"/>
        <w:widowControl w:val="0"/>
        <w:numPr>
          <w:ilvl w:val="0"/>
          <w:numId w:val="3"/>
        </w:numPr>
        <w:overflowPunct w:val="0"/>
        <w:rPr>
          <w:rFonts w:ascii="宋体" w:hAnsi="宋体" w:cs="宋体"/>
          <w:color w:val="auto"/>
          <w:sz w:val="21"/>
          <w:szCs w:val="21"/>
          <w:highlight w:val="none"/>
        </w:rPr>
      </w:pPr>
      <w:bookmarkStart w:id="20" w:name="_Toc28463"/>
      <w:r>
        <w:rPr>
          <w:rFonts w:hint="eastAsia" w:ascii="宋体" w:hAnsi="宋体" w:cs="宋体"/>
          <w:color w:val="auto"/>
          <w:sz w:val="21"/>
          <w:szCs w:val="21"/>
          <w:highlight w:val="none"/>
        </w:rPr>
        <w:t>适用范围</w:t>
      </w:r>
      <w:bookmarkEnd w:id="20"/>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采购范围：见本文件《用户需求书》</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21" w:name="_Toc298847174"/>
      <w:bookmarkStart w:id="22" w:name="_Toc15361"/>
      <w:bookmarkStart w:id="23" w:name="_Toc303084246"/>
      <w:bookmarkStart w:id="24" w:name="_Toc1530"/>
      <w:bookmarkStart w:id="25" w:name="_Toc382049092"/>
      <w:r>
        <w:rPr>
          <w:rFonts w:hint="eastAsia" w:ascii="宋体" w:hAnsi="宋体" w:cs="宋体"/>
          <w:color w:val="auto"/>
          <w:sz w:val="21"/>
          <w:szCs w:val="21"/>
          <w:highlight w:val="none"/>
        </w:rPr>
        <w:t>定义</w:t>
      </w:r>
      <w:bookmarkEnd w:id="21"/>
      <w:bookmarkEnd w:id="22"/>
      <w:bookmarkEnd w:id="23"/>
      <w:bookmarkEnd w:id="24"/>
      <w:bookmarkEnd w:id="25"/>
    </w:p>
    <w:p>
      <w:pPr>
        <w:pStyle w:val="39"/>
        <w:widowControl w:val="0"/>
        <w:adjustRightInd/>
        <w:snapToGrid/>
        <w:ind w:left="425"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采购人：见投标邀请书。</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投标人：响应采购并且符合采购文件规定资格条件和参加投标竞争的法人、其他组织或者自然人。</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法人：法人是依法在国内进行注册并具有民事权利能力和民事行为能力，依法独立享有民事权利和承担民事义务的组织。</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中标人：指经评标委员会评审推荐、采购人确认的获得本项目中标资格的投标人。</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采购代理机构：见投标邀请书。</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评标委员会：评标委员会是依据相关规定组建的专门负责本次采购其评标工作的临时性机构。</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合同：指由本次采购所产生的合同或合约文件。</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公章：公章是指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时间：本文件规定按日计算期间的，开始当天不计入，从次日开始计算。期限的最后一日是国家法定节假日的，顺延到节假日后的次日为期限的最后一日。</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26" w:name="_Toc15592"/>
      <w:r>
        <w:rPr>
          <w:rFonts w:hint="eastAsia" w:ascii="宋体" w:hAnsi="宋体" w:cs="宋体"/>
          <w:color w:val="auto"/>
          <w:sz w:val="21"/>
          <w:szCs w:val="21"/>
          <w:highlight w:val="none"/>
        </w:rPr>
        <w:t>货物和服务</w:t>
      </w:r>
      <w:bookmarkEnd w:id="26"/>
    </w:p>
    <w:p>
      <w:pPr>
        <w:pStyle w:val="39"/>
        <w:widowControl w:val="0"/>
        <w:adjustRightInd/>
        <w:snapToGrid/>
        <w:ind w:left="425"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货物是指各种形态和种类的物品，包括原材料、燃料、设备、产品等。</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服务是指除货物和工程以外的其他采购对象。</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27" w:name="_Toc29712"/>
      <w:r>
        <w:rPr>
          <w:rFonts w:hint="eastAsia" w:ascii="宋体" w:hAnsi="宋体" w:cs="宋体"/>
          <w:color w:val="auto"/>
          <w:sz w:val="21"/>
          <w:szCs w:val="21"/>
          <w:highlight w:val="none"/>
        </w:rPr>
        <w:t>投标费用</w:t>
      </w:r>
      <w:bookmarkEnd w:id="27"/>
    </w:p>
    <w:p>
      <w:pPr>
        <w:pStyle w:val="39"/>
        <w:widowControl w:val="0"/>
        <w:adjustRightInd/>
        <w:snapToGrid/>
        <w:ind w:left="425"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投标人应承担所有与编写投标文件和参加投标有关的自身的所有费用，不论投标的结果如何，采购代理机构和采购人在任何情况下均无义务和责任承担这些费用。</w:t>
      </w:r>
    </w:p>
    <w:p>
      <w:pPr>
        <w:widowControl w:val="0"/>
        <w:adjustRightInd/>
        <w:snapToGrid/>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28" w:name="_Toc4397"/>
      <w:r>
        <w:rPr>
          <w:rFonts w:hint="eastAsia" w:ascii="宋体" w:hAnsi="宋体" w:cs="宋体"/>
          <w:color w:val="auto"/>
          <w:sz w:val="21"/>
          <w:szCs w:val="21"/>
          <w:highlight w:val="none"/>
        </w:rPr>
        <w:t>知识产权</w:t>
      </w:r>
      <w:bookmarkEnd w:id="28"/>
    </w:p>
    <w:p>
      <w:pPr>
        <w:pStyle w:val="39"/>
        <w:widowControl w:val="0"/>
        <w:adjustRightInd/>
        <w:snapToGrid/>
        <w:ind w:left="425"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采购人享有本项目实施过程中产生的知识成果及知识产权。</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采购货物为计算机办公设备时，投标人提供的产品必须是预装正版操作系统软件的计算机产品。</w:t>
      </w:r>
    </w:p>
    <w:p>
      <w:pPr>
        <w:widowControl w:val="0"/>
        <w:adjustRightInd/>
        <w:snapToGrid/>
        <w:ind w:left="567"/>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29" w:name="_Toc24967"/>
      <w:r>
        <w:rPr>
          <w:rFonts w:hint="eastAsia" w:ascii="宋体" w:hAnsi="宋体" w:cs="宋体"/>
          <w:color w:val="auto"/>
          <w:sz w:val="21"/>
          <w:szCs w:val="21"/>
          <w:highlight w:val="none"/>
        </w:rPr>
        <w:t>关于联合体投标</w:t>
      </w:r>
      <w:bookmarkEnd w:id="29"/>
    </w:p>
    <w:p>
      <w:pPr>
        <w:pStyle w:val="39"/>
        <w:widowControl w:val="0"/>
        <w:adjustRightInd/>
        <w:snapToGrid/>
        <w:ind w:left="425"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对接受联合体投标的项目：两个以上的自然人、法人或者其他组织可以组成一个联合体，以一个投标人的身份共同参加采购活动。</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以联合体形式参与项目的供应商在领购采购文件时，应提供所有联合体组成成员的营业执照复印件，并加盖各联合体组成成员的公章。</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联合体各方均应具有独立承担民事责任能力的法人或其他组织。</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采购文件对投标人资格条件有规定的，联合体各方均应当具备规定的相应资格条件。由同一专业的单位组成的联合体，按照资质等级较低的单位确定资质等级。</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联合体各方之间应当签订共同投标协议并在投标文件内提交，明确约定联合体各方承担的工作和相应的责任。联合体各方签订共同投标协议后，不得再以自己名义单独在同一项目中投标，也不得组成新的联合体参加同一项目投标。</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供应商为联合体的，可以由联合体中的任意一方交纳保证金，其交纳的保证金对联合体各方均具有约束力。</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除联合体协议明确授权盖章单位外，联合体投标时投标文件中所有要求盖章的地方均须加盖联合体所有组成成员的公章，否则该处盖章无效。</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ind w:left="567"/>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30" w:name="_Toc27416"/>
      <w:r>
        <w:rPr>
          <w:rFonts w:hint="eastAsia" w:ascii="宋体" w:hAnsi="宋体" w:cs="宋体"/>
          <w:color w:val="auto"/>
          <w:sz w:val="21"/>
          <w:szCs w:val="21"/>
          <w:highlight w:val="none"/>
        </w:rPr>
        <w:t>关于分支机构投标</w:t>
      </w:r>
      <w:bookmarkEnd w:id="30"/>
    </w:p>
    <w:p>
      <w:pPr>
        <w:pStyle w:val="39"/>
        <w:widowControl w:val="0"/>
        <w:adjustRightInd/>
        <w:snapToGrid/>
        <w:ind w:left="425" w:firstLineChars="0"/>
        <w:jc w:val="both"/>
        <w:rPr>
          <w:rFonts w:ascii="宋体" w:hAnsi="宋体" w:cs="宋体"/>
          <w:vanish/>
          <w:color w:val="auto"/>
          <w:szCs w:val="21"/>
          <w:highlight w:val="none"/>
        </w:rPr>
      </w:pPr>
      <w:bookmarkStart w:id="31" w:name="EB389f116341dd4693875bc7987e7327f3"/>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对可接受分支机构投标的项目，分支机构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31"/>
    </w:p>
    <w:p>
      <w:pPr>
        <w:widowControl w:val="0"/>
        <w:adjustRightInd/>
        <w:snapToGrid/>
        <w:ind w:left="567"/>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32" w:name="_Toc18811"/>
      <w:r>
        <w:rPr>
          <w:rFonts w:hint="eastAsia" w:ascii="宋体" w:hAnsi="宋体" w:cs="宋体"/>
          <w:color w:val="auto"/>
          <w:sz w:val="21"/>
          <w:szCs w:val="21"/>
          <w:highlight w:val="none"/>
        </w:rPr>
        <w:t>踏勘现场</w:t>
      </w:r>
      <w:bookmarkEnd w:id="32"/>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《投标资料表》规定组织踏勘现场的，采购人按《投标资料表》规定的时间、地点组织响应人踏勘项目现场；</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响应人踏勘现场发生的费用自理；</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除采购人的原因外，响应人自行负责在踏勘现场中所发生的人员伤亡和财产损失；</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采购人在踏勘现场中介绍的实施地点和相关的周边环境情况，供响应人在编制响应文件时参考，采购人不对响应人据此作出的判断和决策负责；</w:t>
      </w:r>
    </w:p>
    <w:p>
      <w:pPr>
        <w:rPr>
          <w:rFonts w:ascii="宋体" w:hAnsi="宋体" w:cs="宋体"/>
          <w:color w:val="auto"/>
          <w:highlight w:val="none"/>
        </w:rPr>
      </w:pPr>
    </w:p>
    <w:p>
      <w:pPr>
        <w:pStyle w:val="4"/>
        <w:numPr>
          <w:ilvl w:val="0"/>
          <w:numId w:val="2"/>
        </w:numPr>
        <w:spacing w:before="0" w:after="0" w:line="360" w:lineRule="auto"/>
        <w:jc w:val="center"/>
        <w:rPr>
          <w:rFonts w:ascii="宋体" w:hAnsi="宋体" w:cs="宋体"/>
          <w:color w:val="auto"/>
          <w:highlight w:val="none"/>
        </w:rPr>
      </w:pPr>
      <w:bookmarkStart w:id="33" w:name="_Toc15422"/>
      <w:r>
        <w:rPr>
          <w:rFonts w:hint="eastAsia" w:ascii="宋体" w:hAnsi="宋体" w:cs="宋体"/>
          <w:color w:val="auto"/>
          <w:highlight w:val="none"/>
        </w:rPr>
        <w:t>采购文件</w:t>
      </w:r>
      <w:bookmarkEnd w:id="33"/>
    </w:p>
    <w:p>
      <w:pPr>
        <w:pStyle w:val="5"/>
        <w:widowControl w:val="0"/>
        <w:numPr>
          <w:ilvl w:val="0"/>
          <w:numId w:val="3"/>
        </w:numPr>
        <w:overflowPunct w:val="0"/>
        <w:rPr>
          <w:rFonts w:ascii="宋体" w:hAnsi="宋体" w:cs="宋体"/>
          <w:color w:val="auto"/>
          <w:sz w:val="21"/>
          <w:szCs w:val="21"/>
          <w:highlight w:val="none"/>
        </w:rPr>
      </w:pPr>
      <w:bookmarkStart w:id="34" w:name="_Toc31899"/>
      <w:r>
        <w:rPr>
          <w:rFonts w:hint="eastAsia" w:ascii="宋体" w:hAnsi="宋体" w:cs="宋体"/>
          <w:color w:val="auto"/>
          <w:sz w:val="21"/>
          <w:szCs w:val="21"/>
          <w:highlight w:val="none"/>
        </w:rPr>
        <w:t>采购文件的组成</w:t>
      </w:r>
      <w:bookmarkEnd w:id="34"/>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采购文件包括：</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（1）投标邀请书；</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（2）投标资料表；</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（3）用户需求书；</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（4）投标人须知；</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（5）拟签订的合同文本；</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（6）投标文件格式；</w:t>
      </w:r>
    </w:p>
    <w:p>
      <w:pPr>
        <w:widowControl w:val="0"/>
        <w:adjustRightInd/>
        <w:snapToGrid/>
        <w:jc w:val="both"/>
        <w:rPr>
          <w:rFonts w:ascii="宋体" w:hAnsi="宋体" w:cs="宋体"/>
          <w:color w:val="auto"/>
          <w:szCs w:val="21"/>
          <w:highlight w:val="none"/>
        </w:rPr>
      </w:pPr>
      <w:r>
        <w:rPr>
          <w:rFonts w:hint="eastAsia" w:ascii="宋体" w:hAnsi="宋体" w:cs="宋体"/>
          <w:color w:val="auto"/>
          <w:szCs w:val="21"/>
          <w:highlight w:val="none"/>
        </w:rPr>
        <w:t>（7）在采购过程中由采购代理机构发出的澄清更正文件等。</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35" w:name="_Toc27202"/>
      <w:r>
        <w:rPr>
          <w:rFonts w:hint="eastAsia" w:ascii="宋体" w:hAnsi="宋体" w:cs="宋体"/>
          <w:color w:val="auto"/>
          <w:sz w:val="21"/>
          <w:szCs w:val="21"/>
          <w:highlight w:val="none"/>
        </w:rPr>
        <w:t>采购文件的澄清或修改</w:t>
      </w:r>
      <w:bookmarkEnd w:id="35"/>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或者采购代理机构可以对已发出的采购文件、资格预审文件、投标邀请书进行必要的澄清或者修改。澄清或者修改的内容为采购文件、资格预审文件、投标邀请书的组成部分，具有约束作用。当采购文件、采购文件的澄清或修改等在同一内容的表述上不一致时，以最后发出的书面文件及公告为准。</w:t>
      </w:r>
    </w:p>
    <w:p>
      <w:pPr>
        <w:widowControl w:val="0"/>
        <w:numPr>
          <w:ilvl w:val="1"/>
          <w:numId w:val="3"/>
        </w:numPr>
        <w:overflowPunct w:val="0"/>
        <w:rPr>
          <w:rFonts w:ascii="宋体" w:hAnsi="宋体" w:cs="宋体"/>
          <w:b/>
          <w:bCs/>
          <w:color w:val="auto"/>
          <w:szCs w:val="21"/>
          <w:highlight w:val="none"/>
        </w:rPr>
      </w:pPr>
      <w:r>
        <w:rPr>
          <w:rFonts w:hint="eastAsia" w:ascii="宋体" w:hAnsi="宋体" w:cs="宋体"/>
          <w:b/>
          <w:bCs/>
          <w:color w:val="auto"/>
          <w:szCs w:val="21"/>
          <w:highlight w:val="none"/>
        </w:rPr>
        <w:t>采购期间，投标人有义务上网查看，公告一经上网发布，即视为送达。因投标人未及时上网查看而造成的所有后果，由投标人自行承担。</w:t>
      </w:r>
    </w:p>
    <w:p>
      <w:pPr>
        <w:widowControl w:val="0"/>
        <w:adjustRightInd/>
        <w:snapToGrid/>
        <w:ind w:left="567"/>
        <w:jc w:val="both"/>
        <w:rPr>
          <w:rFonts w:ascii="宋体" w:hAnsi="宋体" w:cs="宋体"/>
          <w:color w:val="auto"/>
          <w:szCs w:val="21"/>
          <w:highlight w:val="none"/>
        </w:rPr>
      </w:pPr>
    </w:p>
    <w:p>
      <w:pPr>
        <w:pStyle w:val="4"/>
        <w:numPr>
          <w:ilvl w:val="0"/>
          <w:numId w:val="2"/>
        </w:numPr>
        <w:spacing w:before="0" w:after="0" w:line="360" w:lineRule="auto"/>
        <w:jc w:val="center"/>
        <w:rPr>
          <w:rFonts w:ascii="宋体" w:hAnsi="宋体" w:cs="宋体"/>
          <w:color w:val="auto"/>
          <w:highlight w:val="none"/>
        </w:rPr>
      </w:pPr>
      <w:bookmarkStart w:id="36" w:name="_Toc27400"/>
      <w:r>
        <w:rPr>
          <w:rFonts w:hint="eastAsia" w:ascii="宋体" w:hAnsi="宋体" w:cs="宋体"/>
          <w:color w:val="auto"/>
          <w:highlight w:val="none"/>
        </w:rPr>
        <w:t>投标文件的编制</w:t>
      </w:r>
      <w:bookmarkEnd w:id="36"/>
    </w:p>
    <w:p>
      <w:pPr>
        <w:pStyle w:val="5"/>
        <w:widowControl w:val="0"/>
        <w:numPr>
          <w:ilvl w:val="0"/>
          <w:numId w:val="3"/>
        </w:numPr>
        <w:overflowPunct w:val="0"/>
        <w:rPr>
          <w:rFonts w:ascii="宋体" w:hAnsi="宋体" w:cs="宋体"/>
          <w:color w:val="auto"/>
          <w:sz w:val="21"/>
          <w:szCs w:val="21"/>
          <w:highlight w:val="none"/>
        </w:rPr>
      </w:pPr>
      <w:bookmarkStart w:id="37" w:name="_Toc18873"/>
      <w:r>
        <w:rPr>
          <w:rFonts w:hint="eastAsia" w:ascii="宋体" w:hAnsi="宋体" w:cs="宋体"/>
          <w:color w:val="auto"/>
          <w:sz w:val="21"/>
          <w:szCs w:val="21"/>
          <w:highlight w:val="none"/>
        </w:rPr>
        <w:t>投标文件的语言及度量衡单位</w:t>
      </w:r>
      <w:bookmarkEnd w:id="37"/>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除非采购文件在技术规格中另有规定，投标人在投标文件中及其与采购代理机构和采购人所有往来文件中的所有计量单位均应采用中华人民共和国法定计量单位。</w:t>
      </w:r>
    </w:p>
    <w:p>
      <w:pPr>
        <w:widowControl w:val="0"/>
        <w:adjustRightInd/>
        <w:snapToGrid/>
        <w:ind w:left="567"/>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38" w:name="_Toc382049103"/>
      <w:bookmarkStart w:id="39" w:name="_Toc307934854"/>
      <w:bookmarkStart w:id="40" w:name="_Toc303084256"/>
      <w:bookmarkStart w:id="41" w:name="_Toc4109"/>
      <w:bookmarkStart w:id="42" w:name="_Toc28866"/>
      <w:r>
        <w:rPr>
          <w:rFonts w:hint="eastAsia" w:ascii="宋体" w:hAnsi="宋体" w:cs="宋体"/>
          <w:color w:val="auto"/>
          <w:sz w:val="21"/>
          <w:szCs w:val="21"/>
          <w:highlight w:val="none"/>
        </w:rPr>
        <w:t>投标文件的组成</w:t>
      </w:r>
      <w:bookmarkEnd w:id="38"/>
      <w:bookmarkEnd w:id="39"/>
      <w:bookmarkEnd w:id="40"/>
      <w:bookmarkEnd w:id="41"/>
      <w:bookmarkEnd w:id="42"/>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包括但不限于采购文件附件格式中要求提供的表格。</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上述文件须按顺序装订成册，并编制投标文件目录。除上述文件资料外投标人还须按投标人须知的要求制作“唱标信封”。“唱标信封”作为投标文件的一部分，但须单独密封。</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43" w:name="_Toc17800"/>
      <w:r>
        <w:rPr>
          <w:rFonts w:hint="eastAsia" w:ascii="宋体" w:hAnsi="宋体" w:cs="宋体"/>
          <w:color w:val="auto"/>
          <w:sz w:val="21"/>
          <w:szCs w:val="21"/>
          <w:highlight w:val="none"/>
        </w:rPr>
        <w:t>投标文件编制</w:t>
      </w:r>
      <w:bookmarkEnd w:id="43"/>
    </w:p>
    <w:p>
      <w:pPr>
        <w:pStyle w:val="39"/>
        <w:widowControl w:val="0"/>
        <w:numPr>
          <w:ilvl w:val="0"/>
          <w:numId w:val="4"/>
        </w:numPr>
        <w:adjustRightInd/>
        <w:snapToGrid/>
        <w:ind w:firstLineChars="0"/>
        <w:jc w:val="both"/>
        <w:rPr>
          <w:rFonts w:ascii="宋体" w:hAnsi="宋体" w:cs="宋体"/>
          <w:vanish/>
          <w:color w:val="auto"/>
          <w:szCs w:val="21"/>
          <w:highlight w:val="none"/>
        </w:rPr>
      </w:pPr>
      <w:bookmarkStart w:id="44" w:name="_Toc303084258"/>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应按采购文件的规定以及附件要求的内容和格式完整地填写（表格可以按同样格式扩展）和提供资料，投标人必须对投标文件所提供的全部材料的真实性承担法律责任，并无条件接受采购人或采购代理机构对其中任何资料进行核实的要求。</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因投标文件编制存在歧义对投标人产生负面影响的，投标人自行承担后果。</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投标单位名称与投标人公章不一致，若投标单位名称已进行变更，应在投标文件中提供相应的证明材料并加盖公章，否则投标文件无效。</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投标文件密封、标记及内容与本项目采购信息不符，导致无法分辨所投项目为本项目的，投标文件无效。</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投标人须客观撰写投标人简介（格式自理，并提供相关证明）以及所投的产品或服务说明。</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投标文件若出现以下内容，经评标委员会认定有可能间接影响评审秩序，作废标处理。</w:t>
      </w:r>
    </w:p>
    <w:p>
      <w:pPr>
        <w:pStyle w:val="39"/>
        <w:widowControl w:val="0"/>
        <w:numPr>
          <w:ilvl w:val="0"/>
          <w:numId w:val="5"/>
        </w:numPr>
        <w:adjustRightInd/>
        <w:snapToGrid/>
        <w:ind w:firstLineChars="0"/>
        <w:jc w:val="both"/>
        <w:rPr>
          <w:rFonts w:ascii="宋体" w:hAnsi="宋体" w:cs="宋体"/>
          <w:color w:val="auto"/>
          <w:szCs w:val="21"/>
          <w:highlight w:val="none"/>
        </w:rPr>
      </w:pPr>
      <w:r>
        <w:rPr>
          <w:rFonts w:hint="eastAsia" w:ascii="宋体" w:hAnsi="宋体" w:cs="宋体"/>
          <w:color w:val="auto"/>
          <w:szCs w:val="21"/>
          <w:highlight w:val="none"/>
        </w:rPr>
        <w:t>投标文件内出现无官方证明文件的行业地域排名或使用“国家级”、“最高级”、“最佳”等用语字眼的。</w:t>
      </w:r>
    </w:p>
    <w:p>
      <w:pPr>
        <w:pStyle w:val="39"/>
        <w:widowControl w:val="0"/>
        <w:numPr>
          <w:ilvl w:val="0"/>
          <w:numId w:val="5"/>
        </w:numPr>
        <w:adjustRightInd/>
        <w:snapToGrid/>
        <w:ind w:firstLineChars="0"/>
        <w:jc w:val="both"/>
        <w:rPr>
          <w:rFonts w:ascii="宋体" w:hAnsi="宋体" w:cs="宋体"/>
          <w:color w:val="auto"/>
          <w:szCs w:val="21"/>
          <w:highlight w:val="none"/>
        </w:rPr>
      </w:pPr>
      <w:r>
        <w:rPr>
          <w:rFonts w:hint="eastAsia" w:ascii="宋体" w:hAnsi="宋体" w:cs="宋体"/>
          <w:color w:val="auto"/>
          <w:szCs w:val="21"/>
          <w:highlight w:val="none"/>
        </w:rPr>
        <w:t>投标文件内出现恶意诋毁、贬低其他生产经营者的商品或者服务的内容。</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有下列情形之一的，视为投标人串通投标，其投标无效：</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（1）不同投标人的投标文件由同一单位或者个人编制；</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（2）不同投标人委托同一单位或者个人办理投标事宜；</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（3）不同投标人的投标文件载明的项目管理成员或者联系人员为同一人；</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（4）不同投标人的投标文件异常一致或者投标报价呈规律性差异；</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（5）不同投标人的投标文件相互混装；</w:t>
      </w:r>
    </w:p>
    <w:p>
      <w:pPr>
        <w:widowControl w:val="0"/>
        <w:adjustRightInd/>
        <w:snapToGrid/>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（6）不同投标人的投标保证金从同一单位或者个人的账户转出。</w:t>
      </w:r>
    </w:p>
    <w:bookmarkEnd w:id="44"/>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45" w:name="_Toc15522"/>
      <w:r>
        <w:rPr>
          <w:rFonts w:hint="eastAsia" w:ascii="宋体" w:hAnsi="宋体" w:cs="宋体"/>
          <w:color w:val="auto"/>
          <w:sz w:val="21"/>
          <w:szCs w:val="21"/>
          <w:highlight w:val="none"/>
        </w:rPr>
        <w:t>投标报价说明</w:t>
      </w:r>
      <w:bookmarkEnd w:id="45"/>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本次采购，投标人应按用户需求中的要求进行投标报价，少报无效。</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投标人所提供的货物或服务均以人民币（或相关费率）报价。</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投标报价应包含完成本次采购所有服务内容的费用，包含各种税务费及合同实施过程中的全部费用和售后服务费等。</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中标后开出的所有发票必须与中标人的名称一致。</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46" w:name="_Toc15846"/>
      <w:r>
        <w:rPr>
          <w:rFonts w:hint="eastAsia" w:ascii="宋体" w:hAnsi="宋体" w:cs="宋体"/>
          <w:color w:val="auto"/>
          <w:sz w:val="21"/>
          <w:szCs w:val="21"/>
          <w:highlight w:val="none"/>
        </w:rPr>
        <w:t>投标人所提供的服务或货物的证明文件</w:t>
      </w:r>
      <w:bookmarkEnd w:id="46"/>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bookmarkStart w:id="47" w:name="_Hlt107925638"/>
      <w:bookmarkEnd w:id="47"/>
      <w:bookmarkStart w:id="48" w:name="_Hlt107925668"/>
      <w:bookmarkEnd w:id="48"/>
      <w:r>
        <w:rPr>
          <w:rFonts w:hint="eastAsia" w:ascii="宋体" w:hAnsi="宋体" w:cs="宋体"/>
          <w:color w:val="auto"/>
          <w:szCs w:val="21"/>
          <w:highlight w:val="none"/>
        </w:rPr>
        <w:t>证明服务或货物的文件，它可以是文字资料、图纸和数据包括但不限于：服务主要内容、标准、质量、人员资质、计划安排、报告审核等的详细说明；对采购文件第三部分《用户需求书》中规定的要求进行详细应答和说明。</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有下列情形之一的，视为投标人弄虚作假，其投标无效：</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1、使用通过受让或者租借等方式获取的资格、资质证书投标的，属于以他人名义投标。</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2、投标人有下列情形之一的，属于以其他方式弄虚作假的行为：</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（1）使用伪造、变造的许可证件；</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（2）提供虚假的财务状况或者业绩；</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（3）提供虚假的项目负责人或者主要技术人员简历、劳动关系证明；</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（4）提供虚假的信用状况；</w:t>
      </w:r>
    </w:p>
    <w:p>
      <w:pPr>
        <w:pStyle w:val="39"/>
        <w:widowControl w:val="0"/>
        <w:adjustRightInd/>
        <w:snapToGrid/>
        <w:ind w:left="425" w:firstLine="0" w:firstLineChars="0"/>
        <w:jc w:val="both"/>
        <w:rPr>
          <w:rFonts w:ascii="宋体" w:hAnsi="宋体" w:cs="宋体"/>
          <w:color w:val="auto"/>
          <w:highlight w:val="none"/>
        </w:rPr>
      </w:pPr>
      <w:r>
        <w:rPr>
          <w:rFonts w:hint="eastAsia" w:ascii="宋体" w:hAnsi="宋体" w:cs="宋体"/>
          <w:color w:val="auto"/>
          <w:highlight w:val="none"/>
        </w:rPr>
        <w:t>（5）其他弄虚作假的行为。</w:t>
      </w:r>
    </w:p>
    <w:p>
      <w:pPr>
        <w:pStyle w:val="5"/>
        <w:widowControl w:val="0"/>
        <w:numPr>
          <w:ilvl w:val="0"/>
          <w:numId w:val="3"/>
        </w:numPr>
        <w:overflowPunct w:val="0"/>
        <w:rPr>
          <w:rFonts w:ascii="宋体" w:hAnsi="宋体" w:cs="宋体"/>
          <w:color w:val="auto"/>
          <w:sz w:val="21"/>
          <w:szCs w:val="21"/>
          <w:highlight w:val="none"/>
        </w:rPr>
      </w:pPr>
      <w:bookmarkStart w:id="49" w:name="_Toc16080"/>
      <w:r>
        <w:rPr>
          <w:rFonts w:hint="eastAsia" w:ascii="宋体" w:hAnsi="宋体" w:cs="宋体"/>
          <w:color w:val="auto"/>
          <w:sz w:val="21"/>
          <w:szCs w:val="21"/>
          <w:highlight w:val="none"/>
        </w:rPr>
        <w:t>投标有效期</w:t>
      </w:r>
      <w:bookmarkEnd w:id="49"/>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投标文件应根据投标人须知的规定在投标截止日后的90天内保持有效。</w:t>
      </w:r>
    </w:p>
    <w:p>
      <w:pPr>
        <w:widowControl w:val="0"/>
        <w:adjustRightInd/>
        <w:snapToGrid/>
        <w:ind w:left="567"/>
        <w:jc w:val="both"/>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50" w:name="_Toc17568"/>
      <w:r>
        <w:rPr>
          <w:rFonts w:hint="eastAsia" w:ascii="宋体" w:hAnsi="宋体" w:cs="宋体"/>
          <w:color w:val="auto"/>
          <w:sz w:val="21"/>
          <w:szCs w:val="21"/>
          <w:highlight w:val="none"/>
        </w:rPr>
        <w:t>投标保证金</w:t>
      </w:r>
      <w:bookmarkEnd w:id="50"/>
    </w:p>
    <w:p>
      <w:pPr>
        <w:pStyle w:val="39"/>
        <w:widowControl w:val="0"/>
        <w:numPr>
          <w:ilvl w:val="0"/>
          <w:numId w:val="4"/>
        </w:numPr>
        <w:adjustRightInd/>
        <w:snapToGrid/>
        <w:ind w:firstLineChars="0"/>
        <w:jc w:val="both"/>
        <w:rPr>
          <w:rFonts w:ascii="宋体" w:hAnsi="宋体" w:cs="宋体"/>
          <w:vanish/>
          <w:color w:val="auto"/>
          <w:szCs w:val="21"/>
          <w:highlight w:val="none"/>
        </w:rPr>
      </w:pPr>
      <w:bookmarkStart w:id="51" w:name="_Ref179619405"/>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投标人应在投标文件递交截止前提交相应的投标保证金，并作为其投标的一部分。</w:t>
      </w:r>
      <w:bookmarkEnd w:id="51"/>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投标保证金是为了保护采购代理机构和采购人免遭因投标人的行为而蒙受的损失。采购代理机构和采购人在因投标人的行为受到损害时可根据本须知（17.7）的规定没收投标人的投标保证金。</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保证金采用转账、电汇方式方式提交，应符合以下要求：采用银行转账、电汇方式提交的，保证金汇入《投标资料表》中投标保证金专用账户，不接收由以投标人分支机构、私人账户和其他单位转入的保证金。投标保证金必须在投标文件递交截止前到账，投标保证金未按规定时间到达指定账户或提交金额不足的，将被视为无效投标。且在备注或用途中注明本项目的项目编号。</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凡没有根据本须知（17.1和17.3）的规定随附有效的投标保证金的投标，将被视为非响应性投标予以拒绝。</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投标保证金有效期应当与投标有效期一致。采购人如果按照采购文件另外规定延长了投标文件有效期，则投标担保的有效期也相应延长。</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中标人在签订采购合同并按采购文件第（33）条规定提交履约担保金后，携带退保证金声明函、投标保证金汇款单复印件（加盖公章）和合同正本到采购人处办理投标保证金（无息）退回手续。</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下列任何情况发生时，投标保证金将不予退还：</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（1）投标人在采购文件中规定的投标有效期内撤回其投标；</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（2）中标人无正当理由不与采购人订立合同，在签订合同时向采购人提出附加条件，或者不按照采购文件要求提交履约保证金的；</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（3）中标人将本项目转让给他人，或者在投标文件中未说明，且未经采购人同意，将中标项目分包给他人的；</w:t>
      </w:r>
    </w:p>
    <w:p>
      <w:pPr>
        <w:widowControl w:val="0"/>
        <w:adjustRightInd/>
        <w:snapToGrid/>
        <w:ind w:left="540" w:leftChars="257"/>
        <w:jc w:val="both"/>
        <w:rPr>
          <w:rFonts w:ascii="宋体" w:hAnsi="宋体" w:cs="宋体"/>
          <w:color w:val="auto"/>
          <w:szCs w:val="21"/>
          <w:highlight w:val="none"/>
        </w:rPr>
      </w:pPr>
      <w:r>
        <w:rPr>
          <w:rFonts w:hint="eastAsia" w:ascii="宋体" w:hAnsi="宋体" w:cs="宋体"/>
          <w:color w:val="auto"/>
          <w:szCs w:val="21"/>
          <w:highlight w:val="none"/>
        </w:rPr>
        <w:t>（4）投标人提供虚假投标文件或虚假补充文件的。</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在中标通知书发出后，未中标投标人的投标保证金，由采购人自行返还至投标人的原转出账户。</w:t>
      </w:r>
    </w:p>
    <w:p>
      <w:pPr>
        <w:rPr>
          <w:rFonts w:ascii="宋体" w:hAnsi="宋体" w:cs="宋体"/>
          <w:color w:val="auto"/>
          <w:highlight w:val="none"/>
        </w:rPr>
      </w:pPr>
    </w:p>
    <w:p>
      <w:pPr>
        <w:pStyle w:val="4"/>
        <w:numPr>
          <w:ilvl w:val="0"/>
          <w:numId w:val="2"/>
        </w:numPr>
        <w:spacing w:before="0" w:after="0" w:line="360" w:lineRule="auto"/>
        <w:jc w:val="center"/>
        <w:rPr>
          <w:rFonts w:ascii="宋体" w:hAnsi="宋体" w:cs="宋体"/>
          <w:color w:val="auto"/>
          <w:highlight w:val="none"/>
        </w:rPr>
      </w:pPr>
      <w:bookmarkStart w:id="52" w:name="_Toc5493"/>
      <w:r>
        <w:rPr>
          <w:rFonts w:hint="eastAsia" w:ascii="宋体" w:hAnsi="宋体" w:cs="宋体"/>
          <w:color w:val="auto"/>
          <w:highlight w:val="none"/>
        </w:rPr>
        <w:t>投标文件的递交</w:t>
      </w:r>
      <w:bookmarkEnd w:id="52"/>
    </w:p>
    <w:p>
      <w:pPr>
        <w:pStyle w:val="5"/>
        <w:widowControl w:val="0"/>
        <w:numPr>
          <w:ilvl w:val="0"/>
          <w:numId w:val="3"/>
        </w:numPr>
        <w:overflowPunct w:val="0"/>
        <w:rPr>
          <w:rFonts w:ascii="宋体" w:hAnsi="宋体" w:cs="宋体"/>
          <w:color w:val="auto"/>
          <w:sz w:val="21"/>
          <w:szCs w:val="21"/>
          <w:highlight w:val="none"/>
        </w:rPr>
      </w:pPr>
      <w:bookmarkStart w:id="53" w:name="_Toc24997"/>
      <w:bookmarkStart w:id="54" w:name="_Toc18520"/>
      <w:bookmarkStart w:id="55" w:name="_Toc303084264"/>
      <w:bookmarkStart w:id="56" w:name="_Toc382049111"/>
      <w:r>
        <w:rPr>
          <w:rFonts w:hint="eastAsia" w:ascii="宋体" w:hAnsi="宋体" w:cs="宋体"/>
          <w:color w:val="auto"/>
          <w:sz w:val="21"/>
          <w:szCs w:val="21"/>
          <w:highlight w:val="none"/>
        </w:rPr>
        <w:t>投标文件的装订，签署，密封和标记</w:t>
      </w:r>
      <w:bookmarkEnd w:id="53"/>
      <w:bookmarkEnd w:id="54"/>
      <w:bookmarkEnd w:id="55"/>
      <w:bookmarkEnd w:id="56"/>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olor w:val="auto"/>
          <w:szCs w:val="21"/>
          <w:highlight w:val="none"/>
        </w:rPr>
        <w:t>投标人应按《投标资料表》的份数准备价格文件、商务文件、技术文件、唱标信封和电子文件（</w:t>
      </w:r>
      <w:r>
        <w:rPr>
          <w:rFonts w:hint="eastAsia" w:ascii="宋体" w:hAnsi="宋体"/>
          <w:b/>
          <w:color w:val="auto"/>
          <w:szCs w:val="21"/>
          <w:highlight w:val="none"/>
        </w:rPr>
        <w:t>价格文件、商务文件、技术文件分别单独装订成册</w:t>
      </w:r>
      <w:r>
        <w:rPr>
          <w:rFonts w:hint="eastAsia" w:ascii="宋体" w:hAnsi="宋体"/>
          <w:color w:val="auto"/>
          <w:szCs w:val="21"/>
          <w:highlight w:val="none"/>
        </w:rPr>
        <w:t>），每一份投标文件均需编上页次，装订成册（不允许使用活页夹，否则由此产生的风险由投标人自行承担）。所有投标文件必须封入密封完好的信封或包装，封口加盖公章</w:t>
      </w:r>
      <w:r>
        <w:rPr>
          <w:rFonts w:hint="eastAsia" w:ascii="宋体" w:hAnsi="宋体" w:cs="宋体"/>
          <w:color w:val="auto"/>
          <w:szCs w:val="21"/>
          <w:highlight w:val="none"/>
        </w:rPr>
        <w:t>。</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文件正本均须用不褪色墨水书写或打印。投标文件的副本可采用投标文件的正本复印件，每套投标文件应当标明“正本”、“副本”的字样。投标文件的【正本】及所有【副本】的封面及骑缝均须加盖投标人公章（文件每页盖章等同于盖骑缝章）。若正本与副本不符，以正本为准。</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联合体投标文件的【正本】及【副本】的封面及骑缝均须加盖所有联合体组成成员的公章。（文件每页盖章等同于盖骑缝章）</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电子文件内容包括：由投标人自行制作的与正本文件一致的所有文件。电子文件由光盘或U盘储存，并注明投标人名称及项目名称、采购项目编号，随投标文件一同密封提交。</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除投标人对错误处修改外，全套投标文件应无涂改或行间插字和增删。如有修改，修改处须由法定代表人或其正式授权代表在旁边签字及盖章。</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投标人应将投标文件进行非透明的封装，以防止投标文件内容的泄露。采购代理机构将拒绝接收采用透明包装进行密封的投标文件。</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密封破损导致投标文件内容直接或间接泄露的投标文件，采购代理机构将拒绝接收。</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为方便开标唱标，投标人应将开标一览表和授权委托书单独密封提交，并在信封上标明“唱标信封”字样。唱标信封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唱标信封”份数及签章等要求与投标文件正本相同（1份）。</w:t>
      </w:r>
    </w:p>
    <w:p>
      <w:pPr>
        <w:widowControl w:val="0"/>
        <w:numPr>
          <w:ilvl w:val="1"/>
          <w:numId w:val="3"/>
        </w:numPr>
        <w:overflowPunct w:val="0"/>
        <w:rPr>
          <w:rFonts w:ascii="宋体" w:hAnsi="宋体" w:cs="宋体"/>
          <w:b/>
          <w:bCs/>
          <w:color w:val="auto"/>
          <w:szCs w:val="21"/>
          <w:highlight w:val="none"/>
        </w:rPr>
      </w:pPr>
      <w:r>
        <w:rPr>
          <w:rFonts w:hint="eastAsia" w:ascii="宋体" w:hAnsi="宋体" w:cs="宋体"/>
          <w:b/>
          <w:bCs/>
          <w:color w:val="auto"/>
          <w:szCs w:val="21"/>
          <w:highlight w:val="none"/>
        </w:rPr>
        <w:t>未单独提交唱标信封的投标人投标文件不进行唱标，投标文件作无效处理。</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 xml:space="preserve">所有的信封均应注明： </w:t>
      </w:r>
    </w:p>
    <w:p>
      <w:pPr>
        <w:widowControl w:val="0"/>
        <w:numPr>
          <w:ilvl w:val="0"/>
          <w:numId w:val="6"/>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 xml:space="preserve">收件人： </w:t>
      </w:r>
    </w:p>
    <w:p>
      <w:pPr>
        <w:widowControl w:val="0"/>
        <w:numPr>
          <w:ilvl w:val="0"/>
          <w:numId w:val="6"/>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投标单位名称：</w:t>
      </w:r>
    </w:p>
    <w:p>
      <w:pPr>
        <w:widowControl w:val="0"/>
        <w:numPr>
          <w:ilvl w:val="0"/>
          <w:numId w:val="6"/>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项目名称：</w:t>
      </w:r>
    </w:p>
    <w:p>
      <w:pPr>
        <w:widowControl w:val="0"/>
        <w:numPr>
          <w:ilvl w:val="0"/>
          <w:numId w:val="6"/>
        </w:numPr>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项目采购项目编号：</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密封信封上的项目编号错误或项目名称出现严重歧义的（包括采购内容不符），采购代理机构将拒绝接收。</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采购代理机构对所有投标文件的误投或提前启封概不负责。</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投标人同时参加几个包投标时必须按采购文件要求按包号分别制作投标文件，分别密封递交。</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传真、电传的投标文件将被拒绝。</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递交的投标文件中所提供的通讯方式应保持联络畅通，因联系不上而导致的所有后果由投标人自行承担。</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57" w:name="_Toc6910"/>
      <w:r>
        <w:rPr>
          <w:rFonts w:hint="eastAsia" w:ascii="宋体" w:hAnsi="宋体" w:cs="宋体"/>
          <w:color w:val="auto"/>
          <w:sz w:val="21"/>
          <w:szCs w:val="21"/>
          <w:highlight w:val="none"/>
        </w:rPr>
        <w:t>迟交的投标文件</w:t>
      </w:r>
      <w:bookmarkEnd w:id="57"/>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投标人在投标截止时间之后提交的投标文件，采购代理机构将拒绝接收。</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有违反其他法律规定情形的，采购代理机构将拒绝接收。</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58" w:name="_Toc3790"/>
      <w:r>
        <w:rPr>
          <w:rFonts w:hint="eastAsia" w:ascii="宋体" w:hAnsi="宋体" w:cs="宋体"/>
          <w:color w:val="auto"/>
          <w:sz w:val="21"/>
          <w:szCs w:val="21"/>
          <w:highlight w:val="none"/>
        </w:rPr>
        <w:t>投标样品（如需提交）</w:t>
      </w:r>
      <w:bookmarkEnd w:id="58"/>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如有必要，采购代理机构可以要求投标人提供本服务项目涉及的部分设备或产品样品，投标人在投标时应提交《样品清单》。</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为方便评标，投标人在提供样品时，应在所提供的样品表面显著位置标注投标人的名称、包号、样品名称、采购文件规定的服务或货物编号。</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59" w:name="_Toc9777"/>
      <w:bookmarkStart w:id="60" w:name="_Toc303084265"/>
      <w:bookmarkStart w:id="61" w:name="_Toc9995"/>
      <w:bookmarkStart w:id="62" w:name="_Toc382049112"/>
      <w:r>
        <w:rPr>
          <w:rFonts w:hint="eastAsia" w:ascii="宋体" w:hAnsi="宋体" w:cs="宋体"/>
          <w:color w:val="auto"/>
          <w:sz w:val="21"/>
          <w:szCs w:val="21"/>
          <w:highlight w:val="none"/>
        </w:rPr>
        <w:t>投标截止期</w:t>
      </w:r>
      <w:bookmarkEnd w:id="59"/>
      <w:bookmarkEnd w:id="60"/>
      <w:bookmarkEnd w:id="61"/>
      <w:bookmarkEnd w:id="62"/>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投标人应在采购文件规定的截止日期和时间内，将投标文件送达到指定地点。</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采购代理机构可按本须知规定以澄清或修改通知的方式，酌情延长递交投标文件的截止时间。在此情况下，投标人的所有权利和义务以及投标人受制约的截止时间，均以延长后新的投标截止时间为准。</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63" w:name="_Toc7805"/>
      <w:r>
        <w:rPr>
          <w:rFonts w:hint="eastAsia" w:ascii="宋体" w:hAnsi="宋体" w:cs="宋体"/>
          <w:color w:val="auto"/>
          <w:sz w:val="21"/>
          <w:szCs w:val="21"/>
          <w:highlight w:val="none"/>
        </w:rPr>
        <w:t>投标文件的补充、修改与撤回</w:t>
      </w:r>
      <w:bookmarkEnd w:id="63"/>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投标人对投标文件的补充、修改的内容应当按采购文件要求的签署、盖章、密封后，作为投标文件的组成部分。并按照采购文件规定密封和标记的要求提交，并在投标文件密封袋上标明“补充、修改”字样。</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投标文件一经递交不予退还。</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在提交投标文件截止时间至投标有效期满之前，投标人不得撤回其投标，否则其投标保证金将不予退还。</w:t>
      </w:r>
    </w:p>
    <w:p>
      <w:pPr>
        <w:pStyle w:val="9"/>
        <w:rPr>
          <w:color w:val="auto"/>
          <w:highlight w:val="none"/>
        </w:rPr>
      </w:pPr>
    </w:p>
    <w:p>
      <w:pPr>
        <w:pStyle w:val="4"/>
        <w:numPr>
          <w:ilvl w:val="0"/>
          <w:numId w:val="2"/>
        </w:numPr>
        <w:spacing w:before="0" w:after="0" w:line="360" w:lineRule="auto"/>
        <w:jc w:val="center"/>
        <w:rPr>
          <w:rFonts w:ascii="宋体" w:hAnsi="宋体" w:cs="宋体"/>
          <w:color w:val="auto"/>
          <w:highlight w:val="none"/>
        </w:rPr>
      </w:pPr>
      <w:bookmarkStart w:id="64" w:name="_Toc26139"/>
      <w:r>
        <w:rPr>
          <w:rFonts w:hint="eastAsia" w:ascii="宋体" w:hAnsi="宋体" w:cs="宋体"/>
          <w:color w:val="auto"/>
          <w:highlight w:val="none"/>
        </w:rPr>
        <w:t>开标与评标</w:t>
      </w:r>
      <w:bookmarkEnd w:id="64"/>
    </w:p>
    <w:p>
      <w:pPr>
        <w:pStyle w:val="5"/>
        <w:widowControl w:val="0"/>
        <w:numPr>
          <w:ilvl w:val="0"/>
          <w:numId w:val="3"/>
        </w:numPr>
        <w:overflowPunct w:val="0"/>
        <w:rPr>
          <w:rFonts w:ascii="宋体" w:hAnsi="宋体" w:cs="宋体"/>
          <w:color w:val="auto"/>
          <w:sz w:val="21"/>
          <w:szCs w:val="21"/>
          <w:highlight w:val="none"/>
        </w:rPr>
      </w:pPr>
      <w:bookmarkStart w:id="65" w:name="_Toc31247"/>
      <w:r>
        <w:rPr>
          <w:rFonts w:hint="eastAsia" w:ascii="宋体" w:hAnsi="宋体" w:cs="宋体"/>
          <w:color w:val="auto"/>
          <w:sz w:val="21"/>
          <w:szCs w:val="21"/>
          <w:highlight w:val="none"/>
        </w:rPr>
        <w:t>开标</w:t>
      </w:r>
      <w:bookmarkEnd w:id="65"/>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采购代理机构按本采购文件所规定的时间和地点公开开标，并邀请所有投标人代表参加。</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开标程序：</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开标会由采购代理机构主持，投标人的法定代表人或其授权代表携带有效身份证明准时参加开标会并签名报到。</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开标时，由投标人或者其推选的代表检查投标文件的密封情况；经确认无误后，由采购人或者采购代理机构工作人员当众拆封，宣布投标人名称、投标价格和采购文件规定的需要宣布的其他内容；</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投标人未参加开标的，视同认可开标结果。</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合格投标人不足3家的，不得开标；</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开标过程应当由采购人或者采购代理机构负责记录，由参加开标的各投标人代表和相关工作人员签字确认。</w:t>
      </w:r>
    </w:p>
    <w:p>
      <w:pPr>
        <w:widowControl w:val="0"/>
        <w:adjustRightInd/>
        <w:snapToGrid/>
        <w:ind w:left="567"/>
        <w:jc w:val="both"/>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66" w:name="_Toc24500"/>
      <w:r>
        <w:rPr>
          <w:rFonts w:hint="eastAsia" w:ascii="宋体" w:hAnsi="宋体" w:cs="宋体"/>
          <w:color w:val="auto"/>
          <w:sz w:val="21"/>
          <w:szCs w:val="21"/>
          <w:highlight w:val="none"/>
        </w:rPr>
        <w:t>评标委员会及评标方法</w:t>
      </w:r>
      <w:bookmarkEnd w:id="66"/>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依法组成评标委员会，评标委员会由采购人和有关技术、经济等方面的专家组成，成员人数为五人或五人以上单数，其中技术、经济等方面的专家不少于成员总数的三分之二，并负责评标工作。</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评审方法：本次采购的评审方法采用最低评标价法。</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定标原则：投标文件满足</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文件全部实质性要求，且投标报价最低的投标人为中标候选人的评审方法。评审结果按投标报价由低到高顺序排列。如最低投标报价相同，则现场给与最低报价相同的投标人二次报价的机会；如二次报价还相同，则采用现场随机抽签方式确定。投标文件满足</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文件全部实质性要求且投标报价最低（或中签）的投标人为排名第一的中标候选人，投标文件满足</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文件全部实质性要求且投标报价次低的投标人为排名第二的中标候选人，如此类推。</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评标委员会和采购人在评审过程中有权核对投标文件中相关材料的原件，投标人在接到通知后应在评标委员会规定的时间内提交原件核查。</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67" w:name="_Toc25715"/>
      <w:r>
        <w:rPr>
          <w:rFonts w:hint="eastAsia" w:ascii="宋体" w:hAnsi="宋体" w:cs="宋体"/>
          <w:color w:val="auto"/>
          <w:sz w:val="21"/>
          <w:szCs w:val="21"/>
          <w:highlight w:val="none"/>
        </w:rPr>
        <w:t>评审原则及评标过程的保密</w:t>
      </w:r>
      <w:bookmarkEnd w:id="67"/>
    </w:p>
    <w:p>
      <w:pPr>
        <w:pStyle w:val="39"/>
        <w:widowControl w:val="0"/>
        <w:numPr>
          <w:ilvl w:val="0"/>
          <w:numId w:val="4"/>
        </w:numPr>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评审的基本原则：评标委员会将依据采购文件的规定，遵循“公开、公平、公正、择优、信用”的原则进行评审工作。</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从公开开标到签订合同，凡与审查、澄清、评审和投标有关的资料以及定标意见相关的事项，均不得向投标人及与评标无关的其他人透露。</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任何单位和个人不得非法干预、影响评标的过程和结果。</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68" w:name="_Toc9886"/>
      <w:bookmarkStart w:id="69" w:name="_Toc7361"/>
      <w:r>
        <w:rPr>
          <w:rFonts w:hint="eastAsia" w:ascii="宋体" w:hAnsi="宋体" w:cs="宋体"/>
          <w:color w:val="auto"/>
          <w:sz w:val="21"/>
          <w:szCs w:val="21"/>
          <w:highlight w:val="none"/>
        </w:rPr>
        <w:t>评标程序</w:t>
      </w:r>
      <w:bookmarkEnd w:id="68"/>
    </w:p>
    <w:p>
      <w:pPr>
        <w:widowControl w:val="0"/>
        <w:numPr>
          <w:ilvl w:val="1"/>
          <w:numId w:val="3"/>
        </w:numPr>
        <w:overflowPunct w:val="0"/>
        <w:rPr>
          <w:rFonts w:ascii="宋体" w:hAnsi="宋体" w:cs="宋体"/>
          <w:b/>
          <w:bCs/>
          <w:color w:val="auto"/>
          <w:szCs w:val="21"/>
          <w:highlight w:val="none"/>
        </w:rPr>
      </w:pPr>
      <w:r>
        <w:rPr>
          <w:rFonts w:hint="eastAsia" w:ascii="宋体" w:hAnsi="宋体" w:cs="宋体"/>
          <w:b/>
          <w:bCs/>
          <w:color w:val="auto"/>
          <w:szCs w:val="21"/>
          <w:highlight w:val="none"/>
        </w:rPr>
        <w:t>资格性、符合性审查</w:t>
      </w:r>
    </w:p>
    <w:p>
      <w:pPr>
        <w:widowControl w:val="0"/>
        <w:overflowPunct w:val="0"/>
        <w:ind w:firstLine="420" w:firstLineChars="200"/>
        <w:rPr>
          <w:rFonts w:ascii="宋体" w:hAnsi="宋体" w:cs="宋体"/>
          <w:color w:val="auto"/>
          <w:szCs w:val="21"/>
          <w:highlight w:val="none"/>
        </w:rPr>
      </w:pPr>
      <w:r>
        <w:rPr>
          <w:rFonts w:hint="eastAsia" w:ascii="宋体" w:hAnsi="宋体" w:cs="宋体"/>
          <w:color w:val="auto"/>
          <w:szCs w:val="21"/>
          <w:highlight w:val="none"/>
        </w:rPr>
        <w:t>公开采购项目开标结束后，评标委员会根据《资格性、符合性审查表》将依法对投标人进行资格性、符合性审查。投标人必须严格按照《资格性、符合性审查表》的评审内容的要求如实提供证明材料并应加盖投标人公章，对缺漏或不符合项将直接导致无效投标。</w:t>
      </w:r>
    </w:p>
    <w:p>
      <w:pPr>
        <w:jc w:val="center"/>
        <w:rPr>
          <w:b/>
          <w:bCs/>
          <w:color w:val="auto"/>
          <w:highlight w:val="none"/>
        </w:rPr>
      </w:pPr>
      <w:r>
        <w:rPr>
          <w:b/>
          <w:bCs/>
          <w:color w:val="auto"/>
          <w:highlight w:val="none"/>
        </w:rPr>
        <w:t>《资格性</w:t>
      </w:r>
      <w:r>
        <w:rPr>
          <w:rFonts w:hint="eastAsia"/>
          <w:b/>
          <w:bCs/>
          <w:color w:val="auto"/>
          <w:highlight w:val="none"/>
        </w:rPr>
        <w:t>、符合性</w:t>
      </w:r>
      <w:r>
        <w:rPr>
          <w:b/>
          <w:bCs/>
          <w:color w:val="auto"/>
          <w:highlight w:val="none"/>
        </w:rPr>
        <w:t>审查表》</w:t>
      </w:r>
    </w:p>
    <w:bookmarkEnd w:id="69"/>
    <w:tbl>
      <w:tblPr>
        <w:tblStyle w:val="2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286" w:type="dxa"/>
            <w:gridSpan w:val="2"/>
            <w:noWrap w:val="0"/>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05" w:type="dxa"/>
            <w:vMerge w:val="restart"/>
            <w:noWrap w:val="0"/>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商务符合性</w:t>
            </w:r>
          </w:p>
        </w:tc>
        <w:tc>
          <w:tcPr>
            <w:tcW w:w="8281" w:type="dxa"/>
            <w:noWrap w:val="0"/>
            <w:vAlign w:val="center"/>
          </w:tcPr>
          <w:p>
            <w:pPr>
              <w:spacing w:line="360" w:lineRule="auto"/>
              <w:rPr>
                <w:rFonts w:ascii="宋体" w:hAnsi="宋体" w:cs="宋体"/>
                <w:color w:val="auto"/>
                <w:szCs w:val="21"/>
                <w:highlight w:val="none"/>
              </w:rPr>
            </w:pPr>
            <w:r>
              <w:rPr>
                <w:rFonts w:hint="eastAsia" w:ascii="宋体" w:hAnsi="宋体"/>
                <w:color w:val="auto"/>
                <w:szCs w:val="21"/>
                <w:highlight w:val="none"/>
              </w:rPr>
              <w:t>在中华人民共和国境内注册具有独立承担民事责任能力的企业法人。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05" w:type="dxa"/>
            <w:vMerge w:val="continue"/>
            <w:noWrap w:val="0"/>
            <w:vAlign w:val="center"/>
          </w:tcPr>
          <w:p>
            <w:pPr>
              <w:spacing w:line="360" w:lineRule="auto"/>
              <w:jc w:val="center"/>
              <w:rPr>
                <w:rFonts w:hint="eastAsia" w:ascii="宋体" w:hAnsi="宋体" w:cs="宋体"/>
                <w:b/>
                <w:color w:val="auto"/>
                <w:szCs w:val="21"/>
                <w:highlight w:val="none"/>
              </w:rPr>
            </w:pPr>
          </w:p>
        </w:tc>
        <w:tc>
          <w:tcPr>
            <w:tcW w:w="8281"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lang w:eastAsia="zh-CN"/>
              </w:rPr>
              <w:t>采购</w:t>
            </w:r>
            <w:r>
              <w:rPr>
                <w:rFonts w:hint="eastAsia" w:ascii="宋体" w:hAnsi="宋体"/>
                <w:color w:val="auto"/>
                <w:szCs w:val="21"/>
                <w:highlight w:val="none"/>
              </w:rPr>
              <w:t>文件规定的投标人资格要求。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005" w:type="dxa"/>
            <w:vMerge w:val="continue"/>
            <w:noWrap w:val="0"/>
            <w:textDirection w:val="tbRlV"/>
            <w:vAlign w:val="center"/>
          </w:tcPr>
          <w:p>
            <w:pPr>
              <w:spacing w:line="360" w:lineRule="auto"/>
              <w:jc w:val="center"/>
              <w:rPr>
                <w:rFonts w:ascii="宋体" w:hAnsi="宋体" w:cs="宋体"/>
                <w:b/>
                <w:color w:val="auto"/>
                <w:szCs w:val="21"/>
                <w:highlight w:val="none"/>
              </w:rPr>
            </w:pPr>
          </w:p>
        </w:tc>
        <w:tc>
          <w:tcPr>
            <w:tcW w:w="8281" w:type="dxa"/>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凡两家或以上投标人参加同一项目的投标，有如下情况之一的，一经发现将视同串标处理：A、为同一法定代表人的；B、为同一股东控股的；C、其中一家公司为其他公司最大股东的。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005" w:type="dxa"/>
            <w:vMerge w:val="continue"/>
            <w:noWrap w:val="0"/>
            <w:textDirection w:val="tbRlV"/>
            <w:vAlign w:val="center"/>
          </w:tcPr>
          <w:p>
            <w:pPr>
              <w:spacing w:line="360" w:lineRule="auto"/>
              <w:jc w:val="center"/>
              <w:rPr>
                <w:rFonts w:ascii="宋体" w:hAnsi="宋体" w:cs="宋体"/>
                <w:b/>
                <w:color w:val="auto"/>
                <w:szCs w:val="21"/>
                <w:highlight w:val="none"/>
              </w:rPr>
            </w:pPr>
          </w:p>
        </w:tc>
        <w:tc>
          <w:tcPr>
            <w:tcW w:w="8281"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未被列入“信用中国”网站(www.creditchina.gov.cn )“记录失信被执行人或税收违法黑名单”记录名单。以招标代理机构于投标截止日当天在“信用中国”网站查询结果为准，如相关失信记录已失效，投标人需提供相关证明资料。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05" w:type="dxa"/>
            <w:vMerge w:val="continue"/>
            <w:noWrap w:val="0"/>
            <w:textDirection w:val="tbRlV"/>
            <w:vAlign w:val="center"/>
          </w:tcPr>
          <w:p>
            <w:pPr>
              <w:spacing w:line="360" w:lineRule="auto"/>
              <w:jc w:val="center"/>
              <w:rPr>
                <w:rFonts w:ascii="宋体" w:hAnsi="宋体" w:cs="宋体"/>
                <w:b/>
                <w:color w:val="auto"/>
                <w:szCs w:val="21"/>
                <w:highlight w:val="none"/>
              </w:rPr>
            </w:pPr>
          </w:p>
        </w:tc>
        <w:tc>
          <w:tcPr>
            <w:tcW w:w="8281" w:type="dxa"/>
            <w:noWrap w:val="0"/>
            <w:vAlign w:val="center"/>
          </w:tcPr>
          <w:p>
            <w:pPr>
              <w:spacing w:line="360" w:lineRule="auto"/>
              <w:rPr>
                <w:rFonts w:hint="eastAsia" w:ascii="宋体" w:hAnsi="宋体" w:eastAsia="宋体" w:cs="Arial"/>
                <w:color w:val="auto"/>
                <w:szCs w:val="21"/>
                <w:highlight w:val="none"/>
                <w:lang w:eastAsia="zh-CN"/>
              </w:rPr>
            </w:pPr>
            <w:r>
              <w:rPr>
                <w:rFonts w:hint="eastAsia" w:ascii="宋体" w:hAnsi="宋体" w:cs="宋体"/>
                <w:color w:val="auto"/>
                <w:szCs w:val="21"/>
                <w:highlight w:val="none"/>
                <w:lang w:bidi="ar"/>
              </w:rPr>
              <w:t>投标文件未含有采购人不能接受的附加条件</w:t>
            </w:r>
            <w:r>
              <w:rPr>
                <w:rFonts w:hint="eastAsia" w:ascii="宋体" w:hAnsi="宋体" w:cs="宋体"/>
                <w:color w:val="auto"/>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05" w:type="dxa"/>
            <w:vMerge w:val="continue"/>
            <w:noWrap w:val="0"/>
            <w:textDirection w:val="tbRlV"/>
            <w:vAlign w:val="center"/>
          </w:tcPr>
          <w:p>
            <w:pPr>
              <w:spacing w:line="360" w:lineRule="auto"/>
              <w:jc w:val="center"/>
              <w:rPr>
                <w:rFonts w:ascii="宋体" w:hAnsi="宋体" w:cs="宋体"/>
                <w:b/>
                <w:color w:val="auto"/>
                <w:szCs w:val="21"/>
                <w:highlight w:val="none"/>
              </w:rPr>
            </w:pPr>
          </w:p>
        </w:tc>
        <w:tc>
          <w:tcPr>
            <w:tcW w:w="8281" w:type="dxa"/>
            <w:noWrap w:val="0"/>
            <w:vAlign w:val="center"/>
          </w:tcPr>
          <w:p>
            <w:pPr>
              <w:spacing w:line="360" w:lineRule="auto"/>
              <w:rPr>
                <w:rFonts w:ascii="宋体" w:hAnsi="宋体"/>
                <w:color w:val="auto"/>
                <w:szCs w:val="21"/>
                <w:highlight w:val="none"/>
              </w:rPr>
            </w:pPr>
            <w:r>
              <w:rPr>
                <w:rFonts w:ascii="宋体" w:hAnsi="宋体" w:cs="Arial"/>
                <w:color w:val="auto"/>
                <w:szCs w:val="21"/>
                <w:highlight w:val="none"/>
              </w:rPr>
              <w:t>投标人</w:t>
            </w:r>
            <w:r>
              <w:rPr>
                <w:rFonts w:hint="eastAsia" w:ascii="宋体" w:hAnsi="宋体" w:cs="Arial"/>
                <w:color w:val="auto"/>
                <w:szCs w:val="21"/>
                <w:highlight w:val="none"/>
              </w:rPr>
              <w:t>必须</w:t>
            </w:r>
            <w:r>
              <w:rPr>
                <w:rFonts w:ascii="宋体" w:hAnsi="宋体" w:cs="Arial"/>
                <w:color w:val="auto"/>
                <w:szCs w:val="21"/>
                <w:highlight w:val="none"/>
              </w:rPr>
              <w:t>提交</w:t>
            </w:r>
            <w:r>
              <w:rPr>
                <w:rFonts w:hint="eastAsia" w:ascii="宋体" w:hAnsi="宋体" w:cs="Arial"/>
                <w:color w:val="auto"/>
                <w:szCs w:val="21"/>
                <w:highlight w:val="none"/>
              </w:rPr>
              <w:t>不少于规定金额的</w:t>
            </w:r>
            <w:r>
              <w:rPr>
                <w:rFonts w:ascii="宋体" w:hAnsi="宋体" w:cs="Arial"/>
                <w:color w:val="auto"/>
                <w:szCs w:val="21"/>
                <w:highlight w:val="none"/>
              </w:rPr>
              <w:t>投标保证金</w:t>
            </w:r>
            <w:r>
              <w:rPr>
                <w:rFonts w:hint="eastAsia" w:ascii="宋体" w:hAnsi="宋体" w:cs="Arial"/>
                <w:color w:val="auto"/>
                <w:szCs w:val="21"/>
                <w:highlight w:val="none"/>
              </w:rPr>
              <w:t>，</w:t>
            </w:r>
            <w:r>
              <w:rPr>
                <w:rFonts w:ascii="宋体" w:hAnsi="宋体" w:cs="Arial"/>
                <w:color w:val="auto"/>
                <w:szCs w:val="21"/>
                <w:highlight w:val="none"/>
              </w:rPr>
              <w:t>投标保证金形式符合</w:t>
            </w:r>
            <w:r>
              <w:rPr>
                <w:rFonts w:hint="eastAsia" w:ascii="宋体" w:hAnsi="宋体" w:cs="Arial"/>
                <w:color w:val="auto"/>
                <w:szCs w:val="21"/>
                <w:highlight w:val="none"/>
                <w:lang w:eastAsia="zh-CN"/>
              </w:rPr>
              <w:t>采购</w:t>
            </w:r>
            <w:r>
              <w:rPr>
                <w:rFonts w:ascii="宋体" w:hAnsi="宋体" w:cs="Arial"/>
                <w:color w:val="auto"/>
                <w:szCs w:val="21"/>
                <w:highlight w:val="none"/>
              </w:rPr>
              <w:t>文件要求</w:t>
            </w:r>
            <w:r>
              <w:rPr>
                <w:rFonts w:hint="eastAsia" w:ascii="宋体" w:hAnsi="宋体"/>
                <w:color w:val="auto"/>
                <w:szCs w:val="21"/>
                <w:highlight w:val="none"/>
              </w:rPr>
              <w:t>（必须提供汇款至</w:t>
            </w:r>
            <w:r>
              <w:rPr>
                <w:rFonts w:hint="eastAsia" w:ascii="宋体" w:hAnsi="宋体"/>
                <w:color w:val="auto"/>
                <w:szCs w:val="21"/>
                <w:highlight w:val="none"/>
                <w:lang w:eastAsia="zh-CN"/>
              </w:rPr>
              <w:t>采购</w:t>
            </w:r>
            <w:r>
              <w:rPr>
                <w:rFonts w:hint="eastAsia" w:ascii="宋体" w:hAnsi="宋体"/>
                <w:color w:val="auto"/>
                <w:szCs w:val="21"/>
                <w:highlight w:val="none"/>
              </w:rPr>
              <w:t>文件指定账户的投标保证金有效证明文件复印件）。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05" w:type="dxa"/>
            <w:vMerge w:val="restart"/>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color w:val="auto"/>
                <w:szCs w:val="21"/>
                <w:highlight w:val="none"/>
              </w:rPr>
              <w:t>技术符合性</w:t>
            </w:r>
          </w:p>
        </w:tc>
        <w:tc>
          <w:tcPr>
            <w:tcW w:w="8281" w:type="dxa"/>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满足</w:t>
            </w:r>
            <w:r>
              <w:rPr>
                <w:rFonts w:hint="eastAsia" w:ascii="宋体" w:hAnsi="宋体"/>
                <w:color w:val="auto"/>
                <w:szCs w:val="21"/>
                <w:highlight w:val="none"/>
                <w:lang w:eastAsia="zh-CN"/>
              </w:rPr>
              <w:t>采购</w:t>
            </w:r>
            <w:r>
              <w:rPr>
                <w:rFonts w:hint="eastAsia" w:ascii="宋体" w:hAnsi="宋体"/>
                <w:color w:val="auto"/>
                <w:szCs w:val="21"/>
                <w:highlight w:val="none"/>
              </w:rPr>
              <w:t>文件质保期要求。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noWrap w:val="0"/>
            <w:textDirection w:val="tbRlV"/>
            <w:vAlign w:val="center"/>
          </w:tcPr>
          <w:p>
            <w:pPr>
              <w:spacing w:line="360" w:lineRule="auto"/>
              <w:jc w:val="center"/>
              <w:rPr>
                <w:rFonts w:ascii="宋体" w:hAnsi="宋体" w:cs="宋体"/>
                <w:b/>
                <w:bCs/>
                <w:color w:val="auto"/>
                <w:szCs w:val="21"/>
                <w:highlight w:val="none"/>
              </w:rPr>
            </w:pPr>
          </w:p>
        </w:tc>
        <w:tc>
          <w:tcPr>
            <w:tcW w:w="8281" w:type="dxa"/>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满足</w:t>
            </w:r>
            <w:r>
              <w:rPr>
                <w:rFonts w:hint="eastAsia" w:ascii="宋体" w:hAnsi="宋体"/>
                <w:color w:val="auto"/>
                <w:szCs w:val="21"/>
                <w:highlight w:val="none"/>
                <w:lang w:eastAsia="zh-CN"/>
              </w:rPr>
              <w:t>采购</w:t>
            </w:r>
            <w:r>
              <w:rPr>
                <w:rFonts w:hint="eastAsia" w:ascii="宋体" w:hAnsi="宋体"/>
                <w:color w:val="auto"/>
                <w:szCs w:val="21"/>
                <w:highlight w:val="none"/>
              </w:rPr>
              <w:t>文件的投标有效期的要求。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005" w:type="dxa"/>
            <w:vMerge w:val="continue"/>
            <w:noWrap w:val="0"/>
            <w:vAlign w:val="center"/>
          </w:tcPr>
          <w:p>
            <w:pPr>
              <w:spacing w:line="360" w:lineRule="auto"/>
              <w:rPr>
                <w:rFonts w:ascii="宋体" w:hAnsi="宋体" w:cs="宋体"/>
                <w:color w:val="auto"/>
                <w:szCs w:val="21"/>
                <w:highlight w:val="none"/>
              </w:rPr>
            </w:pPr>
          </w:p>
        </w:tc>
        <w:tc>
          <w:tcPr>
            <w:tcW w:w="8281" w:type="dxa"/>
            <w:noWrap w:val="0"/>
            <w:vAlign w:val="center"/>
          </w:tcPr>
          <w:p>
            <w:pPr>
              <w:spacing w:line="360" w:lineRule="auto"/>
              <w:rPr>
                <w:rFonts w:ascii="宋体" w:hAnsi="宋体"/>
                <w:bCs/>
                <w:color w:val="auto"/>
                <w:szCs w:val="21"/>
                <w:highlight w:val="none"/>
              </w:rPr>
            </w:pPr>
            <w:r>
              <w:rPr>
                <w:rFonts w:hint="eastAsia" w:ascii="宋体" w:hAnsi="宋体" w:cs="宋体"/>
                <w:bCs/>
                <w:color w:val="auto"/>
                <w:szCs w:val="21"/>
                <w:highlight w:val="none"/>
                <w:lang w:eastAsia="zh-CN"/>
              </w:rPr>
              <w:t>采购</w:t>
            </w:r>
            <w:r>
              <w:rPr>
                <w:rFonts w:hint="eastAsia" w:ascii="宋体" w:hAnsi="宋体" w:cs="宋体"/>
                <w:bCs/>
                <w:color w:val="auto"/>
                <w:szCs w:val="21"/>
                <w:highlight w:val="none"/>
              </w:rPr>
              <w:t>文件中带“★”号为重要和关键性的要求或参数，无对其不满足的。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05" w:type="dxa"/>
            <w:vMerge w:val="restart"/>
            <w:noWrap w:val="0"/>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价格符合性</w:t>
            </w:r>
          </w:p>
        </w:tc>
        <w:tc>
          <w:tcPr>
            <w:tcW w:w="8281" w:type="dxa"/>
            <w:noWrap w:val="0"/>
            <w:vAlign w:val="center"/>
          </w:tcPr>
          <w:p>
            <w:pPr>
              <w:pStyle w:val="17"/>
              <w:spacing w:line="360" w:lineRule="auto"/>
              <w:rPr>
                <w:rFonts w:hint="eastAsia" w:ascii="宋体" w:hAnsi="宋体"/>
                <w:color w:val="auto"/>
                <w:kern w:val="0"/>
                <w:sz w:val="21"/>
                <w:szCs w:val="21"/>
                <w:highlight w:val="none"/>
              </w:rPr>
            </w:pPr>
            <w:r>
              <w:rPr>
                <w:rFonts w:hint="eastAsia" w:ascii="宋体" w:hAnsi="宋体"/>
                <w:color w:val="auto"/>
                <w:kern w:val="0"/>
                <w:sz w:val="21"/>
                <w:szCs w:val="21"/>
                <w:highlight w:val="none"/>
              </w:rPr>
              <w:t>投标报价未超过本项目单价最高限价。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05" w:type="dxa"/>
            <w:vMerge w:val="continue"/>
            <w:noWrap w:val="0"/>
            <w:vAlign w:val="center"/>
          </w:tcPr>
          <w:p>
            <w:pPr>
              <w:spacing w:line="360" w:lineRule="auto"/>
              <w:jc w:val="center"/>
              <w:rPr>
                <w:rFonts w:ascii="宋体" w:hAnsi="宋体" w:cs="宋体"/>
                <w:b/>
                <w:bCs/>
                <w:color w:val="auto"/>
                <w:szCs w:val="21"/>
                <w:highlight w:val="none"/>
              </w:rPr>
            </w:pPr>
          </w:p>
        </w:tc>
        <w:tc>
          <w:tcPr>
            <w:tcW w:w="8281" w:type="dxa"/>
            <w:noWrap w:val="0"/>
            <w:vAlign w:val="center"/>
          </w:tcPr>
          <w:p>
            <w:pPr>
              <w:pStyle w:val="17"/>
              <w:spacing w:line="360" w:lineRule="auto"/>
              <w:rPr>
                <w:rFonts w:hint="eastAsia" w:ascii="宋体" w:hAnsi="宋体"/>
                <w:color w:val="auto"/>
                <w:kern w:val="0"/>
                <w:sz w:val="21"/>
                <w:szCs w:val="21"/>
                <w:highlight w:val="none"/>
              </w:rPr>
            </w:pPr>
            <w:r>
              <w:rPr>
                <w:rFonts w:hint="eastAsia" w:ascii="宋体" w:hAnsi="宋体"/>
                <w:color w:val="auto"/>
                <w:kern w:val="0"/>
                <w:sz w:val="21"/>
                <w:szCs w:val="21"/>
                <w:highlight w:val="none"/>
              </w:rPr>
              <w:t>报价格式正确，必须含有开标一览表。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05" w:type="dxa"/>
            <w:vMerge w:val="continue"/>
            <w:noWrap w:val="0"/>
            <w:vAlign w:val="center"/>
          </w:tcPr>
          <w:p>
            <w:pPr>
              <w:spacing w:line="360" w:lineRule="auto"/>
              <w:jc w:val="center"/>
              <w:rPr>
                <w:rFonts w:ascii="宋体" w:hAnsi="宋体" w:cs="宋体"/>
                <w:b/>
                <w:bCs/>
                <w:color w:val="auto"/>
                <w:szCs w:val="21"/>
                <w:highlight w:val="none"/>
              </w:rPr>
            </w:pPr>
          </w:p>
        </w:tc>
        <w:tc>
          <w:tcPr>
            <w:tcW w:w="8281" w:type="dxa"/>
            <w:noWrap w:val="0"/>
            <w:vAlign w:val="center"/>
          </w:tcPr>
          <w:p>
            <w:pPr>
              <w:pStyle w:val="17"/>
              <w:spacing w:line="360" w:lineRule="auto"/>
              <w:rPr>
                <w:rFonts w:hint="eastAsia" w:ascii="宋体" w:hAnsi="宋体"/>
                <w:color w:val="auto"/>
                <w:kern w:val="0"/>
                <w:sz w:val="21"/>
                <w:szCs w:val="21"/>
                <w:highlight w:val="none"/>
              </w:rPr>
            </w:pPr>
            <w:r>
              <w:rPr>
                <w:rFonts w:hint="eastAsia" w:ascii="宋体" w:hAnsi="宋体"/>
                <w:color w:val="auto"/>
                <w:kern w:val="0"/>
                <w:sz w:val="21"/>
                <w:szCs w:val="21"/>
                <w:highlight w:val="none"/>
              </w:rPr>
              <w:t>投标报价合理、经济、完整，无重大缺漏项。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05" w:type="dxa"/>
            <w:vMerge w:val="continue"/>
            <w:noWrap w:val="0"/>
            <w:vAlign w:val="center"/>
          </w:tcPr>
          <w:p>
            <w:pPr>
              <w:spacing w:line="360" w:lineRule="auto"/>
              <w:jc w:val="center"/>
              <w:rPr>
                <w:rFonts w:ascii="宋体" w:hAnsi="宋体" w:cs="宋体"/>
                <w:b/>
                <w:bCs/>
                <w:color w:val="auto"/>
                <w:szCs w:val="21"/>
                <w:highlight w:val="none"/>
              </w:rPr>
            </w:pPr>
          </w:p>
        </w:tc>
        <w:tc>
          <w:tcPr>
            <w:tcW w:w="8281" w:type="dxa"/>
            <w:noWrap w:val="0"/>
            <w:vAlign w:val="center"/>
          </w:tcPr>
          <w:p>
            <w:pPr>
              <w:pStyle w:val="17"/>
              <w:spacing w:line="360" w:lineRule="auto"/>
              <w:rPr>
                <w:rFonts w:hint="eastAsia" w:ascii="宋体" w:hAnsi="宋体"/>
                <w:color w:val="auto"/>
                <w:kern w:val="0"/>
                <w:sz w:val="21"/>
                <w:szCs w:val="21"/>
                <w:highlight w:val="none"/>
              </w:rPr>
            </w:pPr>
            <w:r>
              <w:rPr>
                <w:rFonts w:hint="eastAsia" w:ascii="宋体" w:hAnsi="宋体"/>
                <w:color w:val="auto"/>
                <w:kern w:val="0"/>
                <w:sz w:val="21"/>
                <w:szCs w:val="21"/>
                <w:highlight w:val="none"/>
              </w:rPr>
              <w:t>投标报价未低于企业自身成本价。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05" w:type="dxa"/>
            <w:vMerge w:val="continue"/>
            <w:noWrap w:val="0"/>
            <w:vAlign w:val="center"/>
          </w:tcPr>
          <w:p>
            <w:pPr>
              <w:spacing w:line="360" w:lineRule="auto"/>
              <w:jc w:val="center"/>
              <w:rPr>
                <w:rFonts w:ascii="宋体" w:hAnsi="宋体" w:cs="宋体"/>
                <w:b/>
                <w:bCs/>
                <w:color w:val="auto"/>
                <w:szCs w:val="21"/>
                <w:highlight w:val="none"/>
              </w:rPr>
            </w:pPr>
          </w:p>
        </w:tc>
        <w:tc>
          <w:tcPr>
            <w:tcW w:w="8281" w:type="dxa"/>
            <w:noWrap w:val="0"/>
            <w:vAlign w:val="center"/>
          </w:tcPr>
          <w:p>
            <w:pPr>
              <w:pStyle w:val="17"/>
              <w:spacing w:line="360" w:lineRule="auto"/>
              <w:rPr>
                <w:rFonts w:hint="eastAsia" w:ascii="宋体" w:hAnsi="宋体"/>
                <w:color w:val="auto"/>
                <w:kern w:val="0"/>
                <w:sz w:val="21"/>
                <w:szCs w:val="21"/>
                <w:highlight w:val="none"/>
              </w:rPr>
            </w:pPr>
            <w:r>
              <w:rPr>
                <w:rFonts w:hint="eastAsia" w:ascii="宋体" w:hAnsi="宋体"/>
                <w:color w:val="auto"/>
                <w:kern w:val="0"/>
                <w:sz w:val="21"/>
                <w:szCs w:val="21"/>
                <w:highlight w:val="none"/>
              </w:rPr>
              <w:t>投标报价和方案必须是准确唯一的。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286" w:type="dxa"/>
            <w:gridSpan w:val="2"/>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投标文件没有其他导致无效响应的因素</w:t>
            </w:r>
          </w:p>
        </w:tc>
      </w:tr>
    </w:tbl>
    <w:p>
      <w:pPr>
        <w:widowControl w:val="0"/>
        <w:overflowPunct w:val="0"/>
        <w:ind w:firstLine="420" w:firstLineChars="200"/>
        <w:rPr>
          <w:rFonts w:hint="eastAsia" w:ascii="宋体" w:hAnsi="宋体"/>
          <w:color w:val="auto"/>
          <w:szCs w:val="21"/>
          <w:highlight w:val="none"/>
        </w:rPr>
      </w:pPr>
    </w:p>
    <w:p>
      <w:pPr>
        <w:widowControl w:val="0"/>
        <w:overflowPunct w:val="0"/>
        <w:ind w:firstLine="420" w:firstLineChars="200"/>
        <w:rPr>
          <w:rFonts w:hint="eastAsia" w:ascii="宋体" w:hAnsi="宋体"/>
          <w:color w:val="auto"/>
          <w:szCs w:val="21"/>
          <w:highlight w:val="none"/>
        </w:rPr>
      </w:pPr>
      <w:r>
        <w:rPr>
          <w:rFonts w:hint="eastAsia" w:ascii="宋体" w:hAnsi="宋体"/>
          <w:color w:val="auto"/>
          <w:szCs w:val="21"/>
          <w:highlight w:val="none"/>
        </w:rPr>
        <w:t>以上资格性、符合性审查中带有不合格分项的投标文件，将作无效标处理。经评标委员会确认的无效投标文件，采购人和采购代理机构将予以拒绝，并且不允许通过修正或撤消其不符合要求的差异，使之成为具有符合性的投标文件。</w:t>
      </w:r>
    </w:p>
    <w:p>
      <w:pPr>
        <w:widowControl w:val="0"/>
        <w:overflowPunct w:val="0"/>
        <w:ind w:firstLine="422" w:firstLineChars="200"/>
        <w:rPr>
          <w:rFonts w:hint="eastAsia" w:ascii="宋体" w:hAnsi="宋体"/>
          <w:b/>
          <w:bCs/>
          <w:color w:val="auto"/>
          <w:szCs w:val="21"/>
          <w:highlight w:val="none"/>
        </w:rPr>
      </w:pPr>
      <w:r>
        <w:rPr>
          <w:rFonts w:hint="eastAsia" w:ascii="宋体" w:hAnsi="宋体"/>
          <w:b/>
          <w:bCs/>
          <w:color w:val="auto"/>
          <w:szCs w:val="21"/>
          <w:highlight w:val="none"/>
          <w:lang w:eastAsia="zh-CN"/>
        </w:rPr>
        <w:t>若</w:t>
      </w:r>
      <w:r>
        <w:rPr>
          <w:rFonts w:hint="eastAsia" w:ascii="宋体" w:hAnsi="宋体"/>
          <w:b/>
          <w:bCs/>
          <w:color w:val="auto"/>
          <w:szCs w:val="21"/>
          <w:highlight w:val="none"/>
        </w:rPr>
        <w:t>本次</w:t>
      </w:r>
      <w:r>
        <w:rPr>
          <w:rFonts w:hint="eastAsia" w:ascii="宋体" w:hAnsi="宋体"/>
          <w:b/>
          <w:bCs/>
          <w:color w:val="auto"/>
          <w:szCs w:val="21"/>
          <w:highlight w:val="none"/>
          <w:lang w:eastAsia="zh-CN"/>
        </w:rPr>
        <w:t>采购</w:t>
      </w:r>
      <w:r>
        <w:rPr>
          <w:rFonts w:hint="eastAsia" w:ascii="宋体" w:hAnsi="宋体"/>
          <w:b/>
          <w:bCs/>
          <w:color w:val="auto"/>
          <w:szCs w:val="21"/>
          <w:highlight w:val="none"/>
        </w:rPr>
        <w:t>过程中有效投标人不足三个时，公开</w:t>
      </w:r>
      <w:r>
        <w:rPr>
          <w:rFonts w:hint="eastAsia" w:ascii="宋体" w:hAnsi="宋体"/>
          <w:b/>
          <w:bCs/>
          <w:color w:val="auto"/>
          <w:szCs w:val="21"/>
          <w:highlight w:val="none"/>
          <w:lang w:eastAsia="zh-CN"/>
        </w:rPr>
        <w:t>采购</w:t>
      </w:r>
      <w:r>
        <w:rPr>
          <w:rFonts w:hint="eastAsia" w:ascii="宋体" w:hAnsi="宋体"/>
          <w:b/>
          <w:bCs/>
          <w:color w:val="auto"/>
          <w:szCs w:val="21"/>
          <w:highlight w:val="none"/>
        </w:rPr>
        <w:t>失败。</w:t>
      </w:r>
      <w:r>
        <w:rPr>
          <w:rFonts w:hint="eastAsia" w:ascii="宋体" w:hAnsi="宋体"/>
          <w:b/>
          <w:bCs/>
          <w:color w:val="auto"/>
          <w:szCs w:val="21"/>
          <w:highlight w:val="none"/>
          <w:lang w:eastAsia="zh-CN"/>
        </w:rPr>
        <w:t>采购</w:t>
      </w:r>
      <w:r>
        <w:rPr>
          <w:rFonts w:hint="eastAsia" w:ascii="宋体" w:hAnsi="宋体"/>
          <w:b/>
          <w:bCs/>
          <w:color w:val="auto"/>
          <w:szCs w:val="21"/>
          <w:highlight w:val="none"/>
        </w:rPr>
        <w:t>人有权和作出实质性响应的投</w:t>
      </w:r>
    </w:p>
    <w:p>
      <w:pPr>
        <w:widowControl w:val="0"/>
        <w:overflowPunct w:val="0"/>
        <w:ind w:firstLine="422" w:firstLineChars="200"/>
        <w:rPr>
          <w:rFonts w:hint="eastAsia" w:ascii="宋体" w:hAnsi="宋体"/>
          <w:b/>
          <w:bCs/>
          <w:color w:val="auto"/>
          <w:szCs w:val="21"/>
          <w:highlight w:val="none"/>
        </w:rPr>
      </w:pPr>
      <w:r>
        <w:rPr>
          <w:rFonts w:hint="eastAsia" w:ascii="宋体" w:hAnsi="宋体"/>
          <w:b/>
          <w:bCs/>
          <w:color w:val="auto"/>
          <w:szCs w:val="21"/>
          <w:highlight w:val="none"/>
        </w:rPr>
        <w:t>标人代表协商同意后，本项目可现场转换采购方式继续采购:</w:t>
      </w:r>
    </w:p>
    <w:p>
      <w:pPr>
        <w:widowControl w:val="0"/>
        <w:overflowPunct w:val="0"/>
        <w:ind w:firstLine="422" w:firstLineChars="200"/>
        <w:rPr>
          <w:rFonts w:hint="eastAsia" w:ascii="宋体" w:hAnsi="宋体"/>
          <w:b/>
          <w:bCs/>
          <w:color w:val="auto"/>
          <w:szCs w:val="21"/>
          <w:highlight w:val="none"/>
        </w:rPr>
      </w:pPr>
      <w:r>
        <w:rPr>
          <w:rFonts w:hint="eastAsia" w:ascii="宋体" w:hAnsi="宋体"/>
          <w:b/>
          <w:bCs/>
          <w:color w:val="auto"/>
          <w:szCs w:val="21"/>
          <w:highlight w:val="none"/>
        </w:rPr>
        <w:t>(1)当有效投标人只有2个时，现场更改为竞争性谈判的方式继续采购。</w:t>
      </w:r>
    </w:p>
    <w:p>
      <w:pPr>
        <w:widowControl w:val="0"/>
        <w:overflowPunct w:val="0"/>
        <w:ind w:firstLine="422" w:firstLineChars="200"/>
        <w:rPr>
          <w:rFonts w:hint="eastAsia" w:ascii="宋体" w:hAnsi="宋体"/>
          <w:b/>
          <w:bCs/>
          <w:color w:val="auto"/>
          <w:szCs w:val="21"/>
          <w:highlight w:val="none"/>
        </w:rPr>
      </w:pPr>
      <w:r>
        <w:rPr>
          <w:rFonts w:hint="eastAsia" w:ascii="宋体" w:hAnsi="宋体"/>
          <w:b/>
          <w:bCs/>
          <w:color w:val="auto"/>
          <w:szCs w:val="21"/>
          <w:highlight w:val="none"/>
        </w:rPr>
        <w:t>(2)当有效投标人只有1个时，现场更改为单一来源的方式继续采购。</w:t>
      </w:r>
    </w:p>
    <w:p>
      <w:pPr>
        <w:widowControl w:val="0"/>
        <w:overflowPunct w:val="0"/>
        <w:ind w:firstLine="420" w:firstLineChars="200"/>
        <w:rPr>
          <w:rFonts w:hint="eastAsia" w:ascii="宋体" w:hAnsi="宋体"/>
          <w:color w:val="auto"/>
          <w:szCs w:val="21"/>
          <w:highlight w:val="none"/>
        </w:rPr>
      </w:pPr>
      <w:r>
        <w:rPr>
          <w:rFonts w:hint="eastAsia" w:ascii="宋体" w:hAnsi="宋体"/>
          <w:color w:val="auto"/>
          <w:szCs w:val="21"/>
          <w:highlight w:val="none"/>
        </w:rPr>
        <w:t>不同意转换采购方式而退出投标的投标人，投标保证金按本须知</w:t>
      </w:r>
      <w:r>
        <w:rPr>
          <w:rFonts w:hint="eastAsia" w:ascii="宋体" w:hAnsi="宋体"/>
          <w:color w:val="auto"/>
          <w:szCs w:val="21"/>
          <w:highlight w:val="none"/>
          <w:lang w:val="en-US" w:eastAsia="zh-CN"/>
        </w:rPr>
        <w:t>17.8</w:t>
      </w:r>
      <w:r>
        <w:rPr>
          <w:rFonts w:hint="eastAsia" w:ascii="宋体" w:hAnsi="宋体"/>
          <w:color w:val="auto"/>
          <w:szCs w:val="21"/>
          <w:highlight w:val="none"/>
        </w:rPr>
        <w:t>款的规定退还。</w:t>
      </w:r>
    </w:p>
    <w:p>
      <w:pPr>
        <w:widowControl w:val="0"/>
        <w:numPr>
          <w:ilvl w:val="1"/>
          <w:numId w:val="3"/>
        </w:numPr>
        <w:overflowPunct w:val="0"/>
        <w:rPr>
          <w:rFonts w:ascii="宋体" w:hAnsi="宋体" w:cs="宋体"/>
          <w:b/>
          <w:bCs/>
          <w:color w:val="auto"/>
          <w:szCs w:val="21"/>
          <w:highlight w:val="none"/>
        </w:rPr>
      </w:pPr>
      <w:r>
        <w:rPr>
          <w:rFonts w:hint="eastAsia" w:ascii="宋体" w:hAnsi="宋体" w:cs="宋体"/>
          <w:b/>
          <w:bCs/>
          <w:color w:val="auto"/>
          <w:szCs w:val="21"/>
          <w:highlight w:val="none"/>
        </w:rPr>
        <w:t>投标文件报价出现前后不一致的，评标委员会按照下列规定修正：</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widowControl w:val="0"/>
        <w:numPr>
          <w:ilvl w:val="0"/>
          <w:numId w:val="7"/>
        </w:numPr>
        <w:overflowPunct w:val="0"/>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同时出现两种以上不一致的，按照前款规定的顺序修正。修正后的报价按照经投标人确认后产生约束力，投标人不确认的，其投标无效。</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26.3  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26.4  对于投标文件中不构成实质性偏差的不正规、不一致或不规则，评标委员会可以接受，但这种接受不能损害或影响任何投标人的相对排序。</w:t>
      </w:r>
    </w:p>
    <w:p>
      <w:pPr>
        <w:widowControl w:val="0"/>
        <w:overflowPunct w:val="0"/>
        <w:ind w:left="630" w:hanging="630" w:hangingChars="300"/>
        <w:rPr>
          <w:rFonts w:ascii="宋体" w:hAnsi="宋体" w:cs="宋体"/>
          <w:color w:val="auto"/>
          <w:szCs w:val="21"/>
          <w:highlight w:val="none"/>
        </w:rPr>
      </w:pPr>
      <w:r>
        <w:rPr>
          <w:rFonts w:hint="eastAsia" w:ascii="宋体" w:hAnsi="宋体" w:cs="宋体"/>
          <w:color w:val="auto"/>
          <w:szCs w:val="21"/>
          <w:highlight w:val="none"/>
        </w:rPr>
        <w:t>26.5  在详细评标之前，评标委员会要审查每份投标文件是否实质上响应了采购文件的要求。实质上响应的投标应该是与采购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widowControl w:val="0"/>
        <w:tabs>
          <w:tab w:val="left" w:pos="907"/>
        </w:tabs>
        <w:adjustRightInd/>
        <w:snapToGrid/>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70" w:name="_Toc316375620"/>
      <w:bookmarkStart w:id="71" w:name="_Toc23191"/>
      <w:bookmarkStart w:id="72" w:name="_Toc382049120"/>
      <w:bookmarkStart w:id="73" w:name="_Toc20328"/>
      <w:r>
        <w:rPr>
          <w:rFonts w:hint="eastAsia" w:ascii="宋体" w:hAnsi="宋体" w:cs="宋体"/>
          <w:color w:val="auto"/>
          <w:sz w:val="21"/>
          <w:szCs w:val="21"/>
          <w:highlight w:val="none"/>
        </w:rPr>
        <w:t>纪律和保密</w:t>
      </w:r>
      <w:bookmarkEnd w:id="70"/>
      <w:r>
        <w:rPr>
          <w:rFonts w:hint="eastAsia" w:ascii="宋体" w:hAnsi="宋体" w:cs="宋体"/>
          <w:color w:val="auto"/>
          <w:sz w:val="21"/>
          <w:szCs w:val="21"/>
          <w:highlight w:val="none"/>
        </w:rPr>
        <w:t>事项</w:t>
      </w:r>
      <w:bookmarkEnd w:id="71"/>
      <w:bookmarkEnd w:id="72"/>
      <w:bookmarkEnd w:id="73"/>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投标人不得串通作弊，以不正当的手段妨碍、排挤其他投标人，扰乱采购市场，破坏公平竞争原则。否则将按相关法律规定严肃处理。</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获得本采购文件的投标人，应对文件进行保密，不得用作本次投标以外的任何用途。开标后，投标人应归还采购文件中要求保密的文件和资料。</w:t>
      </w:r>
    </w:p>
    <w:p>
      <w:pPr>
        <w:rPr>
          <w:rFonts w:ascii="宋体" w:hAnsi="宋体" w:cs="宋体"/>
          <w:color w:val="auto"/>
          <w:highlight w:val="none"/>
        </w:rPr>
      </w:pPr>
    </w:p>
    <w:p>
      <w:pPr>
        <w:pStyle w:val="4"/>
        <w:numPr>
          <w:ilvl w:val="0"/>
          <w:numId w:val="2"/>
        </w:numPr>
        <w:spacing w:before="0" w:after="0" w:line="360" w:lineRule="auto"/>
        <w:jc w:val="center"/>
        <w:rPr>
          <w:rFonts w:ascii="宋体" w:hAnsi="宋体" w:cs="宋体"/>
          <w:color w:val="auto"/>
          <w:highlight w:val="none"/>
        </w:rPr>
      </w:pPr>
      <w:bookmarkStart w:id="74" w:name="_Toc19500"/>
      <w:r>
        <w:rPr>
          <w:rFonts w:hint="eastAsia" w:ascii="宋体" w:hAnsi="宋体" w:cs="宋体"/>
          <w:color w:val="auto"/>
          <w:highlight w:val="none"/>
        </w:rPr>
        <w:t>授予合同</w:t>
      </w:r>
      <w:bookmarkEnd w:id="74"/>
    </w:p>
    <w:p>
      <w:pPr>
        <w:pStyle w:val="5"/>
        <w:widowControl w:val="0"/>
        <w:numPr>
          <w:ilvl w:val="0"/>
          <w:numId w:val="3"/>
        </w:numPr>
        <w:overflowPunct w:val="0"/>
        <w:rPr>
          <w:rFonts w:ascii="宋体" w:hAnsi="宋体" w:cs="宋体"/>
          <w:color w:val="auto"/>
          <w:sz w:val="21"/>
          <w:szCs w:val="21"/>
          <w:highlight w:val="none"/>
        </w:rPr>
      </w:pPr>
      <w:bookmarkStart w:id="75" w:name="_Toc6173"/>
      <w:bookmarkStart w:id="76" w:name="_Toc508284011"/>
      <w:r>
        <w:rPr>
          <w:rFonts w:hint="eastAsia" w:ascii="宋体" w:hAnsi="宋体" w:cs="宋体"/>
          <w:color w:val="auto"/>
          <w:sz w:val="21"/>
          <w:szCs w:val="21"/>
          <w:highlight w:val="none"/>
        </w:rPr>
        <w:t>合同授予标准</w:t>
      </w:r>
      <w:bookmarkEnd w:id="75"/>
      <w:bookmarkEnd w:id="76"/>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根据评标委员会的评审结果，采购人按照评审报告推荐的中标候选人中按顺序依法确定中标人。</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77" w:name="_Toc13997"/>
      <w:bookmarkStart w:id="78" w:name="_Toc508284013"/>
      <w:r>
        <w:rPr>
          <w:rFonts w:hint="eastAsia" w:ascii="宋体" w:hAnsi="宋体" w:cs="宋体"/>
          <w:color w:val="auto"/>
          <w:sz w:val="21"/>
          <w:szCs w:val="21"/>
          <w:highlight w:val="none"/>
        </w:rPr>
        <w:t>发布中标结果</w:t>
      </w:r>
      <w:bookmarkEnd w:id="77"/>
      <w:bookmarkEnd w:id="78"/>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评标委员会提出评标书面报告和推荐中标意见报采购人确认后，采购代理机构将在指定的信息发布媒体上发布公告。</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中标公告期限为3个日历日。</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《中标通知书》是合同的一个组成部分，《中标通知书》对采购人和中标人均具有同等法律效力。</w:t>
      </w:r>
    </w:p>
    <w:p>
      <w:pPr>
        <w:widowControl w:val="0"/>
        <w:tabs>
          <w:tab w:val="left" w:pos="907"/>
        </w:tabs>
        <w:adjustRightInd/>
        <w:snapToGrid/>
        <w:jc w:val="both"/>
        <w:rPr>
          <w:rFonts w:ascii="宋体" w:hAnsi="宋体" w:cs="宋体"/>
          <w:color w:val="auto"/>
          <w:szCs w:val="21"/>
          <w:highlight w:val="none"/>
        </w:rPr>
      </w:pPr>
    </w:p>
    <w:p>
      <w:pPr>
        <w:pStyle w:val="5"/>
        <w:widowControl w:val="0"/>
        <w:numPr>
          <w:ilvl w:val="0"/>
          <w:numId w:val="3"/>
        </w:numPr>
        <w:overflowPunct w:val="0"/>
        <w:rPr>
          <w:rFonts w:ascii="宋体" w:hAnsi="宋体" w:cs="宋体"/>
          <w:color w:val="auto"/>
          <w:sz w:val="21"/>
          <w:szCs w:val="21"/>
          <w:highlight w:val="none"/>
        </w:rPr>
      </w:pPr>
      <w:bookmarkStart w:id="79" w:name="_Toc26238"/>
      <w:r>
        <w:rPr>
          <w:rFonts w:hint="eastAsia" w:ascii="宋体" w:hAnsi="宋体" w:cs="宋体"/>
          <w:color w:val="auto"/>
          <w:sz w:val="21"/>
          <w:szCs w:val="21"/>
          <w:highlight w:val="none"/>
        </w:rPr>
        <w:t>资格后审</w:t>
      </w:r>
      <w:bookmarkEnd w:id="79"/>
    </w:p>
    <w:p>
      <w:pPr>
        <w:pStyle w:val="39"/>
        <w:widowControl w:val="0"/>
        <w:numPr>
          <w:ilvl w:val="0"/>
          <w:numId w:val="4"/>
        </w:numPr>
        <w:tabs>
          <w:tab w:val="left" w:pos="567"/>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采购人将有权根据本文件中的要求，对评委会推荐的中标候选人进行资格后审。</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中标候选人须无条件配合资格后审，否则采购人有权取消其中标资格，且投标保证金可不予退还。</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资格后审须提供包括但不限于营业执照、税务登记证和在投标文件中提供的资质证明文件、业绩等重要证明文件的原件进行核对，综合考察中标人的履约能力。如采购人要求还须提供业绩证明的其他材料,中标候选人须配合提供。如授权其分支机构进行项目实施或提供售后服务的，亦应提供其与分支机构关系的法律证明材料。</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如发现中标候选人以他人名义投标或者以其他方式弄虚作假，骗取中标的，采购人有权取消其中标资格，且投标保证金可不予退还；给采购人造成损失的，应依法承担赔偿责任。</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有权审查中标候选人是否具备履行合同的能力，包括但不限于对其规模、人员、场地、生产能力、供货能力等方面的核实或现场考察。如果审查通过，采购人将把合同授予该中标人；如果审查没有通过，采购人有权取消其中标资格，且投标保证金可不予退还，并依次审查下一名中标候选人是否具备履行合同的能力或重新采购。</w:t>
      </w:r>
    </w:p>
    <w:p>
      <w:pPr>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80" w:name="_Toc15480"/>
      <w:r>
        <w:rPr>
          <w:rFonts w:hint="eastAsia" w:ascii="宋体" w:hAnsi="宋体" w:cs="宋体"/>
          <w:color w:val="auto"/>
          <w:sz w:val="21"/>
          <w:szCs w:val="21"/>
          <w:highlight w:val="none"/>
        </w:rPr>
        <w:t>合同的签订与履行</w:t>
      </w:r>
      <w:bookmarkEnd w:id="80"/>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人应当自采购人发出中标通知书之日起30日内，按照采购文件和中标人投标文件的规定，与采购人签订书面合同，否则采购人有权取消其中标资格。所签订的合同不得对采购文件确定的事项和中标人投标文件作实质性修改。在合同签订时，应注意合同中约定的工期开始时间不得早于合同签订时间。</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采购人与中标人应当根据合同的约定依法履行合同义务。</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采购合同的履行、违约责任和解决争议的方法等适用《中华人民共和国民法典》。</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中标人在评审结束当天至合同履行结束，若因不可抗力的因素（如国家出台新法律法规等）造成投标人资质的变动，投标人应以纸质版形式通知采购人。若资质变动导致中标人不再具备履行合同资质要求，采购人有权中止合同。</w:t>
      </w:r>
    </w:p>
    <w:p>
      <w:pPr>
        <w:widowControl w:val="0"/>
        <w:tabs>
          <w:tab w:val="left" w:pos="907"/>
        </w:tabs>
        <w:adjustRightInd/>
        <w:snapToGrid/>
        <w:jc w:val="both"/>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81" w:name="_Toc29009"/>
      <w:bookmarkStart w:id="82" w:name="_Toc303084277"/>
      <w:bookmarkStart w:id="83" w:name="_Toc382049124"/>
      <w:bookmarkStart w:id="84" w:name="_Toc12919"/>
      <w:r>
        <w:rPr>
          <w:rFonts w:hint="eastAsia" w:ascii="宋体" w:hAnsi="宋体" w:cs="宋体"/>
          <w:color w:val="auto"/>
          <w:sz w:val="21"/>
          <w:szCs w:val="21"/>
          <w:highlight w:val="none"/>
        </w:rPr>
        <w:t>履约</w:t>
      </w:r>
      <w:bookmarkEnd w:id="81"/>
      <w:bookmarkEnd w:id="82"/>
      <w:bookmarkEnd w:id="83"/>
      <w:r>
        <w:rPr>
          <w:rFonts w:hint="eastAsia" w:ascii="宋体" w:hAnsi="宋体" w:cs="宋体"/>
          <w:color w:val="auto"/>
          <w:sz w:val="21"/>
          <w:szCs w:val="21"/>
          <w:highlight w:val="none"/>
        </w:rPr>
        <w:t>担保</w:t>
      </w:r>
      <w:bookmarkEnd w:id="84"/>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olor w:val="auto"/>
          <w:szCs w:val="21"/>
          <w:highlight w:val="none"/>
        </w:rPr>
        <w:t>中标人必须保证履约保证金以中标人名称在在签订合同后15个日历天内提交至采购人指定账户</w:t>
      </w:r>
      <w:r>
        <w:rPr>
          <w:rFonts w:hint="eastAsia" w:ascii="宋体" w:hAnsi="宋体" w:cs="宋体"/>
          <w:color w:val="auto"/>
          <w:szCs w:val="21"/>
          <w:highlight w:val="none"/>
        </w:rPr>
        <w:t>，</w:t>
      </w:r>
      <w:r>
        <w:rPr>
          <w:rFonts w:hint="eastAsia" w:ascii="宋体" w:hAnsi="宋体"/>
          <w:color w:val="auto"/>
          <w:szCs w:val="21"/>
          <w:highlight w:val="none"/>
        </w:rPr>
        <w:t>履约担保金额</w:t>
      </w:r>
      <w:r>
        <w:rPr>
          <w:rFonts w:hint="eastAsia" w:ascii="宋体" w:hAnsi="宋体"/>
          <w:color w:val="auto"/>
          <w:szCs w:val="21"/>
          <w:highlight w:val="none"/>
          <w:lang w:eastAsia="zh-CN"/>
        </w:rPr>
        <w:t>为</w:t>
      </w:r>
      <w:r>
        <w:rPr>
          <w:rFonts w:hint="eastAsia" w:ascii="宋体" w:hAnsi="宋体"/>
          <w:color w:val="auto"/>
          <w:szCs w:val="21"/>
          <w:highlight w:val="none"/>
        </w:rPr>
        <w:t>合同暂定总价的10%</w:t>
      </w:r>
      <w:r>
        <w:rPr>
          <w:rFonts w:hint="eastAsia" w:ascii="宋体" w:hAnsi="宋体" w:cs="宋体"/>
          <w:color w:val="auto"/>
          <w:szCs w:val="21"/>
          <w:highlight w:val="none"/>
        </w:rPr>
        <w:t>，如果中标人提交的履约保函的有效期先于合同要求的履约保函有效期到达，中标人应在原提交的履约保函有效期满前15天，无条件办理保函延期手续。否则，视中标人违约，采购人可在保函到期前将保函金额转为现金存入履约保证金账户。</w:t>
      </w:r>
    </w:p>
    <w:p>
      <w:pPr>
        <w:widowControl w:val="0"/>
        <w:numPr>
          <w:ilvl w:val="1"/>
          <w:numId w:val="3"/>
        </w:numPr>
        <w:overflowPunct w:val="0"/>
        <w:rPr>
          <w:rFonts w:ascii="宋体" w:hAnsi="宋体" w:cs="宋体"/>
          <w:color w:val="auto"/>
          <w:szCs w:val="21"/>
          <w:highlight w:val="none"/>
        </w:rPr>
      </w:pPr>
      <w:r>
        <w:rPr>
          <w:rFonts w:hint="eastAsia" w:ascii="宋体" w:hAnsi="宋体"/>
          <w:color w:val="auto"/>
          <w:szCs w:val="21"/>
          <w:highlight w:val="none"/>
        </w:rPr>
        <w:t>履约担保期限从合同签订之日起至</w:t>
      </w:r>
      <w:r>
        <w:rPr>
          <w:rFonts w:hint="eastAsia" w:ascii="宋体" w:hAnsi="宋体"/>
          <w:color w:val="auto"/>
          <w:szCs w:val="21"/>
          <w:highlight w:val="none"/>
          <w:lang w:eastAsia="zh-CN"/>
        </w:rPr>
        <w:t>完成本项目最后一批供货并验收合格</w:t>
      </w:r>
      <w:r>
        <w:rPr>
          <w:rFonts w:hint="eastAsia" w:ascii="宋体" w:hAnsi="宋体"/>
          <w:color w:val="auto"/>
          <w:szCs w:val="21"/>
          <w:highlight w:val="none"/>
        </w:rPr>
        <w:t>后，经双方签字</w:t>
      </w:r>
      <w:r>
        <w:rPr>
          <w:rFonts w:hint="eastAsia" w:ascii="宋体" w:hAnsi="宋体"/>
          <w:color w:val="auto"/>
          <w:szCs w:val="21"/>
          <w:highlight w:val="none"/>
          <w:u w:val="none"/>
        </w:rPr>
        <w:t>7</w:t>
      </w:r>
      <w:r>
        <w:rPr>
          <w:rFonts w:hint="eastAsia" w:ascii="宋体" w:hAnsi="宋体"/>
          <w:color w:val="auto"/>
          <w:szCs w:val="21"/>
          <w:highlight w:val="none"/>
        </w:rPr>
        <w:t>天内保持有效</w:t>
      </w:r>
      <w:r>
        <w:rPr>
          <w:rFonts w:hint="eastAsia" w:ascii="宋体" w:hAnsi="宋体" w:cs="宋体"/>
          <w:color w:val="auto"/>
          <w:szCs w:val="21"/>
          <w:highlight w:val="none"/>
        </w:rPr>
        <w:t>。</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履约担保可以采用下列任何一种形式：</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（1）履约保函。如果中标人的履约担保是以银行保函形式提供的，则该银行保函应：</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①保函应由银行支行或以上银行机构开具，非东莞市行政区内的银行开具的保函要由银行所在地公证部门出具的公证书。</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②保函的格式参考投标文件附件中提供的无条件不可撤销履约保函格式，</w:t>
      </w:r>
      <w:r>
        <w:rPr>
          <w:rFonts w:hint="eastAsia" w:ascii="宋体" w:hAnsi="宋体"/>
          <w:color w:val="auto"/>
          <w:szCs w:val="21"/>
          <w:highlight w:val="none"/>
        </w:rPr>
        <w:t>保函担保期内若项目未能按期</w:t>
      </w:r>
      <w:r>
        <w:rPr>
          <w:rFonts w:hint="eastAsia" w:ascii="宋体" w:hAnsi="宋体"/>
          <w:color w:val="auto"/>
          <w:szCs w:val="21"/>
          <w:highlight w:val="none"/>
          <w:lang w:eastAsia="zh-CN"/>
        </w:rPr>
        <w:t>供货完毕</w:t>
      </w:r>
      <w:r>
        <w:rPr>
          <w:rFonts w:hint="eastAsia" w:ascii="宋体" w:hAnsi="宋体" w:cs="宋体"/>
          <w:color w:val="auto"/>
          <w:szCs w:val="21"/>
          <w:highlight w:val="none"/>
        </w:rPr>
        <w:t>，保函必须延期，办理延期手续时在银行方面所产生费用由中标人负责。</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③履约保函必须打印，手写、涂改无效。</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（2）履约保证金。可采用电汇、银行汇票等银行转账方式提交，但不可以采用现金方式提交。履约保证金金额为</w:t>
      </w:r>
      <w:r>
        <w:rPr>
          <w:rFonts w:hint="eastAsia" w:ascii="宋体" w:hAnsi="宋体"/>
          <w:color w:val="auto"/>
          <w:szCs w:val="21"/>
          <w:highlight w:val="none"/>
          <w:u w:val="none"/>
          <w:lang w:val="en-US" w:eastAsia="zh-CN"/>
        </w:rPr>
        <w:t>合同暂定总价</w:t>
      </w:r>
      <w:r>
        <w:rPr>
          <w:rFonts w:hint="eastAsia" w:ascii="宋体" w:hAnsi="宋体" w:cs="宋体"/>
          <w:color w:val="auto"/>
          <w:szCs w:val="21"/>
          <w:highlight w:val="none"/>
        </w:rPr>
        <w:t>的10%。中标人人必须保证履约保证金以中标人的名称</w:t>
      </w:r>
      <w:r>
        <w:rPr>
          <w:rFonts w:hint="eastAsia" w:ascii="宋体" w:hAnsi="宋体"/>
          <w:color w:val="auto"/>
          <w:szCs w:val="21"/>
          <w:highlight w:val="none"/>
        </w:rPr>
        <w:t>在签订合同前提交至采购人指定账户</w:t>
      </w:r>
      <w:r>
        <w:rPr>
          <w:rFonts w:hint="eastAsia" w:ascii="宋体" w:hAnsi="宋体" w:cs="宋体"/>
          <w:color w:val="auto"/>
          <w:szCs w:val="21"/>
          <w:highlight w:val="none"/>
        </w:rPr>
        <w:t>。</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若中标人不能按本采购文件（3</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.1至3</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3）的规定提交履约保证金的，采购人将有权取消中标人的中标资格（采购人可以按照评标委员会提出的中标候选人名单排序依次确定其他中标候选人为中标人，也可以重新采购），投标保证金不予退还，给采购人造成的损失如果超过投标保证金数额的，还应当对超过部分予以赔偿。</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为取得履约担保所需的费用，由中标人承担；若工期延误，履约担保时间延长，延长费用由中标人承担。</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若中标人在合同履行过程中出现项目质量事故、工期拖延、欠付工人工资、欠付材料款等情况，采购人在经核查属实后，有权将履约保函金额转为现金存入履约保证金账户；中标人造成采购人损失的，采购人有权立即没收其履约担保，若造成损失超过履约担保的，还应当对超过部分予以赔偿。</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下列任何情况发生时，采购人有权行使享有的担保权利：</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（1）中标人将本项目转让给他人，或者在投标文件中未说明，且未经采购人同意，将中标项目分包给他人的；</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（2）中标人在履行采购合同期间，违反有关法律法规的规定及合同约定的条款，损害了采购人的利益。</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在整个项目验收合格后，中标人向采购人提交退回履约担保的申请，采购人办理履约担保退还手续。</w:t>
      </w:r>
    </w:p>
    <w:p>
      <w:pPr>
        <w:widowControl w:val="0"/>
        <w:tabs>
          <w:tab w:val="left" w:pos="907"/>
        </w:tabs>
        <w:adjustRightInd/>
        <w:snapToGrid/>
        <w:jc w:val="both"/>
        <w:rPr>
          <w:rFonts w:ascii="宋体" w:hAnsi="宋体" w:cs="宋体"/>
          <w:color w:val="auto"/>
          <w:highlight w:val="none"/>
        </w:rPr>
      </w:pPr>
    </w:p>
    <w:p>
      <w:pPr>
        <w:pStyle w:val="5"/>
        <w:widowControl w:val="0"/>
        <w:numPr>
          <w:ilvl w:val="0"/>
          <w:numId w:val="3"/>
        </w:numPr>
        <w:overflowPunct w:val="0"/>
        <w:rPr>
          <w:rFonts w:ascii="宋体" w:hAnsi="宋体" w:cs="宋体"/>
          <w:color w:val="auto"/>
          <w:sz w:val="21"/>
          <w:szCs w:val="21"/>
          <w:highlight w:val="none"/>
        </w:rPr>
      </w:pPr>
      <w:bookmarkStart w:id="85" w:name="_Toc12329"/>
      <w:r>
        <w:rPr>
          <w:rFonts w:hint="eastAsia" w:ascii="宋体" w:hAnsi="宋体" w:cs="宋体"/>
          <w:color w:val="auto"/>
          <w:sz w:val="21"/>
          <w:szCs w:val="21"/>
          <w:highlight w:val="none"/>
        </w:rPr>
        <w:t>预付款保函（适用于预付款支付）</w:t>
      </w:r>
      <w:bookmarkEnd w:id="85"/>
    </w:p>
    <w:p>
      <w:pPr>
        <w:pStyle w:val="39"/>
        <w:widowControl w:val="0"/>
        <w:numPr>
          <w:ilvl w:val="0"/>
          <w:numId w:val="4"/>
        </w:numPr>
        <w:tabs>
          <w:tab w:val="left" w:pos="567"/>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在签订合同时，中标人应按本须知规定向采购人提交一份合同预付款等额有效的预付款保函。预付款保函有效期从保函开立之日起至采购人向中标人抵扣完所有预付款之日止。如果中标人提交的预付款保函的有效期先于采购文件要求的预付款保函有效期到达，中标人应在原提交的预付款保函有效期前15日内，无条件办理预付款保函延期手续。否则视为中标人违约，采购人可在预付款保函到期前将未抵扣的预付款转为现金存入采购人账户</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预付款保函应：</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（1）由东莞市行政区域内的银行支行及以上银行机构开具。非东莞市行政区内的银行开具的保函要由银行所在地公证部门出具的公证书。</w:t>
      </w:r>
    </w:p>
    <w:p>
      <w:pPr>
        <w:widowControl w:val="0"/>
        <w:tabs>
          <w:tab w:val="left" w:pos="907"/>
        </w:tabs>
        <w:adjustRightInd/>
        <w:snapToGrid/>
        <w:ind w:left="567"/>
        <w:jc w:val="both"/>
        <w:rPr>
          <w:rFonts w:ascii="宋体" w:hAnsi="宋体" w:cs="宋体"/>
          <w:color w:val="auto"/>
          <w:szCs w:val="21"/>
          <w:highlight w:val="none"/>
        </w:rPr>
      </w:pPr>
      <w:r>
        <w:rPr>
          <w:rFonts w:hint="eastAsia" w:ascii="宋体" w:hAnsi="宋体" w:cs="宋体"/>
          <w:color w:val="auto"/>
          <w:szCs w:val="21"/>
          <w:highlight w:val="none"/>
        </w:rPr>
        <w:t>（2）必须打印，手写、涂改无效</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若中标人不能按本须知（3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.1至3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.2）的规定执行，采购人将不予支付预付款。</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如果中标人提交的预付款保函的有效期先于采购文件要求的预付款保函有效期到达，中标人应在原提交的预付款保函有效期满前15天内，无条件办理预付款保函延期手续。否则视为中标人违约，采购人可在预付款保函到期前将未抵扣的预付款金额转为现金存入采购人账户。</w:t>
      </w:r>
    </w:p>
    <w:p>
      <w:pPr>
        <w:rPr>
          <w:rFonts w:ascii="宋体" w:hAnsi="宋体" w:cs="宋体"/>
          <w:color w:val="auto"/>
          <w:highlight w:val="none"/>
        </w:rPr>
      </w:pPr>
    </w:p>
    <w:p>
      <w:pPr>
        <w:pStyle w:val="4"/>
        <w:numPr>
          <w:ilvl w:val="0"/>
          <w:numId w:val="2"/>
        </w:numPr>
        <w:spacing w:before="0" w:after="0" w:line="360" w:lineRule="auto"/>
        <w:jc w:val="center"/>
        <w:rPr>
          <w:rFonts w:ascii="宋体" w:hAnsi="宋体" w:cs="宋体"/>
          <w:color w:val="auto"/>
          <w:highlight w:val="none"/>
        </w:rPr>
      </w:pPr>
      <w:bookmarkStart w:id="86" w:name="_Toc439"/>
      <w:r>
        <w:rPr>
          <w:rFonts w:hint="eastAsia" w:ascii="宋体" w:hAnsi="宋体" w:cs="宋体"/>
          <w:color w:val="auto"/>
          <w:highlight w:val="none"/>
        </w:rPr>
        <w:t>异议</w:t>
      </w:r>
      <w:bookmarkEnd w:id="86"/>
    </w:p>
    <w:p>
      <w:pPr>
        <w:pStyle w:val="5"/>
        <w:widowControl w:val="0"/>
        <w:numPr>
          <w:ilvl w:val="0"/>
          <w:numId w:val="3"/>
        </w:numPr>
        <w:overflowPunct w:val="0"/>
        <w:rPr>
          <w:rFonts w:ascii="宋体" w:hAnsi="宋体" w:cs="宋体"/>
          <w:color w:val="auto"/>
          <w:sz w:val="21"/>
          <w:szCs w:val="21"/>
          <w:highlight w:val="none"/>
        </w:rPr>
      </w:pPr>
      <w:bookmarkStart w:id="87" w:name="_Toc12305"/>
      <w:r>
        <w:rPr>
          <w:rFonts w:hint="eastAsia" w:ascii="宋体" w:hAnsi="宋体" w:cs="宋体"/>
          <w:color w:val="auto"/>
          <w:sz w:val="21"/>
          <w:szCs w:val="21"/>
          <w:highlight w:val="none"/>
        </w:rPr>
        <w:t>异议</w:t>
      </w:r>
      <w:bookmarkEnd w:id="87"/>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lang w:val="zh-CN"/>
        </w:rPr>
        <w:t>采购文件的异议</w:t>
      </w:r>
      <w:r>
        <w:rPr>
          <w:rFonts w:hint="eastAsia" w:ascii="宋体" w:hAnsi="宋体" w:cs="宋体"/>
          <w:color w:val="auto"/>
          <w:szCs w:val="21"/>
          <w:highlight w:val="none"/>
        </w:rPr>
        <w:t xml:space="preserve">  </w:t>
      </w:r>
    </w:p>
    <w:p>
      <w:pPr>
        <w:widowControl w:val="0"/>
        <w:tabs>
          <w:tab w:val="left" w:pos="907"/>
        </w:tabs>
        <w:adjustRightInd/>
        <w:snapToGrid/>
        <w:ind w:firstLine="420" w:firstLineChars="200"/>
        <w:jc w:val="both"/>
        <w:rPr>
          <w:rFonts w:ascii="宋体" w:hAnsi="宋体" w:cs="宋体"/>
          <w:color w:val="auto"/>
          <w:szCs w:val="21"/>
          <w:highlight w:val="none"/>
        </w:rPr>
      </w:pPr>
      <w:r>
        <w:rPr>
          <w:rFonts w:hint="eastAsia" w:ascii="宋体" w:hAnsi="宋体" w:cs="宋体"/>
          <w:bCs/>
          <w:color w:val="auto"/>
          <w:kern w:val="2"/>
          <w:szCs w:val="21"/>
          <w:highlight w:val="none"/>
          <w:lang w:val="zh-CN"/>
        </w:rPr>
        <w:t>投标人或者其他利害关系人对采购文件有异议的，应当在投标截止时间10日前</w:t>
      </w:r>
      <w:r>
        <w:rPr>
          <w:rFonts w:hint="eastAsia" w:ascii="宋体" w:hAnsi="宋体" w:cs="宋体"/>
          <w:color w:val="auto"/>
          <w:kern w:val="2"/>
          <w:szCs w:val="21"/>
          <w:highlight w:val="none"/>
          <w:lang w:val="zh-CN"/>
        </w:rPr>
        <w:t>以书面形式向采购代理机构提出，并将材料原件送达采购代理机构，逾期则视为对采购文件所有内容无异议。</w:t>
      </w:r>
      <w:r>
        <w:rPr>
          <w:rFonts w:hint="eastAsia" w:ascii="宋体" w:hAnsi="宋体" w:cs="宋体"/>
          <w:bCs/>
          <w:color w:val="auto"/>
          <w:kern w:val="2"/>
          <w:szCs w:val="21"/>
          <w:highlight w:val="none"/>
          <w:lang w:val="zh-CN"/>
        </w:rPr>
        <w:t>异议</w:t>
      </w:r>
      <w:r>
        <w:rPr>
          <w:rFonts w:hint="eastAsia" w:ascii="宋体" w:hAnsi="宋体" w:cs="宋体"/>
          <w:color w:val="auto"/>
          <w:kern w:val="2"/>
          <w:szCs w:val="21"/>
          <w:highlight w:val="none"/>
          <w:lang w:val="zh-CN"/>
        </w:rPr>
        <w:t>书面材料必须加盖投标人法人公章，并注明联系人、联系电话、联系地址。</w:t>
      </w:r>
      <w:r>
        <w:rPr>
          <w:rFonts w:hint="eastAsia" w:ascii="宋体" w:hAnsi="宋体" w:cs="宋体"/>
          <w:bCs/>
          <w:color w:val="auto"/>
          <w:kern w:val="2"/>
          <w:szCs w:val="21"/>
          <w:highlight w:val="none"/>
          <w:lang w:val="zh-CN"/>
        </w:rPr>
        <w:t>超出</w:t>
      </w:r>
      <w:r>
        <w:rPr>
          <w:rFonts w:hint="eastAsia" w:ascii="宋体" w:hAnsi="宋体" w:cs="宋体"/>
          <w:color w:val="auto"/>
          <w:kern w:val="2"/>
          <w:szCs w:val="21"/>
          <w:highlight w:val="none"/>
          <w:lang w:val="zh-CN"/>
        </w:rPr>
        <w:t>提交接收异议截止时间而</w:t>
      </w:r>
      <w:r>
        <w:rPr>
          <w:rFonts w:hint="eastAsia" w:ascii="宋体" w:hAnsi="宋体" w:cs="宋体"/>
          <w:bCs/>
          <w:color w:val="auto"/>
          <w:kern w:val="2"/>
          <w:szCs w:val="21"/>
          <w:highlight w:val="none"/>
          <w:lang w:val="zh-CN"/>
        </w:rPr>
        <w:t>提出的任何疑问，</w:t>
      </w:r>
      <w:r>
        <w:rPr>
          <w:rFonts w:hint="eastAsia" w:ascii="宋体" w:hAnsi="宋体" w:cs="宋体"/>
          <w:bCs/>
          <w:color w:val="auto"/>
          <w:kern w:val="2"/>
          <w:szCs w:val="21"/>
          <w:highlight w:val="none"/>
        </w:rPr>
        <w:t>采购人或</w:t>
      </w:r>
      <w:r>
        <w:rPr>
          <w:rFonts w:hint="eastAsia" w:ascii="宋体" w:hAnsi="宋体" w:cs="宋体"/>
          <w:bCs/>
          <w:color w:val="auto"/>
          <w:kern w:val="2"/>
          <w:szCs w:val="21"/>
          <w:highlight w:val="none"/>
          <w:lang w:val="zh-CN"/>
        </w:rPr>
        <w:t>采购代理机构可不予答复。</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lang w:val="zh-CN"/>
        </w:rPr>
        <w:t>评标结果异议</w:t>
      </w:r>
      <w:r>
        <w:rPr>
          <w:rFonts w:hint="eastAsia" w:ascii="宋体" w:hAnsi="宋体" w:cs="宋体"/>
          <w:color w:val="auto"/>
          <w:szCs w:val="21"/>
          <w:highlight w:val="none"/>
        </w:rPr>
        <w:t xml:space="preserve">   </w:t>
      </w:r>
    </w:p>
    <w:p>
      <w:pPr>
        <w:widowControl w:val="0"/>
        <w:tabs>
          <w:tab w:val="left" w:pos="907"/>
        </w:tabs>
        <w:adjustRightInd/>
        <w:snapToGrid/>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投标人或者其他利害关系人对评标结果有异议的，应当在中标候选人公示期间向采购代理机构以书面的形式提出，并将完整的异议书面材料原件送达采购代理机构，逾期则视为对评标结果无异议。超出提交异议截止时间而提出的任何疑问，采购代理机构可不予答复。</w:t>
      </w:r>
    </w:p>
    <w:p>
      <w:pPr>
        <w:widowControl w:val="0"/>
        <w:tabs>
          <w:tab w:val="left" w:pos="907"/>
        </w:tabs>
        <w:adjustRightInd/>
        <w:snapToGrid/>
        <w:ind w:firstLine="420" w:firstLineChars="200"/>
        <w:jc w:val="both"/>
        <w:rPr>
          <w:rFonts w:ascii="宋体" w:hAnsi="宋体" w:cs="宋体"/>
          <w:color w:val="auto"/>
          <w:kern w:val="2"/>
          <w:szCs w:val="21"/>
          <w:highlight w:val="none"/>
          <w:lang w:val="zh-CN"/>
        </w:rPr>
      </w:pPr>
      <w:r>
        <w:rPr>
          <w:rFonts w:hint="eastAsia" w:ascii="宋体" w:hAnsi="宋体" w:cs="宋体"/>
          <w:color w:val="auto"/>
          <w:kern w:val="2"/>
          <w:szCs w:val="21"/>
          <w:highlight w:val="none"/>
          <w:lang w:val="zh-CN"/>
        </w:rPr>
        <w:t>采购代理机构将拒收未能提供完整异议书面材料的异议，完整的异议书面材料必须同时包含：异议书（加盖法人公章，并注明联系人、联系电话、联系地址）、授权提交异议的法定代表人授权书原件、反映异议人主体资格的营业执照复印件（加盖法人公章）、以及合法来源的证据证明材料。</w:t>
      </w:r>
    </w:p>
    <w:p>
      <w:pPr>
        <w:widowControl w:val="0"/>
        <w:numPr>
          <w:ilvl w:val="1"/>
          <w:numId w:val="3"/>
        </w:numPr>
        <w:overflowPunct w:val="0"/>
        <w:rPr>
          <w:rFonts w:ascii="宋体" w:hAnsi="宋体" w:cs="宋体"/>
          <w:color w:val="auto"/>
          <w:szCs w:val="21"/>
          <w:highlight w:val="none"/>
        </w:rPr>
      </w:pPr>
      <w:r>
        <w:rPr>
          <w:rFonts w:hint="eastAsia" w:ascii="宋体" w:hAnsi="宋体" w:cs="宋体"/>
          <w:color w:val="auto"/>
          <w:szCs w:val="21"/>
          <w:highlight w:val="none"/>
        </w:rPr>
        <w:t>以联合体形式参加采购活动的，其异议应当由组成联合体的所有投标人共同提出。</w:t>
      </w:r>
    </w:p>
    <w:p>
      <w:pPr>
        <w:rPr>
          <w:rFonts w:ascii="宋体" w:hAnsi="宋体" w:cs="宋体"/>
          <w:color w:val="auto"/>
          <w:highlight w:val="none"/>
        </w:rPr>
      </w:pPr>
    </w:p>
    <w:p>
      <w:pPr>
        <w:pStyle w:val="4"/>
        <w:numPr>
          <w:ilvl w:val="0"/>
          <w:numId w:val="2"/>
        </w:numPr>
        <w:spacing w:before="0" w:after="0" w:line="360" w:lineRule="auto"/>
        <w:jc w:val="center"/>
        <w:rPr>
          <w:rFonts w:ascii="宋体" w:hAnsi="宋体" w:cs="宋体"/>
          <w:color w:val="auto"/>
          <w:highlight w:val="none"/>
        </w:rPr>
      </w:pPr>
      <w:bookmarkStart w:id="88" w:name="_Toc29478"/>
      <w:r>
        <w:rPr>
          <w:rFonts w:hint="eastAsia" w:ascii="宋体" w:hAnsi="宋体" w:cs="宋体"/>
          <w:color w:val="auto"/>
          <w:highlight w:val="none"/>
        </w:rPr>
        <w:t>其他</w:t>
      </w:r>
      <w:bookmarkEnd w:id="88"/>
    </w:p>
    <w:p>
      <w:pPr>
        <w:pStyle w:val="5"/>
        <w:widowControl w:val="0"/>
        <w:numPr>
          <w:ilvl w:val="0"/>
          <w:numId w:val="3"/>
        </w:numPr>
        <w:overflowPunct w:val="0"/>
        <w:rPr>
          <w:rFonts w:ascii="宋体" w:hAnsi="宋体" w:cs="宋体"/>
          <w:color w:val="auto"/>
          <w:sz w:val="21"/>
          <w:szCs w:val="21"/>
          <w:highlight w:val="none"/>
        </w:rPr>
      </w:pPr>
      <w:bookmarkStart w:id="89" w:name="_Toc23018"/>
      <w:r>
        <w:rPr>
          <w:rFonts w:hint="eastAsia" w:ascii="宋体" w:hAnsi="宋体" w:cs="宋体"/>
          <w:color w:val="auto"/>
          <w:sz w:val="21"/>
          <w:szCs w:val="21"/>
          <w:highlight w:val="none"/>
        </w:rPr>
        <w:t>采购文件的解释权</w:t>
      </w:r>
      <w:bookmarkEnd w:id="89"/>
    </w:p>
    <w:p>
      <w:pPr>
        <w:pStyle w:val="39"/>
        <w:widowControl w:val="0"/>
        <w:numPr>
          <w:ilvl w:val="0"/>
          <w:numId w:val="4"/>
        </w:numPr>
        <w:tabs>
          <w:tab w:val="left" w:pos="907"/>
        </w:tabs>
        <w:adjustRightInd/>
        <w:snapToGrid/>
        <w:ind w:firstLineChars="0"/>
        <w:jc w:val="both"/>
        <w:rPr>
          <w:rFonts w:ascii="宋体" w:hAnsi="宋体" w:cs="宋体"/>
          <w:vanish/>
          <w:color w:val="auto"/>
          <w:szCs w:val="21"/>
          <w:highlight w:val="none"/>
        </w:rPr>
      </w:pPr>
    </w:p>
    <w:p>
      <w:pPr>
        <w:widowControl w:val="0"/>
        <w:numPr>
          <w:ilvl w:val="1"/>
          <w:numId w:val="3"/>
        </w:numPr>
        <w:overflowPunct w:val="0"/>
        <w:adjustRightInd/>
        <w:snapToGrid/>
        <w:jc w:val="left"/>
        <w:rPr>
          <w:rFonts w:ascii="宋体" w:hAnsi="宋体" w:cs="宋体"/>
          <w:color w:val="auto"/>
          <w:szCs w:val="21"/>
          <w:highlight w:val="none"/>
        </w:rPr>
      </w:pPr>
      <w:r>
        <w:rPr>
          <w:rFonts w:hint="eastAsia" w:ascii="宋体" w:hAnsi="宋体" w:cs="宋体"/>
          <w:color w:val="auto"/>
          <w:szCs w:val="21"/>
          <w:highlight w:val="none"/>
        </w:rPr>
        <w:t>本采购文件是根据国家有关法律、法规以及采购管理有关规定和参照国际惯例编制，解释权属本采购代理机构。</w:t>
      </w:r>
      <w:r>
        <w:rPr>
          <w:rFonts w:hint="eastAsia" w:ascii="宋体" w:hAnsi="宋体" w:cs="宋体"/>
          <w:color w:val="auto"/>
          <w:szCs w:val="21"/>
          <w:highlight w:val="none"/>
        </w:rPr>
        <w:br w:type="page"/>
      </w:r>
    </w:p>
    <w:p>
      <w:pPr>
        <w:pStyle w:val="3"/>
        <w:spacing w:before="0" w:after="0" w:line="240" w:lineRule="auto"/>
        <w:rPr>
          <w:color w:val="auto"/>
          <w:sz w:val="28"/>
          <w:szCs w:val="28"/>
          <w:highlight w:val="none"/>
        </w:rPr>
      </w:pPr>
      <w:bookmarkStart w:id="90" w:name="_Toc1601"/>
      <w:r>
        <w:rPr>
          <w:rFonts w:hint="eastAsia"/>
          <w:color w:val="auto"/>
          <w:sz w:val="28"/>
          <w:szCs w:val="28"/>
          <w:highlight w:val="none"/>
        </w:rPr>
        <w:t>第五部分  合同条款格式</w:t>
      </w:r>
      <w:bookmarkEnd w:id="90"/>
      <w:bookmarkStart w:id="91" w:name="_Toc15636"/>
    </w:p>
    <w:bookmarkEnd w:id="91"/>
    <w:p>
      <w:pPr>
        <w:rPr>
          <w:color w:val="auto"/>
          <w:highlight w:val="none"/>
          <w:lang w:bidi="zh-CN"/>
        </w:rPr>
      </w:pPr>
      <w:bookmarkStart w:id="92" w:name="_Hlt109815959"/>
      <w:bookmarkEnd w:id="92"/>
    </w:p>
    <w:p>
      <w:pPr>
        <w:pStyle w:val="2"/>
        <w:snapToGrid w:val="0"/>
        <w:spacing w:before="0" w:after="0" w:line="360" w:lineRule="auto"/>
        <w:jc w:val="center"/>
        <w:rPr>
          <w:rFonts w:ascii="宋体" w:hAnsi="宋体"/>
          <w:color w:val="auto"/>
          <w:highlight w:val="none"/>
        </w:rPr>
      </w:pPr>
      <w:bookmarkStart w:id="93" w:name="_Toc19780"/>
      <w:r>
        <w:rPr>
          <w:rFonts w:hint="eastAsia" w:ascii="宋体" w:hAnsi="宋体"/>
          <w:color w:val="auto"/>
          <w:highlight w:val="none"/>
        </w:rPr>
        <w:t>合同格式</w:t>
      </w:r>
      <w:bookmarkEnd w:id="93"/>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r>
        <w:rPr>
          <w:rFonts w:eastAsia="宋体"/>
          <w:color w:val="auto"/>
          <w:highlight w:val="none"/>
          <w:lang w:bidi="zh-CN"/>
        </w:rPr>
        <w:br w:type="page"/>
      </w:r>
    </w:p>
    <w:p>
      <w:pPr>
        <w:spacing w:line="440" w:lineRule="exact"/>
        <w:rPr>
          <w:rFonts w:ascii="宋体" w:hAnsi="宋体"/>
          <w:color w:val="auto"/>
          <w:sz w:val="21"/>
          <w:szCs w:val="21"/>
          <w:highlight w:val="none"/>
        </w:rPr>
      </w:pPr>
      <w:r>
        <w:rPr>
          <w:rFonts w:ascii="宋体" w:hAnsi="宋体"/>
          <w:color w:val="auto"/>
          <w:sz w:val="21"/>
          <w:szCs w:val="21"/>
          <w:highlight w:val="none"/>
        </w:rPr>
        <w:t xml:space="preserve">甲方合同编号： </w:t>
      </w:r>
    </w:p>
    <w:p>
      <w:pPr>
        <w:spacing w:line="440" w:lineRule="exact"/>
        <w:rPr>
          <w:rFonts w:ascii="宋体" w:hAnsi="宋体"/>
          <w:color w:val="auto"/>
          <w:spacing w:val="5"/>
          <w:sz w:val="21"/>
          <w:szCs w:val="21"/>
          <w:highlight w:val="none"/>
        </w:rPr>
      </w:pPr>
      <w:r>
        <w:rPr>
          <w:rFonts w:ascii="宋体" w:hAnsi="宋体"/>
          <w:color w:val="auto"/>
          <w:sz w:val="21"/>
          <w:szCs w:val="21"/>
          <w:highlight w:val="none"/>
        </w:rPr>
        <w:t>乙方合同编号：</w:t>
      </w:r>
    </w:p>
    <w:p>
      <w:pPr>
        <w:snapToGrid w:val="0"/>
        <w:spacing w:line="360" w:lineRule="auto"/>
        <w:jc w:val="center"/>
        <w:rPr>
          <w:rFonts w:ascii="宋体" w:hAnsi="宋体"/>
          <w:color w:val="auto"/>
          <w:highlight w:val="none"/>
        </w:rPr>
      </w:pPr>
    </w:p>
    <w:p>
      <w:pPr>
        <w:pStyle w:val="9"/>
        <w:rPr>
          <w:color w:val="auto"/>
          <w:highlight w:val="none"/>
        </w:rPr>
      </w:pPr>
    </w:p>
    <w:p>
      <w:pPr>
        <w:snapToGrid w:val="0"/>
        <w:spacing w:line="360" w:lineRule="auto"/>
        <w:jc w:val="center"/>
        <w:rPr>
          <w:rFonts w:ascii="宋体" w:hAnsi="宋体"/>
          <w:bCs/>
          <w:color w:val="auto"/>
          <w:sz w:val="48"/>
          <w:szCs w:val="48"/>
          <w:highlight w:val="none"/>
        </w:rPr>
      </w:pPr>
    </w:p>
    <w:p>
      <w:pPr>
        <w:pStyle w:val="9"/>
        <w:rPr>
          <w:rFonts w:hAnsi="宋体"/>
          <w:color w:val="auto"/>
          <w:highlight w:val="none"/>
        </w:rPr>
      </w:pPr>
    </w:p>
    <w:p>
      <w:pPr>
        <w:pStyle w:val="9"/>
        <w:rPr>
          <w:rFonts w:hAnsi="宋体"/>
          <w:color w:val="auto"/>
          <w:highlight w:val="none"/>
        </w:rPr>
      </w:pPr>
    </w:p>
    <w:p>
      <w:pPr>
        <w:snapToGrid w:val="0"/>
        <w:spacing w:line="360" w:lineRule="auto"/>
        <w:jc w:val="center"/>
        <w:rPr>
          <w:rFonts w:ascii="宋体" w:hAnsi="宋体"/>
          <w:bCs/>
          <w:color w:val="auto"/>
          <w:sz w:val="48"/>
          <w:szCs w:val="48"/>
          <w:highlight w:val="none"/>
        </w:rPr>
      </w:pPr>
      <w:r>
        <w:rPr>
          <w:rFonts w:hint="eastAsia" w:ascii="宋体" w:hAnsi="宋体"/>
          <w:bCs/>
          <w:color w:val="auto"/>
          <w:sz w:val="48"/>
          <w:szCs w:val="48"/>
          <w:highlight w:val="none"/>
        </w:rPr>
        <w:t>东莞市海心沙资源综合利用中心环保热电厂</w:t>
      </w:r>
    </w:p>
    <w:p>
      <w:pPr>
        <w:snapToGrid w:val="0"/>
        <w:spacing w:line="360" w:lineRule="auto"/>
        <w:jc w:val="center"/>
        <w:rPr>
          <w:rFonts w:ascii="宋体" w:hAnsi="宋体"/>
          <w:bCs/>
          <w:color w:val="auto"/>
          <w:sz w:val="48"/>
          <w:szCs w:val="48"/>
          <w:highlight w:val="none"/>
        </w:rPr>
      </w:pPr>
      <w:r>
        <w:rPr>
          <w:rFonts w:hint="eastAsia" w:ascii="宋体" w:hAnsi="宋体"/>
          <w:bCs/>
          <w:color w:val="auto"/>
          <w:sz w:val="48"/>
          <w:szCs w:val="48"/>
          <w:highlight w:val="none"/>
        </w:rPr>
        <w:t>熟石灰采购合同</w:t>
      </w:r>
    </w:p>
    <w:p>
      <w:pPr>
        <w:snapToGrid w:val="0"/>
        <w:spacing w:line="360" w:lineRule="auto"/>
        <w:ind w:firstLine="420" w:firstLineChars="200"/>
        <w:rPr>
          <w:rFonts w:ascii="宋体" w:hAnsi="宋体"/>
          <w:color w:val="auto"/>
          <w:highlight w:val="none"/>
        </w:rPr>
      </w:pPr>
    </w:p>
    <w:p>
      <w:pPr>
        <w:snapToGrid w:val="0"/>
        <w:spacing w:line="360" w:lineRule="auto"/>
        <w:ind w:firstLine="420" w:firstLineChars="200"/>
        <w:rPr>
          <w:rFonts w:ascii="宋体" w:hAnsi="宋体"/>
          <w:color w:val="auto"/>
          <w:highlight w:val="none"/>
        </w:rPr>
      </w:pPr>
    </w:p>
    <w:p>
      <w:pPr>
        <w:snapToGrid w:val="0"/>
        <w:spacing w:line="360" w:lineRule="auto"/>
        <w:ind w:firstLine="420" w:firstLineChars="200"/>
        <w:rPr>
          <w:rFonts w:ascii="宋体" w:hAnsi="宋体"/>
          <w:color w:val="auto"/>
          <w:highlight w:val="none"/>
        </w:rPr>
      </w:pPr>
    </w:p>
    <w:p>
      <w:pPr>
        <w:snapToGrid w:val="0"/>
        <w:spacing w:line="360" w:lineRule="auto"/>
        <w:ind w:firstLine="420" w:firstLineChars="200"/>
        <w:rPr>
          <w:rFonts w:ascii="宋体" w:hAnsi="宋体"/>
          <w:color w:val="auto"/>
          <w:highlight w:val="none"/>
        </w:rPr>
      </w:pPr>
    </w:p>
    <w:p>
      <w:pPr>
        <w:snapToGrid w:val="0"/>
        <w:spacing w:line="360" w:lineRule="auto"/>
        <w:ind w:firstLine="420" w:firstLineChars="200"/>
        <w:rPr>
          <w:rFonts w:ascii="宋体" w:hAnsi="宋体"/>
          <w:color w:val="auto"/>
          <w:highlight w:val="none"/>
        </w:rPr>
      </w:pPr>
    </w:p>
    <w:p>
      <w:pPr>
        <w:snapToGrid w:val="0"/>
        <w:spacing w:line="360" w:lineRule="auto"/>
        <w:ind w:firstLine="420" w:firstLineChars="200"/>
        <w:rPr>
          <w:rFonts w:ascii="宋体" w:hAnsi="宋体"/>
          <w:color w:val="auto"/>
          <w:highlight w:val="none"/>
        </w:rPr>
      </w:pPr>
    </w:p>
    <w:p>
      <w:pPr>
        <w:rPr>
          <w:rFonts w:hint="eastAsia"/>
          <w:color w:val="auto"/>
          <w:highlight w:val="none"/>
        </w:rPr>
      </w:pPr>
    </w:p>
    <w:p>
      <w:pPr>
        <w:snapToGrid w:val="0"/>
        <w:spacing w:line="360" w:lineRule="auto"/>
        <w:ind w:firstLine="420" w:firstLineChars="200"/>
        <w:rPr>
          <w:rFonts w:ascii="宋体" w:hAnsi="宋体"/>
          <w:color w:val="auto"/>
          <w:highlight w:val="none"/>
        </w:rPr>
      </w:pPr>
    </w:p>
    <w:p>
      <w:pPr>
        <w:snapToGrid w:val="0"/>
        <w:spacing w:line="360" w:lineRule="auto"/>
        <w:ind w:firstLine="420" w:firstLineChars="200"/>
        <w:rPr>
          <w:rFonts w:hint="eastAsia" w:ascii="宋体" w:hAnsi="宋体"/>
          <w:color w:val="auto"/>
          <w:highlight w:val="none"/>
        </w:rPr>
      </w:pPr>
    </w:p>
    <w:p>
      <w:pPr>
        <w:snapToGrid w:val="0"/>
        <w:spacing w:line="360" w:lineRule="auto"/>
        <w:rPr>
          <w:rFonts w:ascii="宋体" w:hAnsi="宋体"/>
          <w:color w:val="auto"/>
          <w:highlight w:val="none"/>
        </w:rPr>
      </w:pPr>
    </w:p>
    <w:p>
      <w:pPr>
        <w:snapToGrid w:val="0"/>
        <w:spacing w:line="360" w:lineRule="auto"/>
        <w:ind w:firstLine="640" w:firstLineChars="200"/>
        <w:rPr>
          <w:rFonts w:ascii="宋体" w:hAnsi="宋体"/>
          <w:color w:val="auto"/>
          <w:sz w:val="32"/>
          <w:szCs w:val="32"/>
          <w:highlight w:val="none"/>
          <w:u w:val="single"/>
        </w:rPr>
      </w:pPr>
      <w:r>
        <w:rPr>
          <w:rFonts w:ascii="宋体" w:hAnsi="宋体"/>
          <w:color w:val="auto"/>
          <w:sz w:val="32"/>
          <w:szCs w:val="32"/>
          <w:highlight w:val="none"/>
        </w:rPr>
        <w:t>甲方：</w:t>
      </w:r>
      <w:r>
        <w:rPr>
          <w:rFonts w:ascii="宋体" w:hAnsi="宋体"/>
          <w:color w:val="auto"/>
          <w:sz w:val="32"/>
          <w:szCs w:val="32"/>
          <w:highlight w:val="none"/>
          <w:u w:val="single"/>
        </w:rPr>
        <w:t>东莞市新东元环保投资有限公司</w:t>
      </w:r>
    </w:p>
    <w:p>
      <w:pPr>
        <w:snapToGrid w:val="0"/>
        <w:spacing w:line="360" w:lineRule="auto"/>
        <w:ind w:firstLine="640" w:firstLineChars="200"/>
        <w:rPr>
          <w:rFonts w:ascii="宋体" w:hAnsi="宋体"/>
          <w:b/>
          <w:color w:val="auto"/>
          <w:sz w:val="32"/>
          <w:szCs w:val="32"/>
          <w:highlight w:val="none"/>
        </w:rPr>
      </w:pPr>
      <w:r>
        <w:rPr>
          <w:rFonts w:ascii="宋体" w:hAnsi="宋体"/>
          <w:color w:val="auto"/>
          <w:sz w:val="32"/>
          <w:szCs w:val="32"/>
          <w:highlight w:val="none"/>
        </w:rPr>
        <w:t>乙方：</w:t>
      </w:r>
    </w:p>
    <w:p>
      <w:pPr>
        <w:snapToGrid w:val="0"/>
        <w:spacing w:line="360" w:lineRule="auto"/>
        <w:ind w:firstLine="640" w:firstLineChars="200"/>
        <w:rPr>
          <w:rFonts w:ascii="宋体" w:hAnsi="宋体"/>
          <w:color w:val="auto"/>
          <w:sz w:val="32"/>
          <w:szCs w:val="32"/>
          <w:highlight w:val="none"/>
          <w:u w:val="single"/>
        </w:rPr>
      </w:pPr>
    </w:p>
    <w:p>
      <w:pPr>
        <w:snapToGrid w:val="0"/>
        <w:spacing w:line="360" w:lineRule="auto"/>
        <w:ind w:firstLine="640" w:firstLineChars="200"/>
        <w:rPr>
          <w:rFonts w:ascii="宋体" w:hAnsi="宋体"/>
          <w:color w:val="auto"/>
          <w:sz w:val="32"/>
          <w:szCs w:val="32"/>
          <w:highlight w:val="none"/>
          <w:u w:val="single"/>
        </w:rPr>
      </w:pPr>
    </w:p>
    <w:p>
      <w:pPr>
        <w:spacing w:line="360" w:lineRule="auto"/>
        <w:jc w:val="center"/>
        <w:rPr>
          <w:rFonts w:ascii="宋体" w:hAnsi="宋体"/>
          <w:b/>
          <w:color w:val="auto"/>
          <w:szCs w:val="21"/>
          <w:highlight w:val="none"/>
          <w:u w:val="single"/>
        </w:rPr>
        <w:sectPr>
          <w:footerReference r:id="rId14" w:type="first"/>
          <w:headerReference r:id="rId10" w:type="default"/>
          <w:footerReference r:id="rId12" w:type="default"/>
          <w:headerReference r:id="rId11" w:type="even"/>
          <w:footerReference r:id="rId13" w:type="even"/>
          <w:pgSz w:w="11907" w:h="16840"/>
          <w:pgMar w:top="1440" w:right="1077" w:bottom="1440" w:left="1077" w:header="851" w:footer="1021" w:gutter="454"/>
          <w:cols w:space="720" w:num="1"/>
          <w:titlePg/>
          <w:docGrid w:linePitch="326" w:charSpace="0"/>
        </w:sectPr>
      </w:pPr>
      <w:r>
        <w:rPr>
          <w:rFonts w:ascii="宋体" w:hAnsi="宋体"/>
          <w:color w:val="auto"/>
          <w:sz w:val="32"/>
          <w:szCs w:val="32"/>
          <w:highlight w:val="none"/>
        </w:rPr>
        <w:t>二○二</w:t>
      </w:r>
      <w:r>
        <w:rPr>
          <w:rFonts w:hint="eastAsia" w:ascii="宋体" w:hAnsi="宋体"/>
          <w:color w:val="auto"/>
          <w:sz w:val="32"/>
          <w:szCs w:val="32"/>
          <w:highlight w:val="none"/>
          <w:lang w:eastAsia="zh-CN"/>
        </w:rPr>
        <w:t>三</w:t>
      </w:r>
      <w:r>
        <w:rPr>
          <w:rFonts w:ascii="宋体" w:hAnsi="宋体"/>
          <w:color w:val="auto"/>
          <w:sz w:val="32"/>
          <w:szCs w:val="32"/>
          <w:highlight w:val="none"/>
        </w:rPr>
        <w:t>年  月  日</w:t>
      </w:r>
    </w:p>
    <w:p>
      <w:pPr>
        <w:tabs>
          <w:tab w:val="right" w:pos="8306"/>
        </w:tabs>
        <w:spacing w:line="360" w:lineRule="auto"/>
        <w:rPr>
          <w:rFonts w:hint="eastAsia" w:ascii="宋体" w:hAnsi="宋体" w:cs="宋体"/>
          <w:snapToGrid w:val="0"/>
          <w:color w:val="auto"/>
          <w:sz w:val="21"/>
          <w:szCs w:val="21"/>
          <w:highlight w:val="none"/>
        </w:rPr>
      </w:pPr>
      <w:r>
        <w:rPr>
          <w:rFonts w:hint="eastAsia" w:ascii="宋体" w:hAnsi="宋体" w:cs="宋体"/>
          <w:b/>
          <w:snapToGrid w:val="0"/>
          <w:color w:val="auto"/>
          <w:sz w:val="21"/>
          <w:szCs w:val="21"/>
          <w:highlight w:val="none"/>
        </w:rPr>
        <w:t>甲方（买方）：</w:t>
      </w:r>
    </w:p>
    <w:p>
      <w:pPr>
        <w:tabs>
          <w:tab w:val="right" w:pos="8306"/>
        </w:tabs>
        <w:spacing w:line="360" w:lineRule="auto"/>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法定代表人：</w:t>
      </w:r>
    </w:p>
    <w:p>
      <w:pPr>
        <w:tabs>
          <w:tab w:val="right" w:pos="8306"/>
        </w:tabs>
        <w:spacing w:line="360" w:lineRule="auto"/>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通讯地址：</w:t>
      </w:r>
    </w:p>
    <w:p>
      <w:pPr>
        <w:tabs>
          <w:tab w:val="right" w:pos="8306"/>
        </w:tabs>
        <w:spacing w:line="360" w:lineRule="auto"/>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联系人：               联系电话：             电子邮件：</w:t>
      </w:r>
    </w:p>
    <w:p>
      <w:pPr>
        <w:spacing w:line="360" w:lineRule="auto"/>
        <w:rPr>
          <w:rFonts w:hint="eastAsia" w:ascii="宋体" w:hAnsi="宋体" w:cs="宋体"/>
          <w:b/>
          <w:snapToGrid w:val="0"/>
          <w:color w:val="auto"/>
          <w:sz w:val="21"/>
          <w:szCs w:val="21"/>
          <w:highlight w:val="none"/>
        </w:rPr>
      </w:pPr>
    </w:p>
    <w:p>
      <w:pPr>
        <w:spacing w:line="360" w:lineRule="auto"/>
        <w:rPr>
          <w:rFonts w:hint="eastAsia" w:ascii="宋体" w:hAnsi="宋体" w:cs="宋体"/>
          <w:b/>
          <w:color w:val="auto"/>
          <w:sz w:val="21"/>
          <w:szCs w:val="21"/>
          <w:highlight w:val="none"/>
        </w:rPr>
      </w:pPr>
      <w:r>
        <w:rPr>
          <w:rFonts w:hint="eastAsia" w:ascii="宋体" w:hAnsi="宋体" w:cs="宋体"/>
          <w:b/>
          <w:snapToGrid w:val="0"/>
          <w:color w:val="auto"/>
          <w:sz w:val="21"/>
          <w:szCs w:val="21"/>
          <w:highlight w:val="none"/>
        </w:rPr>
        <w:t>乙方（卖方）：</w:t>
      </w:r>
    </w:p>
    <w:p>
      <w:pPr>
        <w:spacing w:line="360" w:lineRule="auto"/>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法定代表人：</w:t>
      </w:r>
    </w:p>
    <w:p>
      <w:pPr>
        <w:tabs>
          <w:tab w:val="right" w:pos="8306"/>
        </w:tabs>
        <w:spacing w:line="360" w:lineRule="auto"/>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通讯地址：</w:t>
      </w:r>
    </w:p>
    <w:p>
      <w:pPr>
        <w:tabs>
          <w:tab w:val="right" w:pos="8306"/>
        </w:tabs>
        <w:spacing w:line="360" w:lineRule="auto"/>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联系人：               联系电话：             电子邮件：</w:t>
      </w:r>
    </w:p>
    <w:p>
      <w:pPr>
        <w:tabs>
          <w:tab w:val="right" w:pos="8306"/>
        </w:tabs>
        <w:spacing w:line="360" w:lineRule="auto"/>
        <w:ind w:firstLine="420" w:firstLineChars="200"/>
        <w:rPr>
          <w:rFonts w:hint="eastAsia" w:ascii="宋体" w:hAnsi="宋体" w:cs="宋体"/>
          <w:snapToGrid w:val="0"/>
          <w:color w:val="auto"/>
          <w:sz w:val="21"/>
          <w:szCs w:val="21"/>
          <w:highlight w:val="none"/>
        </w:rPr>
      </w:pP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本合同双方根据《中华人民共和国民法典》、《中华人民共和国产品质量法》等有关法律、法规规定，经充分协商，现就甲方向乙方采购相关货物事宜达成以下协议：</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第一条  采购货物清单及合同价款</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936"/>
        <w:gridCol w:w="1150"/>
        <w:gridCol w:w="431"/>
        <w:gridCol w:w="472"/>
        <w:gridCol w:w="1609"/>
        <w:gridCol w:w="1169"/>
        <w:gridCol w:w="105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1"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549"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货物名称</w:t>
            </w:r>
          </w:p>
        </w:tc>
        <w:tc>
          <w:tcPr>
            <w:tcW w:w="675"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品牌</w:t>
            </w:r>
          </w:p>
        </w:tc>
        <w:tc>
          <w:tcPr>
            <w:tcW w:w="253"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产地</w:t>
            </w:r>
          </w:p>
        </w:tc>
        <w:tc>
          <w:tcPr>
            <w:tcW w:w="277"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单位</w:t>
            </w:r>
          </w:p>
        </w:tc>
        <w:tc>
          <w:tcPr>
            <w:tcW w:w="944" w:type="pct"/>
            <w:noWrap w:val="0"/>
            <w:vAlign w:val="center"/>
          </w:tcPr>
          <w:p>
            <w:pPr>
              <w:spacing w:line="360" w:lineRule="auto"/>
              <w:jc w:val="center"/>
              <w:rPr>
                <w:rFonts w:hint="eastAsia" w:ascii="宋体" w:hAnsi="宋体" w:cs="宋体"/>
                <w:b/>
                <w:color w:val="auto"/>
                <w:szCs w:val="21"/>
                <w:highlight w:val="none"/>
              </w:rPr>
            </w:pPr>
            <w:r>
              <w:rPr>
                <w:rFonts w:hint="eastAsia" w:hAnsi="宋体"/>
                <w:b/>
                <w:color w:val="auto"/>
                <w:szCs w:val="21"/>
                <w:highlight w:val="none"/>
              </w:rPr>
              <w:t>计划采购供货量</w:t>
            </w:r>
          </w:p>
        </w:tc>
        <w:tc>
          <w:tcPr>
            <w:tcW w:w="686" w:type="pct"/>
            <w:noWrap w:val="0"/>
            <w:vAlign w:val="center"/>
          </w:tcPr>
          <w:p>
            <w:pPr>
              <w:spacing w:line="360" w:lineRule="auto"/>
              <w:jc w:val="center"/>
              <w:rPr>
                <w:rFonts w:hint="eastAsia" w:ascii="宋体" w:hAnsi="宋体" w:cs="宋体"/>
                <w:b/>
                <w:color w:val="auto"/>
                <w:szCs w:val="21"/>
                <w:highlight w:val="none"/>
              </w:rPr>
            </w:pPr>
            <w:r>
              <w:rPr>
                <w:rFonts w:hint="eastAsia" w:hAnsi="宋体"/>
                <w:b/>
                <w:color w:val="auto"/>
                <w:szCs w:val="21"/>
                <w:highlight w:val="none"/>
              </w:rPr>
              <w:t>综合单价（元/吨）</w:t>
            </w:r>
          </w:p>
        </w:tc>
        <w:tc>
          <w:tcPr>
            <w:tcW w:w="621"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暂定总价</w:t>
            </w:r>
          </w:p>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（含税）</w:t>
            </w:r>
          </w:p>
        </w:tc>
        <w:tc>
          <w:tcPr>
            <w:tcW w:w="663" w:type="pc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31" w:type="pc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49" w:type="pc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熟石灰</w:t>
            </w:r>
          </w:p>
        </w:tc>
        <w:tc>
          <w:tcPr>
            <w:tcW w:w="675" w:type="pct"/>
            <w:noWrap w:val="0"/>
            <w:vAlign w:val="center"/>
          </w:tcPr>
          <w:p>
            <w:pPr>
              <w:spacing w:line="360" w:lineRule="auto"/>
              <w:rPr>
                <w:rFonts w:hint="eastAsia" w:ascii="宋体" w:hAnsi="宋体" w:cs="宋体"/>
                <w:color w:val="auto"/>
                <w:szCs w:val="21"/>
                <w:highlight w:val="none"/>
              </w:rPr>
            </w:pPr>
          </w:p>
        </w:tc>
        <w:tc>
          <w:tcPr>
            <w:tcW w:w="253" w:type="pct"/>
            <w:noWrap w:val="0"/>
            <w:vAlign w:val="top"/>
          </w:tcPr>
          <w:p>
            <w:pPr>
              <w:spacing w:line="360" w:lineRule="auto"/>
              <w:jc w:val="center"/>
              <w:rPr>
                <w:rFonts w:hint="eastAsia" w:ascii="宋体" w:hAnsi="宋体" w:cs="宋体"/>
                <w:color w:val="auto"/>
                <w:szCs w:val="21"/>
                <w:highlight w:val="none"/>
              </w:rPr>
            </w:pPr>
          </w:p>
        </w:tc>
        <w:tc>
          <w:tcPr>
            <w:tcW w:w="277" w:type="pc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吨</w:t>
            </w:r>
          </w:p>
        </w:tc>
        <w:tc>
          <w:tcPr>
            <w:tcW w:w="944" w:type="pct"/>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约13000</w:t>
            </w:r>
          </w:p>
        </w:tc>
        <w:tc>
          <w:tcPr>
            <w:tcW w:w="686" w:type="pct"/>
            <w:noWrap w:val="0"/>
            <w:vAlign w:val="center"/>
          </w:tcPr>
          <w:p>
            <w:pPr>
              <w:spacing w:line="360" w:lineRule="auto"/>
              <w:jc w:val="center"/>
              <w:rPr>
                <w:rFonts w:hint="eastAsia" w:ascii="宋体" w:hAnsi="宋体" w:cs="宋体"/>
                <w:color w:val="auto"/>
                <w:szCs w:val="21"/>
                <w:highlight w:val="none"/>
              </w:rPr>
            </w:pPr>
          </w:p>
        </w:tc>
        <w:tc>
          <w:tcPr>
            <w:tcW w:w="621" w:type="pct"/>
            <w:noWrap w:val="0"/>
            <w:vAlign w:val="center"/>
          </w:tcPr>
          <w:p>
            <w:pPr>
              <w:spacing w:line="360" w:lineRule="auto"/>
              <w:jc w:val="center"/>
              <w:rPr>
                <w:rFonts w:hint="eastAsia" w:ascii="宋体" w:hAnsi="宋体" w:cs="宋体"/>
                <w:color w:val="auto"/>
                <w:szCs w:val="21"/>
                <w:highlight w:val="none"/>
              </w:rPr>
            </w:pPr>
          </w:p>
        </w:tc>
        <w:tc>
          <w:tcPr>
            <w:tcW w:w="663" w:type="pct"/>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5000" w:type="pct"/>
            <w:gridSpan w:val="9"/>
            <w:noWrap w:val="0"/>
            <w:vAlign w:val="top"/>
          </w:tcPr>
          <w:p>
            <w:pPr>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注：</w:t>
            </w:r>
            <w:r>
              <w:rPr>
                <w:rFonts w:hint="eastAsia" w:ascii="宋体" w:hAnsi="宋体" w:cs="宋体"/>
                <w:color w:val="auto"/>
                <w:szCs w:val="21"/>
                <w:highlight w:val="none"/>
              </w:rPr>
              <w:t>1.综合单价已包含</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增值税专用发票。综合单价包括但不限于货物生产前准备、生产、运输（运输到业主指定交货地点）、燃料费、司机人员工资、转运、保护、装卸、保险、相关税费、验收（含出厂及到货验收）、质量抽检、售后及技术服务（包括质保期保障等）等的全部费用。本合同不含税价格不因国家税率变化而变化，在合同履行期间，如遇国家的税率调整，则调整时点后尚未结算部分的价款（价税合计）应根据原不含税价和调整后的税率重新计算，相应发票按调整后价格开具。 </w:t>
            </w:r>
          </w:p>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2.上述数量为乙方计划供应数量。实际采购数量以甲方实际需求为准。具体每批送货数量以甲方通知为准。</w:t>
            </w:r>
          </w:p>
          <w:p>
            <w:pPr>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3.此价格</w:t>
            </w:r>
            <w:r>
              <w:rPr>
                <w:rFonts w:hint="eastAsia" w:ascii="宋体" w:hAnsi="宋体" w:cs="宋体"/>
                <w:color w:val="auto"/>
                <w:szCs w:val="21"/>
                <w:highlight w:val="none"/>
              </w:rPr>
              <w:t>包括合同货物及相关的技术服务等费用，还包括合同货物的税费、所有货物包装费、运输费、装卸费、保险费等与本合同中乙方应承担的所有义务和所有工作的有关费用。</w:t>
            </w:r>
          </w:p>
        </w:tc>
      </w:tr>
    </w:tbl>
    <w:p>
      <w:pPr>
        <w:spacing w:line="360" w:lineRule="auto"/>
        <w:ind w:firstLine="422" w:firstLineChars="200"/>
        <w:rPr>
          <w:rFonts w:hint="eastAsia" w:ascii="宋体" w:hAnsi="宋体" w:cs="宋体"/>
          <w:b/>
          <w:bCs/>
          <w:color w:val="auto"/>
          <w:sz w:val="21"/>
          <w:szCs w:val="21"/>
          <w:highlight w:val="none"/>
        </w:rPr>
      </w:pPr>
    </w:p>
    <w:p>
      <w:pPr>
        <w:spacing w:line="360" w:lineRule="auto"/>
        <w:ind w:firstLine="422" w:firstLineChars="200"/>
        <w:rPr>
          <w:rFonts w:hint="eastAsia" w:ascii="宋体" w:hAnsi="宋体" w:cs="宋体"/>
          <w:color w:val="auto"/>
          <w:sz w:val="21"/>
          <w:szCs w:val="21"/>
          <w:highlight w:val="none"/>
        </w:rPr>
      </w:pPr>
      <w:r>
        <w:rPr>
          <w:rFonts w:hint="eastAsia" w:ascii="宋体" w:hAnsi="宋体" w:cs="宋体"/>
          <w:b/>
          <w:color w:val="auto"/>
          <w:sz w:val="21"/>
          <w:szCs w:val="21"/>
          <w:highlight w:val="none"/>
        </w:rPr>
        <w:t>第二条  质量标准及考核：货物的质量标准和性能应当同时满足下列要求：</w:t>
      </w:r>
    </w:p>
    <w:p>
      <w:pPr>
        <w:tabs>
          <w:tab w:val="right" w:pos="8306"/>
        </w:tabs>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1、双方约定的标准：</w:t>
      </w:r>
      <w:r>
        <w:rPr>
          <w:rFonts w:hint="eastAsia" w:ascii="宋体" w:hAnsi="宋体" w:cs="宋体"/>
          <w:color w:val="auto"/>
          <w:sz w:val="21"/>
          <w:szCs w:val="21"/>
          <w:highlight w:val="none"/>
          <w:u w:val="single"/>
        </w:rPr>
        <w:t>以《熟石灰采购技术需求书》约定为准。</w:t>
      </w:r>
    </w:p>
    <w:p>
      <w:pPr>
        <w:tabs>
          <w:tab w:val="left" w:pos="792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2、熟石灰技术参数需求：</w:t>
      </w:r>
    </w:p>
    <w:p>
      <w:pPr>
        <w:numPr>
          <w:ilvl w:val="0"/>
          <w:numId w:val="8"/>
        </w:numPr>
        <w:tabs>
          <w:tab w:val="left" w:pos="79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Ca(OH)</w:t>
      </w:r>
      <w:r>
        <w:rPr>
          <w:rFonts w:hint="eastAsia" w:ascii="宋体" w:hAnsi="宋体" w:eastAsia="宋体" w:cs="宋体"/>
          <w:color w:val="auto"/>
          <w:sz w:val="21"/>
          <w:szCs w:val="21"/>
          <w:highlight w:val="none"/>
          <w:vertAlign w:val="subscript"/>
        </w:rPr>
        <w:t xml:space="preserve"> 2</w:t>
      </w:r>
      <w:r>
        <w:rPr>
          <w:rFonts w:hint="eastAsia" w:ascii="宋体" w:hAnsi="宋体" w:eastAsia="宋体" w:cs="宋体"/>
          <w:color w:val="auto"/>
          <w:sz w:val="21"/>
          <w:szCs w:val="21"/>
          <w:highlight w:val="none"/>
        </w:rPr>
        <w:t>纯度 ≥95%；</w:t>
      </w:r>
    </w:p>
    <w:p>
      <w:pPr>
        <w:numPr>
          <w:ilvl w:val="0"/>
          <w:numId w:val="8"/>
        </w:numPr>
        <w:tabs>
          <w:tab w:val="left" w:pos="79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粒度：325目筛通过率≥95%；</w:t>
      </w:r>
    </w:p>
    <w:p>
      <w:pPr>
        <w:numPr>
          <w:ilvl w:val="0"/>
          <w:numId w:val="8"/>
        </w:numPr>
        <w:tabs>
          <w:tab w:val="left" w:pos="79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外观：灰白色粉末；</w:t>
      </w:r>
    </w:p>
    <w:p>
      <w:pPr>
        <w:numPr>
          <w:ilvl w:val="0"/>
          <w:numId w:val="8"/>
        </w:numPr>
        <w:tabs>
          <w:tab w:val="left" w:pos="79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比表面积（BET）≥</w:t>
      </w:r>
      <w:r>
        <w:rPr>
          <w:rFonts w:hint="eastAsia" w:ascii="宋体" w:hAnsi="宋体" w:eastAsia="宋体" w:cs="宋体"/>
          <w:bCs/>
          <w:color w:val="auto"/>
          <w:sz w:val="21"/>
          <w:szCs w:val="21"/>
          <w:highlight w:val="none"/>
        </w:rPr>
        <w:t>18㎡/g</w:t>
      </w:r>
      <w:r>
        <w:rPr>
          <w:rFonts w:hint="eastAsia" w:ascii="宋体" w:hAnsi="宋体" w:eastAsia="宋体" w:cs="宋体"/>
          <w:b/>
          <w:bCs/>
          <w:color w:val="auto"/>
          <w:sz w:val="21"/>
          <w:szCs w:val="21"/>
          <w:highlight w:val="none"/>
        </w:rPr>
        <w:t>；</w:t>
      </w:r>
    </w:p>
    <w:p>
      <w:pPr>
        <w:numPr>
          <w:ilvl w:val="0"/>
          <w:numId w:val="8"/>
        </w:numPr>
        <w:tabs>
          <w:tab w:val="left" w:pos="79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温升≤4.50C：将200ml水倒入100g熟石灰样品的保温壶中，温升不超过4.50C。</w:t>
      </w:r>
    </w:p>
    <w:p>
      <w:pPr>
        <w:numPr>
          <w:ilvl w:val="0"/>
          <w:numId w:val="8"/>
        </w:numPr>
        <w:tabs>
          <w:tab w:val="left" w:pos="79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若化验结果达不到双方合同约定的氢氧化钙含量标准，经供方要求,可协商收货,协商单价按氢氧化钙有效成分计价，即氢氧化钙含量每降低一个百分点，单价则减少50元/吨。但氢氧化钙含量低于92%，</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拒绝收货。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3、与双方确认的样品的质量相同。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4、国家标准、行业标准、地方标准、厂家标准中的最高标准。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5、合同附件技术协议书、用户需求、货物规格书、</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、投标文件等文件（如有）约定的标准。</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6、甲方按考核评分表对乙方供货质量、服务情况等进行季度考核。季度考核综合得分大于等于80分，甲方继续履行合同；季度考核综合得分小于80分，甲方有权解除合同。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7、季度总评考核结果：</w:t>
      </w:r>
    </w:p>
    <w:tbl>
      <w:tblPr>
        <w:tblStyle w:val="2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3000"/>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0"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考核结果</w:t>
            </w:r>
          </w:p>
        </w:tc>
        <w:tc>
          <w:tcPr>
            <w:tcW w:w="3000"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分值区间</w:t>
            </w:r>
          </w:p>
        </w:tc>
        <w:tc>
          <w:tcPr>
            <w:tcW w:w="2759"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是否继续执行合同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0"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合格</w:t>
            </w:r>
          </w:p>
        </w:tc>
        <w:tc>
          <w:tcPr>
            <w:tcW w:w="3000"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综合得分≥80分</w:t>
            </w:r>
          </w:p>
        </w:tc>
        <w:tc>
          <w:tcPr>
            <w:tcW w:w="2759"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继续执行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0"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不合格</w:t>
            </w:r>
          </w:p>
        </w:tc>
        <w:tc>
          <w:tcPr>
            <w:tcW w:w="3000"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综合得分＜80分</w:t>
            </w:r>
          </w:p>
        </w:tc>
        <w:tc>
          <w:tcPr>
            <w:tcW w:w="2759"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任一次不合格有权解除合同</w:t>
            </w:r>
          </w:p>
        </w:tc>
      </w:tr>
    </w:tbl>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第三条  质量保证期</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1.质量保证期按</w:t>
      </w:r>
      <w:r>
        <w:rPr>
          <w:rFonts w:hint="eastAsia" w:ascii="宋体" w:hAnsi="宋体" w:cs="宋体"/>
          <w:color w:val="auto"/>
          <w:sz w:val="21"/>
          <w:szCs w:val="21"/>
          <w:highlight w:val="none"/>
          <w:u w:val="single"/>
        </w:rPr>
        <w:t>（3）</w:t>
      </w:r>
      <w:r>
        <w:rPr>
          <w:rFonts w:hint="eastAsia" w:ascii="宋体" w:hAnsi="宋体" w:cs="宋体"/>
          <w:bCs/>
          <w:color w:val="auto"/>
          <w:sz w:val="21"/>
          <w:szCs w:val="21"/>
          <w:highlight w:val="none"/>
        </w:rPr>
        <w:t>执行。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bCs/>
          <w:color w:val="auto"/>
          <w:sz w:val="21"/>
          <w:szCs w:val="21"/>
          <w:highlight w:val="none"/>
        </w:rPr>
        <w:t>（1）交付后</w:t>
      </w:r>
      <w:r>
        <w:rPr>
          <w:rFonts w:hint="eastAsia" w:ascii="宋体" w:hAnsi="宋体" w:cs="宋体"/>
          <w:color w:val="auto"/>
          <w:sz w:val="21"/>
          <w:szCs w:val="21"/>
          <w:highlight w:val="none"/>
          <w:u w:val="single"/>
        </w:rPr>
        <w:t>﹨</w:t>
      </w:r>
      <w:r>
        <w:rPr>
          <w:rFonts w:hint="eastAsia" w:ascii="宋体" w:hAnsi="宋体" w:cs="宋体"/>
          <w:bCs/>
          <w:color w:val="auto"/>
          <w:sz w:val="21"/>
          <w:szCs w:val="21"/>
          <w:highlight w:val="none"/>
        </w:rPr>
        <w:t>个月保质期；</w:t>
      </w:r>
      <w:r>
        <w:rPr>
          <w:rFonts w:hint="eastAsia" w:ascii="宋体" w:hAnsi="宋体" w:cs="宋体"/>
          <w:bCs/>
          <w:vanish/>
          <w:color w:val="auto"/>
          <w:sz w:val="21"/>
          <w:szCs w:val="21"/>
          <w:highlight w:val="none"/>
        </w:rPr>
        <w:t>(</w:t>
      </w:r>
      <w:r>
        <w:rPr>
          <w:rFonts w:hint="eastAsia" w:ascii="宋体" w:hAnsi="宋体" w:cs="宋体"/>
          <w:bCs/>
          <w:color w:val="auto"/>
          <w:sz w:val="21"/>
          <w:szCs w:val="21"/>
          <w:highlight w:val="none"/>
        </w:rPr>
        <w:t>2）</w:t>
      </w:r>
      <w:r>
        <w:rPr>
          <w:rFonts w:hint="eastAsia" w:ascii="宋体" w:hAnsi="宋体" w:cs="宋体"/>
          <w:color w:val="auto"/>
          <w:sz w:val="21"/>
          <w:szCs w:val="21"/>
          <w:highlight w:val="none"/>
        </w:rPr>
        <w:t>正常运行</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个月；（3）初步验收合格之日起</w:t>
      </w:r>
      <w:r>
        <w:rPr>
          <w:rFonts w:hint="eastAsia" w:ascii="宋体" w:hAnsi="宋体" w:cs="宋体"/>
          <w:color w:val="auto"/>
          <w:sz w:val="21"/>
          <w:szCs w:val="21"/>
          <w:highlight w:val="none"/>
          <w:u w:val="single"/>
        </w:rPr>
        <w:t>6</w:t>
      </w:r>
      <w:r>
        <w:rPr>
          <w:rFonts w:hint="eastAsia" w:ascii="宋体" w:hAnsi="宋体" w:cs="宋体"/>
          <w:color w:val="auto"/>
          <w:sz w:val="21"/>
          <w:szCs w:val="21"/>
          <w:highlight w:val="none"/>
        </w:rPr>
        <w:t>个月；</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2.如果乙方知道或者应当知道所出卖产品存在质量缺陷，所承担的质量保证期限不受前款质量负责期限的约束，应依法承担相应责任。</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第四条  包装标准、包装物的供应与回收</w:t>
      </w:r>
    </w:p>
    <w:p>
      <w:pPr>
        <w:spacing w:line="360" w:lineRule="auto"/>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 xml:space="preserve">1.产品所需包装由乙方合理包装并符合技术附件的要求（如有），适合水运和/或长途内陆运输，防潮，防湿，防震，防锈，符合甲方使用要求。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2.包装物由乙方提供，不计费、</w:t>
      </w:r>
      <w:r>
        <w:rPr>
          <w:rFonts w:hint="eastAsia" w:ascii="宋体" w:hAnsi="宋体" w:cs="宋体"/>
          <w:color w:val="auto"/>
          <w:sz w:val="21"/>
          <w:szCs w:val="21"/>
          <w:highlight w:val="none"/>
          <w:u w:val="single"/>
        </w:rPr>
        <w:t>乙方</w:t>
      </w:r>
      <w:r>
        <w:rPr>
          <w:rFonts w:hint="eastAsia" w:ascii="宋体" w:hAnsi="宋体" w:cs="宋体"/>
          <w:color w:val="auto"/>
          <w:sz w:val="21"/>
          <w:szCs w:val="21"/>
          <w:highlight w:val="none"/>
        </w:rPr>
        <w:t>回收。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3.化学品的包装必须满足国家标准《化学品包装及标志》（GB15346-</w:t>
      </w:r>
      <w:r>
        <w:rPr>
          <w:rFonts w:ascii="宋体" w:hAnsi="宋体" w:cs="宋体"/>
          <w:color w:val="auto"/>
          <w:sz w:val="21"/>
          <w:szCs w:val="21"/>
          <w:highlight w:val="none"/>
        </w:rPr>
        <w:t>2012</w:t>
      </w:r>
      <w:r>
        <w:rPr>
          <w:rFonts w:hint="eastAsia" w:ascii="宋体" w:hAnsi="宋体" w:cs="宋体"/>
          <w:color w:val="auto"/>
          <w:sz w:val="21"/>
          <w:szCs w:val="21"/>
          <w:highlight w:val="none"/>
        </w:rPr>
        <w:t>）和《危险货物包装标志》（GB190-</w:t>
      </w:r>
      <w:r>
        <w:rPr>
          <w:rFonts w:ascii="宋体" w:hAnsi="宋体" w:cs="宋体"/>
          <w:color w:val="auto"/>
          <w:sz w:val="21"/>
          <w:szCs w:val="21"/>
          <w:highlight w:val="none"/>
        </w:rPr>
        <w:t>2009</w:t>
      </w:r>
      <w:r>
        <w:rPr>
          <w:rFonts w:hint="eastAsia" w:ascii="宋体" w:hAnsi="宋体" w:cs="宋体"/>
          <w:color w:val="auto"/>
          <w:sz w:val="21"/>
          <w:szCs w:val="21"/>
          <w:highlight w:val="none"/>
        </w:rPr>
        <w:t>）。对于瓶装或桶装的化学品，其标识必须包含化学品的名称、分子式、有效成分含量及等级、净重、危险标识、供货厂家、批号、生产日期、有效期、产品质量符合标准的证明和标准编号等信息。对于运送散装化学品的储槽上必须有标识，必须包含化学品的名称和危险标识等信息，运送人员同时提供产品质量检验报告。</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4.所采购品含腐蚀性、有毒成分，产品进厂后，将严格执行厂区的安全规定和政府部门的《危险化学品的安全管理》。</w:t>
      </w:r>
    </w:p>
    <w:p>
      <w:pPr>
        <w:spacing w:line="360" w:lineRule="auto"/>
        <w:ind w:firstLine="422" w:firstLineChars="200"/>
        <w:rPr>
          <w:rFonts w:hint="eastAsia" w:ascii="宋体" w:hAnsi="宋体" w:cs="宋体"/>
          <w:b/>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第五条  交货时间、地点及供货期限</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1.交货地点：东莞市海心沙资源综合利用中心环保热电厂项目指定地点。</w:t>
      </w:r>
    </w:p>
    <w:p>
      <w:pPr>
        <w:tabs>
          <w:tab w:val="left" w:pos="0"/>
          <w:tab w:val="left" w:pos="709"/>
        </w:tabs>
        <w:spacing w:line="360" w:lineRule="auto"/>
        <w:ind w:firstLine="420" w:firstLineChars="200"/>
        <w:rPr>
          <w:rFonts w:hint="eastAsia" w:ascii="宋体" w:hAnsi="宋体" w:cs="宋体"/>
          <w:bCs/>
          <w:snapToGrid w:val="0"/>
          <w:color w:val="auto"/>
          <w:sz w:val="21"/>
          <w:szCs w:val="21"/>
          <w:highlight w:val="none"/>
        </w:rPr>
      </w:pPr>
      <w:r>
        <w:rPr>
          <w:rFonts w:hint="eastAsia" w:ascii="宋体" w:hAnsi="宋体" w:cs="宋体"/>
          <w:color w:val="auto"/>
          <w:sz w:val="21"/>
          <w:szCs w:val="21"/>
          <w:highlight w:val="none"/>
        </w:rPr>
        <w:t>2.交货时间及顺序：经甲方提前2日以书面、微信、电子邮件或短信通知后，乙方需确保在规定期限内交货到厂。乙方在收到甲方书面、微信、电子邮件或短信等通知后应立即供货，如不能在约定时间内及时供货时，则承担逾期供货相关责任。</w:t>
      </w:r>
      <w:r>
        <w:rPr>
          <w:rFonts w:hint="eastAsia" w:ascii="宋体" w:hAnsi="宋体" w:cs="宋体"/>
          <w:bCs/>
          <w:snapToGrid w:val="0"/>
          <w:color w:val="auto"/>
          <w:sz w:val="21"/>
          <w:szCs w:val="21"/>
          <w:highlight w:val="none"/>
        </w:rPr>
        <w:t>本次采购不限定每次采购的时间、数量。乙方应当根据甲方的随时通知在上述期限内及时供货。乙方应当自行预估并且承担由此可能带来的风险。</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3.紧急供货：如甲方的任一项目因突发状况要求紧急供货，乙方应在收到甲方通知后根据甲方订单或电子邮件、短信等要求在10个小时内交货到厂。如不能在约定时间交货到厂，则承担逾期交货相关责任。</w:t>
      </w:r>
    </w:p>
    <w:p>
      <w:pPr>
        <w:tabs>
          <w:tab w:val="left" w:pos="0"/>
          <w:tab w:val="left" w:pos="709"/>
        </w:tabs>
        <w:spacing w:line="360" w:lineRule="auto"/>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4.</w:t>
      </w:r>
      <w:r>
        <w:rPr>
          <w:rFonts w:hint="eastAsia" w:ascii="宋体" w:hAnsi="宋体" w:cs="宋体"/>
          <w:b/>
          <w:color w:val="auto"/>
          <w:sz w:val="21"/>
          <w:szCs w:val="21"/>
          <w:highlight w:val="none"/>
        </w:rPr>
        <w:t>供货期限：</w:t>
      </w:r>
    </w:p>
    <w:p>
      <w:pPr>
        <w:tabs>
          <w:tab w:val="left" w:pos="0"/>
          <w:tab w:val="left" w:pos="709"/>
        </w:tabs>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供货期限为：自合同签订之日起为期 1年。开始送货时间以采购人通知为准。</w:t>
      </w:r>
    </w:p>
    <w:p>
      <w:pPr>
        <w:tabs>
          <w:tab w:val="left" w:pos="0"/>
          <w:tab w:val="left" w:pos="709"/>
        </w:tabs>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 w:val="21"/>
          <w:szCs w:val="21"/>
          <w:highlight w:val="none"/>
        </w:rPr>
        <w:t>合同执行期间，甲方有权根据项目实际需求提前终止合同，选择不继续采购乙方货物，乙方不得要求甲方继续采购乙方货物或要求赔偿。</w:t>
      </w:r>
    </w:p>
    <w:p>
      <w:pPr>
        <w:spacing w:line="360" w:lineRule="auto"/>
        <w:ind w:firstLine="422" w:firstLineChars="200"/>
        <w:rPr>
          <w:rFonts w:ascii="宋体" w:hAnsi="宋体" w:cs="宋体"/>
          <w:b/>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第六条  合理损耗标准及计算方法</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1.双方共同确定的计量方法，即</w:t>
      </w:r>
      <w:r>
        <w:rPr>
          <w:rFonts w:hint="eastAsia" w:ascii="宋体" w:hAnsi="宋体" w:cs="宋体"/>
          <w:color w:val="auto"/>
          <w:sz w:val="21"/>
          <w:szCs w:val="21"/>
          <w:highlight w:val="none"/>
          <w:u w:val="single"/>
        </w:rPr>
        <w:t>甲方指定送货电厂地磅计量法，无出厂化验报告，禁止入厂。</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2.根据上述方法乙方向甲方实际交付的产品数量在本合同约定的合理损耗（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%）的范围内，乙方不承担责任。</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第七条  货物的保管风险及所有权的转移</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1.货物的保管风险自交付至甲方指定的交货地点之时转移至甲方，即在约定时间、约定地点交付之前货物的保管风险由乙方承担，交付之后货物的保管风险由甲方承担。</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2.货物的所有权自</w:t>
      </w:r>
      <w:r>
        <w:rPr>
          <w:rFonts w:hint="eastAsia" w:ascii="宋体" w:hAnsi="宋体" w:cs="宋体"/>
          <w:color w:val="auto"/>
          <w:sz w:val="21"/>
          <w:szCs w:val="21"/>
          <w:highlight w:val="none"/>
          <w:u w:val="single"/>
        </w:rPr>
        <w:t>交付</w:t>
      </w:r>
      <w:r>
        <w:rPr>
          <w:rFonts w:hint="eastAsia" w:ascii="宋体" w:hAnsi="宋体" w:cs="宋体"/>
          <w:color w:val="auto"/>
          <w:sz w:val="21"/>
          <w:szCs w:val="21"/>
          <w:highlight w:val="none"/>
        </w:rPr>
        <w:t>起转移至甲方。</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3.乙方迟延交付的，承担迟延期间货物的风险责任。</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第八条  运输方法</w:t>
      </w:r>
      <w:r>
        <w:rPr>
          <w:rFonts w:hint="eastAsia" w:ascii="宋体" w:hAnsi="宋体" w:cs="宋体"/>
          <w:color w:val="auto"/>
          <w:sz w:val="21"/>
          <w:szCs w:val="21"/>
          <w:highlight w:val="none"/>
        </w:rPr>
        <w:t>、</w:t>
      </w:r>
      <w:r>
        <w:rPr>
          <w:rFonts w:hint="eastAsia" w:ascii="宋体" w:hAnsi="宋体" w:cs="宋体"/>
          <w:b/>
          <w:color w:val="auto"/>
          <w:sz w:val="21"/>
          <w:szCs w:val="21"/>
          <w:highlight w:val="none"/>
        </w:rPr>
        <w:t>运费及运输保险负担、到达站（港）</w:t>
      </w:r>
      <w:r>
        <w:rPr>
          <w:rFonts w:hint="eastAsia" w:ascii="宋体" w:hAnsi="宋体" w:cs="宋体"/>
          <w:color w:val="auto"/>
          <w:sz w:val="21"/>
          <w:szCs w:val="21"/>
          <w:highlight w:val="none"/>
          <w:u w:val="single"/>
        </w:rPr>
        <w:t xml:space="preserve">   ﹨      </w:t>
      </w:r>
      <w:r>
        <w:rPr>
          <w:rFonts w:hint="eastAsia" w:ascii="宋体" w:hAnsi="宋体" w:cs="宋体"/>
          <w:b/>
          <w:color w:val="auto"/>
          <w:sz w:val="21"/>
          <w:szCs w:val="21"/>
          <w:highlight w:val="none"/>
        </w:rPr>
        <w:t>。</w:t>
      </w:r>
    </w:p>
    <w:p>
      <w:pPr>
        <w:spacing w:line="360" w:lineRule="auto"/>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 xml:space="preserve">   1.运输方法：乙方须用合规格密封良好的槽罐车运输合同货物。槽罐必须注意防泄漏，注意环境保护。槽罐车实际容量可根据甲方实际送货需求调整。按最新交通运输法，载货后整车总质量必须</w:t>
      </w:r>
      <w:r>
        <w:rPr>
          <w:rFonts w:hint="eastAsia" w:ascii="宋体" w:hAnsi="宋体" w:cs="宋体"/>
          <w:color w:val="auto"/>
          <w:sz w:val="21"/>
          <w:szCs w:val="21"/>
          <w:highlight w:val="none"/>
          <w:shd w:val="clear" w:color="auto" w:fill="FFFFFF"/>
        </w:rPr>
        <w:t>＜</w:t>
      </w:r>
      <w:r>
        <w:rPr>
          <w:rFonts w:hint="eastAsia" w:ascii="宋体" w:hAnsi="宋体" w:cs="宋体"/>
          <w:color w:val="auto"/>
          <w:sz w:val="21"/>
          <w:szCs w:val="21"/>
          <w:highlight w:val="none"/>
        </w:rPr>
        <w:t>49吨。以上由乙方承担运输及装卸等费用，自行卸货。</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2.费用负担：按</w:t>
      </w:r>
      <w:r>
        <w:rPr>
          <w:rFonts w:hint="eastAsia" w:ascii="宋体" w:hAnsi="宋体" w:cs="宋体"/>
          <w:color w:val="auto"/>
          <w:sz w:val="21"/>
          <w:szCs w:val="21"/>
          <w:highlight w:val="none"/>
          <w:u w:val="single"/>
        </w:rPr>
        <w:t xml:space="preserve">   (1)  </w:t>
      </w:r>
      <w:r>
        <w:rPr>
          <w:rFonts w:hint="eastAsia" w:ascii="宋体" w:hAnsi="宋体" w:cs="宋体"/>
          <w:color w:val="auto"/>
          <w:sz w:val="21"/>
          <w:szCs w:val="21"/>
          <w:highlight w:val="none"/>
        </w:rPr>
        <w:t>执行。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（1）运费已包含在本合同价款内；（2）运输费用</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元，由甲方另行支付。</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3.运输保险费由</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方承担，共计：</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。由乙方代办托运的保险受益人为甲方。保险费已包含在本合同价款内。</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color w:val="auto"/>
          <w:sz w:val="21"/>
          <w:szCs w:val="21"/>
          <w:highlight w:val="none"/>
        </w:rPr>
      </w:pPr>
      <w:r>
        <w:rPr>
          <w:rFonts w:hint="eastAsia" w:ascii="宋体" w:hAnsi="宋体" w:cs="宋体"/>
          <w:b/>
          <w:color w:val="auto"/>
          <w:sz w:val="21"/>
          <w:szCs w:val="21"/>
          <w:highlight w:val="none"/>
        </w:rPr>
        <w:t>第九条  检验标准、方法、地点及期限</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1.检验标准：按本合同第二条质量标准进行检验。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2.验收方式：按</w:t>
      </w:r>
      <w:r>
        <w:rPr>
          <w:rFonts w:hint="eastAsia" w:ascii="宋体" w:hAnsi="宋体" w:cs="宋体"/>
          <w:color w:val="auto"/>
          <w:sz w:val="21"/>
          <w:szCs w:val="21"/>
          <w:highlight w:val="none"/>
          <w:u w:val="single"/>
        </w:rPr>
        <w:t xml:space="preserve"> (1)、 (2) 、(3) 、(4) 、（5）、（6）、（7）</w:t>
      </w:r>
      <w:r>
        <w:rPr>
          <w:rFonts w:hint="eastAsia" w:ascii="宋体" w:hAnsi="宋体" w:cs="宋体"/>
          <w:color w:val="auto"/>
          <w:sz w:val="21"/>
          <w:szCs w:val="21"/>
          <w:highlight w:val="none"/>
        </w:rPr>
        <w:t>执行。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乙方在送货时，必须提供每一批货物的出厂化验报告及送货单，要求必须签字盖章。无出厂化验报告，禁止入厂。</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车次过磅后乙方送达产品到甲方指定地点进行抽样取样，每次取样时，供需双方应当共同见证取样，且取样单须经供需双方共同签字签章确认（乙方拒绝派人参加取样或者拒绝签字盖章确认的，不影响甲方取样的效力）。每车次取4份样品（</w:t>
      </w:r>
      <w:r>
        <w:rPr>
          <w:rFonts w:hint="eastAsia" w:ascii="宋体" w:hAnsi="宋体" w:cs="宋体"/>
          <w:color w:val="auto"/>
          <w:sz w:val="21"/>
          <w:szCs w:val="21"/>
          <w:highlight w:val="none"/>
          <w:u w:val="single"/>
        </w:rPr>
        <w:t>其中1份样品交由甲方实验室检测，1份预备送第三方检测机构进行检测，</w:t>
      </w:r>
      <w:r>
        <w:rPr>
          <w:rFonts w:hint="eastAsia" w:ascii="宋体" w:hAnsi="宋体" w:cs="宋体"/>
          <w:color w:val="auto"/>
          <w:sz w:val="21"/>
          <w:szCs w:val="21"/>
          <w:highlight w:val="none"/>
        </w:rPr>
        <w:t>另外2份样品作为备样交由甲方备存），甲方完成取样并且实验室初步检验合格后，由乙方负责卸货至甲方指定地点，卸货费用已经包含在合同价款中。卸货后乙方必须再次到甲方地磅过空磅，签字确认并拿取过磅单后，方可离厂。如退货，乙方必须在10小时内第二车送货到厂。</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（3）不予收货：乙方所供货物经甲方分析检测室检验确认，应符合以下技术参数要求：（1）熟石灰（Ca(OH)</w:t>
      </w:r>
      <w:r>
        <w:rPr>
          <w:rFonts w:hint="eastAsia" w:ascii="宋体" w:hAnsi="宋体" w:cs="宋体"/>
          <w:color w:val="auto"/>
          <w:sz w:val="21"/>
          <w:szCs w:val="21"/>
          <w:highlight w:val="none"/>
          <w:vertAlign w:val="subscript"/>
        </w:rPr>
        <w:t xml:space="preserve"> 2</w:t>
      </w:r>
      <w:r>
        <w:rPr>
          <w:rFonts w:hint="eastAsia" w:ascii="宋体" w:hAnsi="宋体" w:cs="宋体"/>
          <w:color w:val="auto"/>
          <w:sz w:val="21"/>
          <w:szCs w:val="21"/>
          <w:highlight w:val="none"/>
        </w:rPr>
        <w:t>）含量≥95%（2）熟石灰（Ca(OH)</w:t>
      </w:r>
      <w:r>
        <w:rPr>
          <w:rFonts w:hint="eastAsia" w:ascii="宋体" w:hAnsi="宋体" w:cs="宋体"/>
          <w:color w:val="auto"/>
          <w:sz w:val="21"/>
          <w:szCs w:val="21"/>
          <w:highlight w:val="none"/>
          <w:vertAlign w:val="subscript"/>
        </w:rPr>
        <w:t xml:space="preserve"> 2</w:t>
      </w:r>
      <w:r>
        <w:rPr>
          <w:rFonts w:hint="eastAsia" w:ascii="宋体" w:hAnsi="宋体" w:cs="宋体"/>
          <w:color w:val="auto"/>
          <w:sz w:val="21"/>
          <w:szCs w:val="21"/>
          <w:highlight w:val="none"/>
        </w:rPr>
        <w:t>）粒度通过率（325目）≥95%（3）温升≤4.5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C：将200ml水倒入100g熟石灰样品的保温壶中，温升不超过4.5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如出现氢氧化钙含量以外的指标不符合技术要求的甲方有权拒绝收货。若化验结果达不到双方合同约定的氢氧化钙含量标准，经乙方要求可协商收货，协商单价按氢氧化钙有效成分计价，即氢氧化钙含量每降低一个百分点，单价则减少50元/吨。但氢氧化钙含量低于92%，视为所供货物不合格。</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（4）第三方检测：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熟石灰第三方检测指标如下：</w:t>
      </w:r>
    </w:p>
    <w:p>
      <w:pPr>
        <w:tabs>
          <w:tab w:val="left" w:pos="7920"/>
        </w:tabs>
        <w:spacing w:line="360" w:lineRule="auto"/>
        <w:ind w:firstLine="420" w:firstLineChars="200"/>
        <w:rPr>
          <w:rFonts w:hint="eastAsia" w:ascii="宋体" w:hAnsi="宋体" w:cs="宋体"/>
          <w:color w:val="auto"/>
          <w:sz w:val="21"/>
          <w:szCs w:val="21"/>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Ca(OH)</w:t>
      </w:r>
      <w:r>
        <w:rPr>
          <w:rFonts w:hint="eastAsia" w:ascii="宋体" w:hAnsi="宋体" w:cs="宋体"/>
          <w:color w:val="auto"/>
          <w:sz w:val="21"/>
          <w:szCs w:val="21"/>
          <w:highlight w:val="none"/>
          <w:vertAlign w:val="subscript"/>
        </w:rPr>
        <w:t xml:space="preserve"> 2</w:t>
      </w:r>
      <w:r>
        <w:rPr>
          <w:rFonts w:hint="eastAsia" w:ascii="宋体" w:hAnsi="宋体" w:cs="宋体"/>
          <w:color w:val="auto"/>
          <w:sz w:val="21"/>
          <w:szCs w:val="21"/>
          <w:highlight w:val="none"/>
        </w:rPr>
        <w:t>纯度 ≥95%；</w:t>
      </w:r>
    </w:p>
    <w:p>
      <w:pPr>
        <w:tabs>
          <w:tab w:val="left" w:pos="7920"/>
        </w:tabs>
        <w:spacing w:line="360" w:lineRule="auto"/>
        <w:ind w:firstLine="420" w:firstLineChars="200"/>
        <w:rPr>
          <w:rFonts w:hint="eastAsia" w:ascii="宋体" w:hAnsi="宋体" w:cs="宋体"/>
          <w:color w:val="auto"/>
          <w:sz w:val="21"/>
          <w:szCs w:val="21"/>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粒度：325目筛通过率≥95%；</w:t>
      </w:r>
    </w:p>
    <w:p>
      <w:pPr>
        <w:tabs>
          <w:tab w:val="left" w:pos="7920"/>
        </w:tabs>
        <w:spacing w:line="360" w:lineRule="auto"/>
        <w:ind w:firstLine="420" w:firstLineChars="200"/>
        <w:rPr>
          <w:rFonts w:hint="eastAsia" w:ascii="宋体" w:hAnsi="宋体" w:cs="宋体"/>
          <w:color w:val="auto"/>
          <w:sz w:val="21"/>
          <w:szCs w:val="21"/>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外观：灰白色粉末；</w:t>
      </w:r>
    </w:p>
    <w:p>
      <w:pPr>
        <w:tabs>
          <w:tab w:val="left" w:pos="7920"/>
        </w:tabs>
        <w:spacing w:line="360" w:lineRule="auto"/>
        <w:ind w:firstLine="420" w:firstLineChars="200"/>
        <w:rPr>
          <w:rFonts w:hint="eastAsia" w:ascii="宋体" w:hAnsi="宋体" w:cs="宋体"/>
          <w:color w:val="auto"/>
          <w:sz w:val="21"/>
          <w:szCs w:val="21"/>
          <w:highlight w:val="none"/>
        </w:rPr>
      </w:pPr>
      <w:r>
        <w:rPr>
          <w:rFonts w:ascii="宋体" w:hAnsi="宋体" w:cs="宋体"/>
          <w:color w:val="auto"/>
          <w:sz w:val="21"/>
          <w:szCs w:val="21"/>
          <w:highlight w:val="none"/>
        </w:rPr>
        <w:t>d.</w:t>
      </w:r>
      <w:r>
        <w:rPr>
          <w:rFonts w:hint="eastAsia" w:ascii="宋体" w:hAnsi="宋体" w:cs="宋体"/>
          <w:color w:val="auto"/>
          <w:sz w:val="21"/>
          <w:szCs w:val="21"/>
          <w:highlight w:val="none"/>
        </w:rPr>
        <w:t>比表面积（BET）≥</w:t>
      </w:r>
      <w:r>
        <w:rPr>
          <w:rFonts w:hint="eastAsia" w:ascii="宋体" w:hAnsi="宋体" w:cs="宋体"/>
          <w:bCs/>
          <w:color w:val="auto"/>
          <w:sz w:val="21"/>
          <w:szCs w:val="21"/>
          <w:highlight w:val="none"/>
        </w:rPr>
        <w:t>18㎡/g；</w:t>
      </w:r>
    </w:p>
    <w:p>
      <w:pPr>
        <w:tabs>
          <w:tab w:val="left" w:pos="7920"/>
        </w:tabs>
        <w:spacing w:line="360" w:lineRule="auto"/>
        <w:ind w:firstLine="420" w:firstLineChars="200"/>
        <w:rPr>
          <w:rFonts w:hint="eastAsia" w:ascii="宋体" w:hAnsi="宋体" w:cs="宋体"/>
          <w:color w:val="auto"/>
          <w:sz w:val="21"/>
          <w:szCs w:val="21"/>
          <w:highlight w:val="none"/>
        </w:rPr>
      </w:pPr>
      <w:r>
        <w:rPr>
          <w:rFonts w:ascii="宋体" w:hAnsi="宋体" w:cs="宋体"/>
          <w:color w:val="auto"/>
          <w:sz w:val="21"/>
          <w:szCs w:val="21"/>
          <w:highlight w:val="none"/>
        </w:rPr>
        <w:t>e.</w:t>
      </w:r>
      <w:r>
        <w:rPr>
          <w:rFonts w:hint="eastAsia" w:ascii="宋体" w:hAnsi="宋体" w:cs="宋体"/>
          <w:color w:val="auto"/>
          <w:sz w:val="21"/>
          <w:szCs w:val="21"/>
          <w:highlight w:val="none"/>
        </w:rPr>
        <w:t>温升≤4.5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C：将200ml水倒入100g熟石灰样品的保温壶中，温升不超过4.5</w:t>
      </w:r>
      <w:r>
        <w:rPr>
          <w:rFonts w:hint="eastAsia" w:ascii="宋体" w:hAnsi="宋体" w:cs="宋体"/>
          <w:color w:val="auto"/>
          <w:sz w:val="21"/>
          <w:szCs w:val="21"/>
          <w:highlight w:val="none"/>
          <w:vertAlign w:val="superscript"/>
        </w:rPr>
        <w:t>0</w:t>
      </w:r>
      <w:r>
        <w:rPr>
          <w:rFonts w:hint="eastAsia" w:ascii="宋体" w:hAnsi="宋体" w:cs="宋体"/>
          <w:color w:val="auto"/>
          <w:sz w:val="21"/>
          <w:szCs w:val="21"/>
          <w:highlight w:val="none"/>
        </w:rPr>
        <w:t>C。</w:t>
      </w:r>
    </w:p>
    <w:p>
      <w:pPr>
        <w:pStyle w:val="39"/>
        <w:spacing w:line="360" w:lineRule="auto"/>
        <w:ind w:firstLineChars="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①常规送第三方检测：甲方每月2次，每次不定期从同一车次来料货物样品中随机</w:t>
      </w:r>
      <w:r>
        <w:rPr>
          <w:rFonts w:hint="eastAsia" w:ascii="宋体" w:hAnsi="宋体" w:cs="宋体"/>
          <w:color w:val="auto"/>
          <w:szCs w:val="21"/>
          <w:highlight w:val="none"/>
          <w:u w:val="single"/>
        </w:rPr>
        <w:t>抽取4份样品（其中1份样品交由甲方实验室检测，1份预备送第三方检测机构进行检测，另外2份样品作为备样交由甲方备存）</w:t>
      </w:r>
      <w:r>
        <w:rPr>
          <w:rFonts w:hint="eastAsia" w:ascii="宋体" w:hAnsi="宋体" w:cs="宋体"/>
          <w:snapToGrid w:val="0"/>
          <w:color w:val="auto"/>
          <w:szCs w:val="21"/>
          <w:highlight w:val="none"/>
        </w:rPr>
        <w:t>，</w:t>
      </w:r>
      <w:r>
        <w:rPr>
          <w:rFonts w:hint="eastAsia" w:ascii="宋体" w:hAnsi="宋体" w:cs="宋体"/>
          <w:color w:val="auto"/>
          <w:szCs w:val="21"/>
          <w:highlight w:val="none"/>
        </w:rPr>
        <w:t>双方明确三家具有省级或以上级别的计量认证资格证书（CMA）的第三方检测机构，由现场使用单位将样品随机送检</w:t>
      </w:r>
      <w:r>
        <w:rPr>
          <w:rFonts w:hint="eastAsia" w:ascii="宋体" w:hAnsi="宋体" w:cs="宋体"/>
          <w:snapToGrid w:val="0"/>
          <w:color w:val="auto"/>
          <w:szCs w:val="21"/>
          <w:highlight w:val="none"/>
        </w:rPr>
        <w:t>，检验费用（含寄送费用、检测费用等）由乙方承担（如乙方拒付时，</w:t>
      </w:r>
      <w:r>
        <w:rPr>
          <w:rFonts w:hint="eastAsia" w:ascii="宋体" w:hAnsi="宋体" w:cs="宋体"/>
          <w:color w:val="auto"/>
          <w:szCs w:val="21"/>
          <w:highlight w:val="none"/>
          <w:u w:val="single"/>
        </w:rPr>
        <w:t>甲方</w:t>
      </w:r>
      <w:r>
        <w:rPr>
          <w:rFonts w:hint="eastAsia" w:ascii="宋体" w:hAnsi="宋体" w:cs="宋体"/>
          <w:snapToGrid w:val="0"/>
          <w:color w:val="auto"/>
          <w:szCs w:val="21"/>
          <w:highlight w:val="none"/>
        </w:rPr>
        <w:t>有权从应付中标人的货款中直接扣除），</w:t>
      </w:r>
      <w:r>
        <w:rPr>
          <w:rFonts w:hint="eastAsia" w:ascii="宋体" w:hAnsi="宋体" w:cs="宋体"/>
          <w:color w:val="auto"/>
          <w:szCs w:val="21"/>
          <w:highlight w:val="none"/>
        </w:rPr>
        <w:t>电厂项目中</w:t>
      </w:r>
      <w:r>
        <w:rPr>
          <w:rFonts w:hint="eastAsia" w:ascii="宋体" w:hAnsi="宋体" w:cs="宋体"/>
          <w:snapToGrid w:val="0"/>
          <w:color w:val="auto"/>
          <w:szCs w:val="21"/>
          <w:highlight w:val="none"/>
        </w:rPr>
        <w:t>每月2次随机抽检的第三方检测合格报告作为结算依据。如因乙方未按时支付检测费用导致检测报告滞后出结果影响到付款时间，由乙方自行承担延误付款的不利后果，甲方概不负责。</w:t>
      </w:r>
    </w:p>
    <w:p>
      <w:pPr>
        <w:spacing w:line="360" w:lineRule="auto"/>
        <w:ind w:firstLine="420" w:firstLineChars="200"/>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②出现异议货物送第三方检测：如乙方对</w:t>
      </w:r>
      <w:r>
        <w:rPr>
          <w:rFonts w:hint="eastAsia" w:ascii="宋体" w:hAnsi="宋体" w:cs="宋体"/>
          <w:color w:val="auto"/>
          <w:sz w:val="21"/>
          <w:szCs w:val="21"/>
          <w:highlight w:val="none"/>
        </w:rPr>
        <w:t>甲方实验室初步检验结果有异议，则甲方</w:t>
      </w:r>
      <w:r>
        <w:rPr>
          <w:rFonts w:hint="eastAsia" w:ascii="宋体" w:hAnsi="宋体" w:cs="宋体"/>
          <w:snapToGrid w:val="0"/>
          <w:color w:val="auto"/>
          <w:sz w:val="21"/>
          <w:szCs w:val="21"/>
          <w:highlight w:val="none"/>
        </w:rPr>
        <w:t>将共同封存的</w:t>
      </w:r>
      <w:r>
        <w:rPr>
          <w:rFonts w:hint="eastAsia" w:ascii="宋体" w:hAnsi="宋体" w:cs="宋体"/>
          <w:color w:val="auto"/>
          <w:sz w:val="21"/>
          <w:szCs w:val="21"/>
          <w:highlight w:val="none"/>
        </w:rPr>
        <w:t>1份该车次样品由甲方在确定的三家检测单位中指定一家送检</w:t>
      </w:r>
      <w:r>
        <w:rPr>
          <w:rFonts w:hint="eastAsia" w:ascii="宋体" w:hAnsi="宋体" w:cs="宋体"/>
          <w:snapToGrid w:val="0"/>
          <w:color w:val="auto"/>
          <w:sz w:val="21"/>
          <w:szCs w:val="21"/>
          <w:highlight w:val="none"/>
        </w:rPr>
        <w:t>。第三方检测结果合格的，检测费用由甲方承担；第三方检测结果不合格的，检测费用由乙方承担（如乙方拒付时，甲方有权从应付乙方的货款中直接扣除）。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③</w:t>
      </w:r>
      <w:r>
        <w:rPr>
          <w:rFonts w:hint="eastAsia" w:ascii="宋体" w:hAnsi="宋体" w:cs="宋体"/>
          <w:snapToGrid w:val="0"/>
          <w:color w:val="auto"/>
          <w:sz w:val="21"/>
          <w:szCs w:val="21"/>
          <w:highlight w:val="none"/>
        </w:rPr>
        <w:t>甲方</w:t>
      </w:r>
      <w:r>
        <w:rPr>
          <w:rFonts w:hint="eastAsia" w:ascii="宋体" w:hAnsi="宋体" w:cs="宋体"/>
          <w:color w:val="auto"/>
          <w:sz w:val="21"/>
          <w:szCs w:val="21"/>
          <w:highlight w:val="none"/>
        </w:rPr>
        <w:t>不定点不定期抽样送第三方检测：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甲方有权在合同期内在任一项目不定期随机抽检，双方见证取样，每车次取4份样品（1份样品送第三方检测机构进行检测，2份样品作为备样交由甲方备存，1份给乙方），由甲方指定检测单位及送检，检测费用由甲方承担。</w:t>
      </w:r>
    </w:p>
    <w:p>
      <w:pPr>
        <w:spacing w:line="360" w:lineRule="auto"/>
        <w:ind w:firstLine="420" w:firstLineChars="200"/>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（5）检测内容及结果的应用：</w:t>
      </w:r>
    </w:p>
    <w:p>
      <w:pPr>
        <w:spacing w:line="360" w:lineRule="auto"/>
        <w:ind w:firstLine="420" w:firstLineChars="200"/>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 xml:space="preserve"> ①每份检测报告内容包括但不限于：送检样品图片、样品封条（如有）、检验标准等技术需求书中规定的检测内容。</w:t>
      </w:r>
    </w:p>
    <w:p>
      <w:pPr>
        <w:spacing w:line="360" w:lineRule="auto"/>
        <w:ind w:firstLine="420" w:firstLineChars="200"/>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②复检处理：若某车次货物第1份送检样品的第三方检测报告不合格，如乙方要求复检，</w:t>
      </w:r>
      <w:r>
        <w:rPr>
          <w:rFonts w:hint="eastAsia" w:ascii="宋体" w:hAnsi="宋体" w:cs="宋体"/>
          <w:color w:val="auto"/>
          <w:sz w:val="21"/>
          <w:szCs w:val="21"/>
          <w:highlight w:val="none"/>
        </w:rPr>
        <w:t>则由甲方将该车次2份备样在确定的三家检测单位中指定一家送检，乙方先垫付检测费 ，最终检测费用由责任方承担（包括送检运费、检测费用等）。</w:t>
      </w:r>
      <w:r>
        <w:rPr>
          <w:rFonts w:hint="eastAsia" w:ascii="宋体" w:hAnsi="宋体" w:cs="宋体"/>
          <w:snapToGrid w:val="0"/>
          <w:color w:val="auto"/>
          <w:sz w:val="21"/>
          <w:szCs w:val="21"/>
          <w:highlight w:val="none"/>
        </w:rPr>
        <w:t xml:space="preserve"> 2份备样检测全部合格则视为该车次货物合格，乙方免于处罚，合格检测报告作为该车次货物的结算依据；若有1份备样检测不合格，则视为该车次货物不合格，不予支付该车次货款。</w:t>
      </w:r>
    </w:p>
    <w:p>
      <w:pPr>
        <w:spacing w:line="360" w:lineRule="auto"/>
        <w:ind w:firstLine="420" w:firstLineChars="200"/>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③第三方检测报告（如有复检，按复检的第三方检测报告）作为货物结算依据。如每车次货物甲方实验室初步检验报告、所有电厂项目中每月二次随机抽检的第三方检测报告及甲方对异议货物要求乙方委托第三方出具的合格检测报告（如有）作为乙方进行结算的附件，若作为最终依据的第三方检测结果不合格，则视为该车次产品不合格。若乙方在货物质量方面不能满足甲方要求，事件发生一次，甲方将出具整改单给乙方，该不合格车次货款不予结算，且乙方须向甲方支付当月货款的2%作为违约金；累计不合格货物车次达三次或以上，乙方将被甲方列入严重不诚信行为名单，甲方有权单方面解除本合同，且乙方须向甲方支付合同暂定总价（计划供货量×中标综合单价）的2%作为违约金，并赔偿甲方由此遭受的一切相关经济损失。甲方有权从履约担保中扣除违约金，履约担保不足支付部分，甲方有权另行向乙方索赔</w:t>
      </w:r>
      <w:r>
        <w:rPr>
          <w:rFonts w:hint="eastAsia" w:ascii="宋体" w:hAnsi="宋体" w:cs="宋体"/>
          <w:color w:val="auto"/>
          <w:sz w:val="21"/>
          <w:szCs w:val="21"/>
          <w:highlight w:val="none"/>
        </w:rPr>
        <w:t>。</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（6）若甲方在运行生产使用过程中，乙方的产品被甲方上级主管部门检查质量不合格，并对甲方进行做出相关处罚，由此所产生的责任及甲方损失全由乙方承担。</w:t>
      </w:r>
    </w:p>
    <w:p>
      <w:pPr>
        <w:spacing w:line="360" w:lineRule="auto"/>
        <w:ind w:firstLine="420" w:firstLineChars="200"/>
        <w:rPr>
          <w:rFonts w:hint="eastAsia" w:ascii="宋体" w:hAnsi="宋体" w:cs="宋体"/>
          <w:bCs/>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第十条  履约担保及退回</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kern w:val="44"/>
          <w:sz w:val="21"/>
          <w:szCs w:val="21"/>
          <w:highlight w:val="none"/>
        </w:rPr>
        <w:t>乙方</w:t>
      </w:r>
      <w:r>
        <w:rPr>
          <w:rFonts w:hint="eastAsia" w:ascii="宋体" w:hAnsi="宋体"/>
          <w:color w:val="auto"/>
          <w:szCs w:val="21"/>
          <w:highlight w:val="none"/>
        </w:rPr>
        <w:t>在签订合同后15个日历天内</w:t>
      </w:r>
      <w:r>
        <w:rPr>
          <w:rFonts w:hint="eastAsia" w:ascii="宋体" w:hAnsi="宋体" w:cs="宋体"/>
          <w:color w:val="auto"/>
          <w:sz w:val="21"/>
          <w:szCs w:val="21"/>
          <w:highlight w:val="none"/>
        </w:rPr>
        <w:t>向甲方提供</w:t>
      </w:r>
      <w:r>
        <w:rPr>
          <w:rFonts w:hint="eastAsia" w:ascii="宋体" w:hAnsi="宋体"/>
          <w:color w:val="auto"/>
          <w:szCs w:val="21"/>
          <w:highlight w:val="none"/>
          <w:u w:val="none"/>
          <w:lang w:val="en-US" w:eastAsia="zh-CN"/>
        </w:rPr>
        <w:t>合同暂定总价的10%</w:t>
      </w:r>
      <w:r>
        <w:rPr>
          <w:rFonts w:hint="eastAsia" w:ascii="宋体" w:hAnsi="宋体" w:cs="宋体"/>
          <w:color w:val="auto"/>
          <w:sz w:val="21"/>
          <w:szCs w:val="21"/>
          <w:highlight w:val="none"/>
        </w:rPr>
        <w:t>履约保证金(以银行转账或不可撤销见索即付银行履约保函形式)。</w:t>
      </w:r>
      <w:r>
        <w:rPr>
          <w:rFonts w:hint="eastAsia" w:ascii="宋体" w:hAnsi="宋体" w:cs="宋体"/>
          <w:color w:val="auto"/>
          <w:kern w:val="44"/>
          <w:sz w:val="21"/>
          <w:szCs w:val="21"/>
          <w:highlight w:val="none"/>
        </w:rPr>
        <w:t>乙方以银行保函方式提交履约担保并且保函规定了有效期的，乙方应当在保函有效期届满前一个月向甲方提交续期保函。</w:t>
      </w:r>
      <w:r>
        <w:rPr>
          <w:rFonts w:hint="eastAsia" w:ascii="宋体" w:hAnsi="宋体" w:cs="宋体"/>
          <w:color w:val="auto"/>
          <w:sz w:val="21"/>
          <w:szCs w:val="21"/>
          <w:highlight w:val="none"/>
        </w:rPr>
        <w:t>作为甲方对乙方合约履行的保证，如乙方违约（具体参考本合同第十四条及其他条款的约定），甲方则有权从该履约保证金中扣除。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如乙方未依照本合同项下约定全面履行义务，甲方有权在书面通知乙方后，从履约保证金中支付因乙方违约行为所导致的一切损失（包括但不限于违约金，损害赔偿金及甲方因此而发生的全部费用，包括诉讼费、仲裁费、评估费、律师费等）。</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3．履约保证金不足支付部分，甲方有权另行向乙方索赔。</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4.乙方依照本合同约定全面履行义务，并经甲方书面同意后，</w:t>
      </w:r>
      <w:r>
        <w:rPr>
          <w:rFonts w:hint="eastAsia" w:ascii="宋体" w:hAnsi="宋体" w:cs="宋体"/>
          <w:color w:val="auto"/>
          <w:kern w:val="44"/>
          <w:sz w:val="21"/>
          <w:szCs w:val="21"/>
          <w:highlight w:val="none"/>
        </w:rPr>
        <w:t>履约担保在完成本合同全部义务且质保期（如有）满后二十八天内无息退还</w:t>
      </w:r>
      <w:r>
        <w:rPr>
          <w:rFonts w:hint="eastAsia" w:ascii="宋体" w:hAnsi="宋体" w:cs="宋体"/>
          <w:color w:val="auto"/>
          <w:sz w:val="21"/>
          <w:szCs w:val="21"/>
          <w:highlight w:val="none"/>
        </w:rPr>
        <w:t>，履约保函过期失效。乙方在履约保证期满后须提交退款申请，否则甲方有权延期退款。</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5.如履约担保到期不续期，则甲方有权先不支付费用，并要求乙方承担违约责任且继续履行义务。</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6．甲方收款银行账户如下：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户名：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银行：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第十一条 付款方式及付款条件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1.本合同项下确定的合同总价由甲方向乙方按</w:t>
      </w:r>
      <w:r>
        <w:rPr>
          <w:rFonts w:hint="eastAsia" w:ascii="宋体" w:hAnsi="宋体" w:cs="宋体"/>
          <w:color w:val="auto"/>
          <w:sz w:val="21"/>
          <w:szCs w:val="21"/>
          <w:highlight w:val="none"/>
          <w:u w:val="single"/>
        </w:rPr>
        <w:t>月结</w:t>
      </w:r>
      <w:r>
        <w:rPr>
          <w:rFonts w:hint="eastAsia" w:ascii="宋体" w:hAnsi="宋体" w:cs="宋体"/>
          <w:color w:val="auto"/>
          <w:sz w:val="21"/>
          <w:szCs w:val="21"/>
          <w:highlight w:val="none"/>
        </w:rPr>
        <w:t>方式支付：</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月结：每自然月结束后，甲方向乙方申请结算上月货物货款。结算数量按上月乙方货物经甲方验收合格的数量（对质量有争议的部分暂时不予结算支付），并且在甲方收到乙方交付的以下资料后三十个工作日内以电汇/转账/银行承兑汇票等方式向乙方支付：</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A．（货物的过磅计量清单）标的货物经甲方地磅计量的实际重量；</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B．开具金额为该月验收合格货物总价100%的增值税专用发票；</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C．乙方向甲方缴纳的履约担保证明资料（首次支付时需要）；</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D．乙方</w:t>
      </w:r>
      <w:r>
        <w:rPr>
          <w:rFonts w:hint="eastAsia" w:ascii="宋体" w:hAnsi="宋体" w:cs="宋体"/>
          <w:snapToGrid w:val="0"/>
          <w:color w:val="auto"/>
          <w:sz w:val="21"/>
          <w:szCs w:val="21"/>
          <w:highlight w:val="none"/>
        </w:rPr>
        <w:t>每月二次随机抽检的第三方检测合格报告；</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E．送货清单（甲方指定收货人签字确认）；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F．每车次货物出厂化验报告；</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G. 双方盖章确认的月度对账单。</w:t>
      </w:r>
    </w:p>
    <w:p>
      <w:pPr>
        <w:tabs>
          <w:tab w:val="left" w:pos="6597"/>
        </w:tabs>
        <w:autoSpaceDE w:val="0"/>
        <w:autoSpaceDN w:val="0"/>
        <w:spacing w:line="360" w:lineRule="auto"/>
        <w:ind w:firstLine="420" w:firstLineChars="200"/>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2．乙方确认其收款银行账户如下：</w:t>
      </w:r>
    </w:p>
    <w:p>
      <w:pPr>
        <w:pStyle w:val="84"/>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账户名称：</w:t>
      </w:r>
    </w:p>
    <w:p>
      <w:pPr>
        <w:pStyle w:val="84"/>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pStyle w:val="84"/>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银行账号：</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3.甲乙双方各自承担因执行合同所发生的银行费用及各项税费。</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乙方在甲方支付合同款项时，应按各期付款数额向甲方开具按付款方式和付款条件要求的票据格式。不开具或开具不合格的，甲方有权迟延支付应付款项且不承担任何违约责任，且乙方的各项合同义务仍应按合同约定履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5.如果乙方有赔偿和/或支付违约金的责任，则甲方有权从最近一笔付款或是履约保证金中扣除相应金额。如果最近一笔付款或履约保证金不足以抵扣违约金的，则可从下一笔付款中继续扣除。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6.由于乙方未足额缴纳应缴税款和开具发票不真实、不合格而引起的一切责任（包括商业责任和法律责任）和损失，由乙方承担。</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第十二条  不可抗力</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不可抗力”是指不能预见、不能避免并不能克服的客观情况，包括但不限于：天灾、水灾、地震或其他灾难，战争或暴乱，以及其他在受影响的一方合理控制范围以外且经该方合理努力后也不能防止或避免的类似事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2.由于不可抗力的原因，而不能履行合同或延迟履行合同的一方可视不可抗力的实际影响免除部分或全部违约责任。但受不可抗力影响的一方应在通知可能的情况下立即通知对方,并在不可抗力发生后</w:t>
      </w:r>
      <w:r>
        <w:rPr>
          <w:rFonts w:hint="eastAsia" w:ascii="宋体" w:hAnsi="宋体" w:cs="宋体"/>
          <w:color w:val="auto"/>
          <w:sz w:val="21"/>
          <w:szCs w:val="21"/>
          <w:highlight w:val="none"/>
          <w:u w:val="single"/>
        </w:rPr>
        <w:t>7</w:t>
      </w:r>
      <w:r>
        <w:rPr>
          <w:rFonts w:hint="eastAsia" w:ascii="宋体" w:hAnsi="宋体" w:cs="宋体"/>
          <w:color w:val="auto"/>
          <w:sz w:val="21"/>
          <w:szCs w:val="21"/>
          <w:highlight w:val="none"/>
        </w:rPr>
        <w:t>日内特快专递邮寄相关的主管部门签发的证明文件,以便其他各方审查、确认。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3.发生不可抗力事件终止或消除后，受不可抗力影响的一方，应立即通知对方, 发生不可抗力事件终止或消除后</w:t>
      </w:r>
      <w:r>
        <w:rPr>
          <w:rFonts w:hint="eastAsia" w:ascii="宋体" w:hAnsi="宋体" w:cs="宋体"/>
          <w:color w:val="auto"/>
          <w:sz w:val="21"/>
          <w:szCs w:val="21"/>
          <w:highlight w:val="none"/>
          <w:u w:val="single"/>
        </w:rPr>
        <w:t>7</w:t>
      </w:r>
      <w:r>
        <w:rPr>
          <w:rFonts w:hint="eastAsia" w:ascii="宋体" w:hAnsi="宋体" w:cs="宋体"/>
          <w:color w:val="auto"/>
          <w:sz w:val="21"/>
          <w:szCs w:val="21"/>
          <w:highlight w:val="none"/>
        </w:rPr>
        <w:t>日内特快专递邮寄相关的主管部门签发的证明文件确认不可抗力事件的终止或消除。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4.如果不可抗力的影响持续超过</w:t>
      </w:r>
      <w:r>
        <w:rPr>
          <w:rFonts w:hint="eastAsia" w:ascii="宋体" w:hAnsi="宋体" w:cs="宋体"/>
          <w:color w:val="auto"/>
          <w:sz w:val="21"/>
          <w:szCs w:val="21"/>
          <w:highlight w:val="none"/>
          <w:u w:val="single"/>
        </w:rPr>
        <w:t>3个</w:t>
      </w:r>
      <w:r>
        <w:rPr>
          <w:rFonts w:hint="eastAsia" w:ascii="宋体" w:hAnsi="宋体" w:cs="宋体"/>
          <w:color w:val="auto"/>
          <w:sz w:val="21"/>
          <w:szCs w:val="21"/>
          <w:highlight w:val="none"/>
        </w:rPr>
        <w:t>月，受不可抗力影响的一方应与对方取得联系，以便解决进一步履行合同的问题。</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color w:val="auto"/>
          <w:sz w:val="21"/>
          <w:szCs w:val="21"/>
          <w:highlight w:val="none"/>
        </w:rPr>
        <w:t>5.</w:t>
      </w:r>
      <w:r>
        <w:rPr>
          <w:rFonts w:hint="eastAsia" w:ascii="宋体" w:hAnsi="宋体" w:cs="宋体"/>
          <w:bCs/>
          <w:color w:val="auto"/>
          <w:sz w:val="21"/>
          <w:szCs w:val="21"/>
          <w:highlight w:val="none"/>
        </w:rPr>
        <w:t xml:space="preserve"> 乙方应考虑因不可抗力或安全事故等突发因素导致甲方项目延期或停产而不能完成年度采购计划总量的情况，并自行承担风险。</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第十三条  合同的变更和解除</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1.双方协商一致可变更或解除本合同。合同变更或解除应采取书面形式。</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有下列情形之一者，守约方可单方解除合同：（1）因不可抗力持续时间超过【3】个月，不能实现合同目的；（2）未经对方书面同意，将合同部分或全部权利义务转让给第三方；（3）在履行期限届满之前，一方明确表示或者以自己的行为表明不履行主要债务；（4）一方迟延履行主要债务，经催告后在合理期限内仍未履行，包括乙方任何一批货物逾期交货超过三天，甲方有权单方解除本合同；（5）一方迟延履行债务或者有其他违约行为致使不能实现合同目的；（6）货物质量指标不符合甲方所需技术要求者，包括乙方累计不合格货物车次达三次或以上的，甲方有权单方解除本合同；（7）法律规定的其他情形。</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3.解除合同方在解除合同时，应履行通知对方义务。</w:t>
      </w:r>
    </w:p>
    <w:p>
      <w:pPr>
        <w:spacing w:line="360" w:lineRule="auto"/>
        <w:ind w:firstLine="420" w:firstLineChars="200"/>
        <w:rPr>
          <w:rFonts w:hint="eastAsia" w:ascii="宋体" w:hAnsi="宋体" w:cs="宋体"/>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第十四条  违约责任</w:t>
      </w:r>
    </w:p>
    <w:p>
      <w:pPr>
        <w:spacing w:line="360" w:lineRule="auto"/>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1、乙方必须严格按照合同及采购订单约定的品名、数量、价格、规格、型号、质量以及交货期限等向甲方提供货物。因乙方原因逾期交货或者货物质量不符合约定的，乙方应以如下方式向甲方承担违约责任：</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每逾期交货一天，支付逾期交货部分价款0.5%的违约金；不满一天按一天计算；逾期违约金的支付不影响乙方交货义务的履行；任何一批货物逾期交货超过三天，甲方有权单方面取消对应订单或者终止本合同，并追究乙方的违约责任。甲方有权从履约担保中扣除违约金，履约担保不足支付部分，甲方有权另行向乙方索赔。</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因乙方违约或者乙方交付的货物不符合本合同约定要求，甲方要求退货或者解除合同的，乙方应当退还甲方支付的全部货款（如有）及按中国人民银行同期同类贷款利率计算的利息、向甲方支付合同总价款2%的违约金并且赔偿甲方的全部损失。甲方有权从履约担保中扣除违约金，履约担保不足支付部分，甲方有权另行向乙方索赔。若乙方已经交付货物的，乙方应当自甲方通知解除合同之日起5个工作日内自行将所退货物运离，否则视为乙方放弃对货物的一切权利，甲方有权自行处置。由此产生的保管费、运费、处置费等一切费用及货物的损毁、灭失风险均由乙方承担。</w:t>
      </w:r>
    </w:p>
    <w:p>
      <w:pPr>
        <w:pStyle w:val="84"/>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snapToGrid w:val="0"/>
          <w:color w:val="auto"/>
          <w:sz w:val="21"/>
          <w:szCs w:val="21"/>
          <w:highlight w:val="none"/>
        </w:rPr>
        <w:t xml:space="preserve"> 每车次货物</w:t>
      </w:r>
      <w:r>
        <w:rPr>
          <w:rFonts w:hint="eastAsia" w:ascii="宋体" w:hAnsi="宋体" w:cs="宋体"/>
          <w:color w:val="auto"/>
          <w:sz w:val="21"/>
          <w:szCs w:val="21"/>
          <w:highlight w:val="none"/>
        </w:rPr>
        <w:t>甲方实验室初步检验报告、所有电厂项目中</w:t>
      </w:r>
      <w:r>
        <w:rPr>
          <w:rFonts w:hint="eastAsia" w:ascii="宋体" w:hAnsi="宋体" w:cs="宋体"/>
          <w:snapToGrid w:val="0"/>
          <w:color w:val="auto"/>
          <w:sz w:val="21"/>
          <w:szCs w:val="21"/>
          <w:highlight w:val="none"/>
        </w:rPr>
        <w:t>每月二次随机抽检的第三方检测报告及甲方对异议货物要求乙方委托第三方出具的合格检测报告（如有）作为乙方进行结算的附件，</w:t>
      </w:r>
      <w:r>
        <w:rPr>
          <w:rFonts w:hint="eastAsia" w:ascii="宋体" w:hAnsi="宋体" w:cs="宋体"/>
          <w:color w:val="auto"/>
          <w:sz w:val="21"/>
          <w:szCs w:val="21"/>
          <w:highlight w:val="none"/>
        </w:rPr>
        <w:t>若作为最终依据的</w:t>
      </w:r>
      <w:r>
        <w:rPr>
          <w:rFonts w:hint="eastAsia" w:ascii="宋体" w:hAnsi="宋体" w:cs="宋体"/>
          <w:snapToGrid w:val="0"/>
          <w:color w:val="auto"/>
          <w:sz w:val="21"/>
          <w:szCs w:val="21"/>
          <w:highlight w:val="none"/>
        </w:rPr>
        <w:t>第三方检测结果不合格，则视为该车次产品不合格。若乙方在货物质量方面不能满足甲方要求，事件发生一次，甲方将出具整改单给乙方，该不合格车次货款不予结算，且乙方须向甲方支付当月货款的2%作为违约金；</w:t>
      </w:r>
      <w:r>
        <w:rPr>
          <w:rFonts w:hint="eastAsia" w:ascii="宋体" w:hAnsi="宋体" w:cs="宋体"/>
          <w:color w:val="auto"/>
          <w:sz w:val="21"/>
          <w:szCs w:val="21"/>
          <w:highlight w:val="none"/>
        </w:rPr>
        <w:t>累计不合格货物车次达三次以上，乙方将被甲方列入严重不诚信行为名单，甲方有权单方面解除本合同，且乙方须向甲方支付合同暂定总价（</w:t>
      </w:r>
      <w:r>
        <w:rPr>
          <w:rFonts w:hint="eastAsia" w:ascii="宋体" w:hAnsi="宋体" w:cs="宋体"/>
          <w:snapToGrid w:val="0"/>
          <w:color w:val="auto"/>
          <w:sz w:val="21"/>
          <w:szCs w:val="21"/>
          <w:highlight w:val="none"/>
        </w:rPr>
        <w:t>计划供货量×中标综合单价</w:t>
      </w:r>
      <w:r>
        <w:rPr>
          <w:rFonts w:hint="eastAsia" w:ascii="宋体" w:hAnsi="宋体" w:cs="宋体"/>
          <w:color w:val="auto"/>
          <w:sz w:val="21"/>
          <w:szCs w:val="21"/>
          <w:highlight w:val="none"/>
        </w:rPr>
        <w:t>）的2%作为违约金，并赔偿甲方由此遭受的一切相关经济损失。甲方有权从履约担保中扣除违约金，履约担保不足支付部分，甲方有权另行向乙方索赔。</w:t>
      </w:r>
    </w:p>
    <w:p>
      <w:pPr>
        <w:pStyle w:val="84"/>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4.如乙方配送伪劣假冒的产品，一经查出，甲方有权立即终止本合同并追究乙方的违约责任，由此而引起的安全事故责任，由乙方承担全部责任。</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5.发生其他违约情形，违约方应赔偿由此给对方造成的损失。如属双方过错，应各自承担相应责任。</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6.乙方交付的货物不符合合同约定的数量，乙方应按甲方要求在</w:t>
      </w:r>
      <w:r>
        <w:rPr>
          <w:rFonts w:hint="eastAsia" w:ascii="宋体" w:hAnsi="宋体" w:cs="宋体"/>
          <w:color w:val="auto"/>
          <w:sz w:val="21"/>
          <w:szCs w:val="21"/>
          <w:highlight w:val="none"/>
          <w:u w:val="single"/>
        </w:rPr>
        <w:t xml:space="preserve"> 两 </w:t>
      </w:r>
      <w:r>
        <w:rPr>
          <w:rFonts w:hint="eastAsia" w:ascii="宋体" w:hAnsi="宋体" w:cs="宋体"/>
          <w:color w:val="auto"/>
          <w:sz w:val="21"/>
          <w:szCs w:val="21"/>
          <w:highlight w:val="none"/>
        </w:rPr>
        <w:t>日内补足货物数量，如在甲方通知的期限内，乙方未能进行更换或补足，则乙方应承担本合同第十四条第1款逾期交货的违约责任。同时甲方有权要求乙方赔偿因其不完全履约而造成的损失。</w:t>
      </w:r>
    </w:p>
    <w:p>
      <w:pPr>
        <w:pStyle w:val="86"/>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7.乙方擅自解除合同或者因乙方违约造成甲方解除合同的，乙方应当向甲方支付合同暂定总价（</w:t>
      </w:r>
      <w:r>
        <w:rPr>
          <w:rFonts w:hint="eastAsia" w:ascii="宋体" w:hAnsi="宋体" w:cs="宋体"/>
          <w:snapToGrid w:val="0"/>
          <w:color w:val="auto"/>
          <w:sz w:val="21"/>
          <w:szCs w:val="21"/>
          <w:highlight w:val="none"/>
        </w:rPr>
        <w:t>计划供货量×中标综合单价</w:t>
      </w:r>
      <w:r>
        <w:rPr>
          <w:rFonts w:hint="eastAsia" w:ascii="宋体" w:hAnsi="宋体" w:cs="宋体"/>
          <w:color w:val="auto"/>
          <w:sz w:val="21"/>
          <w:szCs w:val="21"/>
          <w:highlight w:val="none"/>
        </w:rPr>
        <w:t>）2%的违约金并且赔偿甲方全部损失，同时甲方没收乙方的履约保证金。</w:t>
      </w:r>
    </w:p>
    <w:p>
      <w:pPr>
        <w:tabs>
          <w:tab w:val="left" w:pos="7920"/>
        </w:tabs>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8.如乙方交付的货物质量不符合合同约定标准，导致甲方设备故障，甲方有权解除合同，并且乙方应当向甲方支付合同暂定总价（</w:t>
      </w:r>
      <w:r>
        <w:rPr>
          <w:rFonts w:hint="eastAsia" w:ascii="宋体" w:hAnsi="宋体" w:cs="宋体"/>
          <w:snapToGrid w:val="0"/>
          <w:color w:val="auto"/>
          <w:sz w:val="21"/>
          <w:szCs w:val="21"/>
          <w:highlight w:val="none"/>
        </w:rPr>
        <w:t>计划供货量×中标综合单价</w:t>
      </w:r>
      <w:r>
        <w:rPr>
          <w:rFonts w:hint="eastAsia" w:ascii="宋体" w:hAnsi="宋体" w:cs="宋体"/>
          <w:color w:val="auto"/>
          <w:sz w:val="21"/>
          <w:szCs w:val="21"/>
          <w:highlight w:val="none"/>
        </w:rPr>
        <w:t>）2%的违约金，如该费用不足抵扣设备维修费，甲方有权继续追偿。</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9.乙方违约金的支付不免除乙方在本合同项下的各项义务。</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10.本合同中所写的全部损失皆指所造成的一切实际损失与可得利益损失、甲方另外采购的货物价格高于本合同约定价格而产生的差额，并包含承担守约方为维护自身权益所产生的一切费用，包括但不限于律师费、诉讼费、保全费、公证费、公告费等。</w:t>
      </w:r>
    </w:p>
    <w:p>
      <w:pPr>
        <w:spacing w:line="360" w:lineRule="auto"/>
        <w:ind w:firstLine="422" w:firstLineChars="200"/>
        <w:rPr>
          <w:rFonts w:hint="eastAsia" w:ascii="宋体" w:hAnsi="宋体" w:cs="宋体"/>
          <w:b/>
          <w:bCs/>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第十五条  法律适用及争议解决</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1.本合同的订立、履行、变更、争议解决均适用中华人民共和国法律。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2.因本合同引起的或者在履行本合同过程中产生的任何争议，双方应当协商解决。双方协商不成时，任何一方均可向甲方所在地人民法院提起诉讼。</w:t>
      </w:r>
    </w:p>
    <w:p>
      <w:pPr>
        <w:spacing w:line="360" w:lineRule="auto"/>
        <w:ind w:firstLine="422" w:firstLineChars="200"/>
        <w:rPr>
          <w:rFonts w:hint="eastAsia" w:ascii="宋体" w:hAnsi="宋体" w:cs="宋体"/>
          <w:b/>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第十六条  合同生效及其他</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乙方应当保证甲方在使用货物、服务及其任何部份时不受到任何第三方关于侵犯专利权、商标权或其他知识产权的指控。任何第三方如果提出侵权指控，乙方须与第三方交涉，并承担由此而发生的一切法律责任和费用。乙方同意自费解决相关问题，同时保证甲方的利益免受损失，并且对销售和使用此设备引起的侵权导致的对甲方的一切损失和额外费用承担赔偿责任。</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2.任何一方对因履行本合同而获悉的对方的商业秘密负有保密义务，未经对方书面允许，不得向任何第三方披露。违反上述约定，泄露对方商业秘密的一方应当赔偿对方的全部损失。</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3.本合同未尽事项，由甲、乙双方另行议定并签订补充协议。补充协议与本合同具有同等法律效力。谈判过程中形成的资料、意向与本合同不一致的一律以本合同为准。</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4.任何一方向对方发出的通知和文件，应按照本合同记载的对方地址，用EMS特快专递或专人送达或电子邮件方式发出。如果使用EMS特快专递方式，在发出后第三日视为通知已到达对方；如果使用专人送达方式，则在对方法定代表人或授权代表或收件部门签收之日视为通知已到达对方；如果使用电子邮件方式，除电子邮件因技术问题被退回外，在通知方发出电子邮件时即视为通知已到达对方；如果同时使用几种通知方式的，以其中较快到达接收方者为准。</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5.任何一方联络方法发生变更的，应当及时书面通知另一方。在另一方收到对方变更通讯地址的通知之前，另一方根据变更前的地址所发出的通知应视为有效。</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6.本合同包括下列附件：</w:t>
      </w:r>
      <w:r>
        <w:rPr>
          <w:rFonts w:hint="eastAsia" w:ascii="宋体" w:hAnsi="宋体" w:cs="宋体"/>
          <w:color w:val="auto"/>
          <w:sz w:val="21"/>
          <w:szCs w:val="21"/>
          <w:highlight w:val="none"/>
          <w:u w:val="single"/>
        </w:rPr>
        <w:t>合同签订时补充_以及技术协议书、用户需求书、规格书、</w:t>
      </w:r>
      <w:r>
        <w:rPr>
          <w:rFonts w:hint="eastAsia" w:ascii="宋体" w:hAnsi="宋体" w:cs="宋体"/>
          <w:color w:val="auto"/>
          <w:sz w:val="21"/>
          <w:szCs w:val="21"/>
          <w:highlight w:val="none"/>
          <w:u w:val="single"/>
          <w:lang w:eastAsia="zh-CN"/>
        </w:rPr>
        <w:t>采购文件</w:t>
      </w:r>
      <w:r>
        <w:rPr>
          <w:rFonts w:hint="eastAsia" w:ascii="宋体" w:hAnsi="宋体" w:cs="宋体"/>
          <w:color w:val="auto"/>
          <w:sz w:val="21"/>
          <w:szCs w:val="21"/>
          <w:highlight w:val="none"/>
          <w:u w:val="single"/>
        </w:rPr>
        <w:t>及投标文件（如有）等</w:t>
      </w:r>
      <w:r>
        <w:rPr>
          <w:rFonts w:hint="eastAsia" w:ascii="宋体" w:hAnsi="宋体" w:cs="宋体"/>
          <w:color w:val="auto"/>
          <w:sz w:val="21"/>
          <w:szCs w:val="21"/>
          <w:highlight w:val="none"/>
        </w:rPr>
        <w:t>。该等附件均为本合同不可分割的组成部分，与本合同具有同等法律效力。合同附件与本合同内容发生冲突时，以对甲方有利的内容为准。</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7. 本合同一式_八_份，甲方执_六_份，乙方执_二_份，具有同等法律效力。</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8.双方在签署本合同前已经认真研究了合同各条内容，对合同内容无异议，同意签署。</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9.本合同自双方签字并盖章之日起生效，合同有效期自生效之日起至达到供货量止。</w:t>
      </w:r>
    </w:p>
    <w:p>
      <w:pPr>
        <w:widowControl/>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10.其他约定：</w:t>
      </w:r>
      <w:r>
        <w:rPr>
          <w:rFonts w:hint="eastAsia" w:ascii="宋体" w:hAnsi="宋体" w:cs="宋体"/>
          <w:color w:val="auto"/>
          <w:sz w:val="21"/>
          <w:szCs w:val="21"/>
          <w:highlight w:val="none"/>
          <w:u w:val="single"/>
        </w:rPr>
        <w:t>无</w:t>
      </w:r>
      <w:r>
        <w:rPr>
          <w:rFonts w:hint="eastAsia" w:ascii="宋体" w:hAnsi="宋体" w:cs="宋体"/>
          <w:color w:val="auto"/>
          <w:sz w:val="21"/>
          <w:szCs w:val="21"/>
          <w:highlight w:val="none"/>
        </w:rPr>
        <w:t>。</w:t>
      </w:r>
    </w:p>
    <w:p>
      <w:pPr>
        <w:tabs>
          <w:tab w:val="right" w:pos="8306"/>
        </w:tabs>
        <w:spacing w:line="360" w:lineRule="auto"/>
        <w:ind w:firstLine="422" w:firstLineChars="200"/>
        <w:rPr>
          <w:rFonts w:hint="eastAsia" w:ascii="宋体" w:hAnsi="宋体" w:cs="宋体"/>
          <w:b/>
          <w:bCs/>
          <w:snapToGrid w:val="0"/>
          <w:color w:val="auto"/>
          <w:sz w:val="21"/>
          <w:szCs w:val="21"/>
          <w:highlight w:val="none"/>
        </w:rPr>
      </w:pPr>
    </w:p>
    <w:p>
      <w:pPr>
        <w:tabs>
          <w:tab w:val="right" w:pos="8306"/>
        </w:tabs>
        <w:spacing w:line="360" w:lineRule="auto"/>
        <w:ind w:firstLine="422" w:firstLineChars="200"/>
        <w:rPr>
          <w:rFonts w:hint="eastAsia" w:ascii="宋体" w:hAnsi="宋体" w:cs="宋体"/>
          <w:b/>
          <w:bCs/>
          <w:snapToGrid w:val="0"/>
          <w:color w:val="auto"/>
          <w:sz w:val="21"/>
          <w:szCs w:val="21"/>
          <w:highlight w:val="none"/>
        </w:rPr>
      </w:pPr>
      <w:r>
        <w:rPr>
          <w:rFonts w:hint="eastAsia" w:ascii="宋体" w:hAnsi="宋体" w:cs="宋体"/>
          <w:b/>
          <w:bCs/>
          <w:snapToGrid w:val="0"/>
          <w:color w:val="auto"/>
          <w:sz w:val="21"/>
          <w:szCs w:val="21"/>
          <w:highlight w:val="none"/>
        </w:rPr>
        <w:t>第十七条  附件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附件一、熟石灰采购技术需求书</w:t>
      </w:r>
    </w:p>
    <w:p>
      <w:pPr>
        <w:tabs>
          <w:tab w:val="right" w:pos="8306"/>
        </w:tabs>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附件二、阳光协议</w:t>
      </w:r>
    </w:p>
    <w:p>
      <w:pPr>
        <w:tabs>
          <w:tab w:val="right" w:pos="8306"/>
        </w:tabs>
        <w:spacing w:line="360" w:lineRule="auto"/>
        <w:ind w:firstLine="420" w:firstLineChars="200"/>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（以下为各方签署页，无正文）</w:t>
      </w:r>
    </w:p>
    <w:p>
      <w:pPr>
        <w:spacing w:line="360" w:lineRule="auto"/>
        <w:rPr>
          <w:rFonts w:hint="eastAsia" w:ascii="宋体" w:hAnsi="宋体" w:cs="宋体"/>
          <w:b/>
          <w:color w:val="auto"/>
          <w:sz w:val="21"/>
          <w:szCs w:val="21"/>
          <w:highlight w:val="none"/>
        </w:rPr>
      </w:pPr>
      <w:r>
        <w:rPr>
          <w:rFonts w:ascii="宋体" w:hAnsi="宋体" w:cs="宋体"/>
          <w:b/>
          <w:color w:val="auto"/>
          <w:sz w:val="21"/>
          <w:szCs w:val="21"/>
          <w:highlight w:val="none"/>
        </w:rPr>
        <w:br w:type="page"/>
      </w:r>
      <w:r>
        <w:rPr>
          <w:rFonts w:hint="eastAsia" w:ascii="宋体" w:hAnsi="宋体" w:cs="宋体"/>
          <w:b/>
          <w:color w:val="auto"/>
          <w:sz w:val="21"/>
          <w:szCs w:val="21"/>
          <w:highlight w:val="none"/>
        </w:rPr>
        <w:t>（盖章页）</w:t>
      </w:r>
    </w:p>
    <w:p>
      <w:pPr>
        <w:spacing w:line="360" w:lineRule="auto"/>
        <w:ind w:firstLine="422" w:firstLineChars="200"/>
        <w:rPr>
          <w:rFonts w:hint="eastAsia" w:ascii="宋体" w:hAnsi="宋体" w:cs="宋体"/>
          <w:b/>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甲方：                  </w:t>
      </w:r>
      <w:r>
        <w:rPr>
          <w:rFonts w:ascii="宋体" w:hAnsi="宋体" w:cs="宋体"/>
          <w:b/>
          <w:color w:val="auto"/>
          <w:sz w:val="21"/>
          <w:szCs w:val="21"/>
          <w:highlight w:val="none"/>
        </w:rPr>
        <w:t xml:space="preserve">                    </w:t>
      </w:r>
      <w:r>
        <w:rPr>
          <w:rFonts w:hint="eastAsia" w:ascii="宋体" w:hAnsi="宋体" w:cs="宋体"/>
          <w:b/>
          <w:color w:val="auto"/>
          <w:sz w:val="21"/>
          <w:szCs w:val="21"/>
          <w:highlight w:val="none"/>
        </w:rPr>
        <w:t>乙方：</w:t>
      </w:r>
    </w:p>
    <w:p>
      <w:pPr>
        <w:spacing w:line="360" w:lineRule="auto"/>
        <w:ind w:firstLine="422" w:firstLineChars="200"/>
        <w:rPr>
          <w:rFonts w:hint="eastAsia" w:ascii="宋体" w:hAnsi="宋体" w:cs="宋体"/>
          <w:b/>
          <w:color w:val="auto"/>
          <w:sz w:val="21"/>
          <w:szCs w:val="21"/>
          <w:highlight w:val="none"/>
        </w:rPr>
      </w:pPr>
    </w:p>
    <w:p>
      <w:pPr>
        <w:spacing w:line="360" w:lineRule="auto"/>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法定代表人或授权代理人：                    法定代表人或授权代理人：  </w:t>
      </w:r>
    </w:p>
    <w:p>
      <w:pPr>
        <w:spacing w:line="360" w:lineRule="auto"/>
        <w:ind w:firstLine="422" w:firstLineChars="200"/>
        <w:rPr>
          <w:rFonts w:hint="eastAsia" w:ascii="宋体" w:hAnsi="宋体" w:cs="宋体"/>
          <w:b/>
          <w:color w:val="auto"/>
          <w:sz w:val="21"/>
          <w:szCs w:val="21"/>
          <w:highlight w:val="none"/>
        </w:rPr>
      </w:pPr>
    </w:p>
    <w:p>
      <w:pPr>
        <w:spacing w:line="360" w:lineRule="auto"/>
        <w:ind w:firstLine="422" w:firstLineChars="200"/>
        <w:rPr>
          <w:color w:val="auto"/>
          <w:highlight w:val="none"/>
        </w:rPr>
      </w:pPr>
      <w:r>
        <w:rPr>
          <w:rFonts w:hint="eastAsia" w:ascii="宋体" w:hAnsi="宋体" w:cs="宋体"/>
          <w:b/>
          <w:color w:val="auto"/>
          <w:sz w:val="21"/>
          <w:szCs w:val="21"/>
          <w:highlight w:val="none"/>
        </w:rPr>
        <w:t xml:space="preserve">签订日期：                                  签订日期： </w:t>
      </w: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r>
        <w:rPr>
          <w:rFonts w:eastAsia="宋体"/>
          <w:color w:val="auto"/>
          <w:highlight w:val="none"/>
          <w:lang w:bidi="zh-CN"/>
        </w:rPr>
        <w:br w:type="page"/>
      </w:r>
    </w:p>
    <w:p>
      <w:pPr>
        <w:bidi w:val="0"/>
        <w:rPr>
          <w:rFonts w:hint="eastAsia" w:eastAsia="宋体"/>
          <w:color w:val="auto"/>
          <w:highlight w:val="none"/>
          <w:lang w:eastAsia="zh-CN"/>
        </w:rPr>
      </w:pPr>
      <w:r>
        <w:rPr>
          <w:rFonts w:hint="eastAsia" w:ascii="宋体" w:hAnsi="宋体" w:cs="宋体"/>
          <w:color w:val="auto"/>
          <w:sz w:val="21"/>
          <w:szCs w:val="21"/>
          <w:highlight w:val="none"/>
        </w:rPr>
        <w:t>附件二</w:t>
      </w:r>
      <w:r>
        <w:rPr>
          <w:rFonts w:hint="eastAsia" w:ascii="宋体" w:hAnsi="宋体" w:cs="宋体"/>
          <w:color w:val="auto"/>
          <w:sz w:val="21"/>
          <w:szCs w:val="21"/>
          <w:highlight w:val="none"/>
          <w:lang w:eastAsia="zh-CN"/>
        </w:rPr>
        <w:t>：</w:t>
      </w:r>
    </w:p>
    <w:p>
      <w:pPr>
        <w:spacing w:line="480" w:lineRule="exact"/>
        <w:jc w:val="center"/>
        <w:outlineLvl w:val="1"/>
        <w:rPr>
          <w:rFonts w:ascii="宋体" w:hAnsi="宋体" w:cs="宋体"/>
          <w:b/>
          <w:color w:val="auto"/>
          <w:sz w:val="44"/>
          <w:szCs w:val="44"/>
          <w:highlight w:val="none"/>
        </w:rPr>
      </w:pPr>
      <w:bookmarkStart w:id="94" w:name="_Toc29965"/>
      <w:bookmarkStart w:id="95" w:name="_Toc2644"/>
      <w:r>
        <w:rPr>
          <w:rFonts w:hint="eastAsia" w:ascii="宋体" w:hAnsi="宋体" w:cs="宋体"/>
          <w:b/>
          <w:color w:val="auto"/>
          <w:sz w:val="44"/>
          <w:szCs w:val="44"/>
          <w:highlight w:val="none"/>
        </w:rPr>
        <w:t>阳光合作协议</w:t>
      </w:r>
      <w:bookmarkEnd w:id="94"/>
      <w:bookmarkEnd w:id="95"/>
    </w:p>
    <w:p>
      <w:pPr>
        <w:spacing w:line="480" w:lineRule="exact"/>
        <w:jc w:val="center"/>
        <w:rPr>
          <w:rFonts w:ascii="宋体" w:hAnsi="宋体" w:cs="宋体"/>
          <w:b/>
          <w:color w:val="auto"/>
          <w:sz w:val="28"/>
          <w:szCs w:val="28"/>
          <w:highlight w:val="none"/>
        </w:rPr>
      </w:pPr>
    </w:p>
    <w:p>
      <w:pPr>
        <w:spacing w:before="180" w:beforeLines="50" w:after="180" w:afterLines="50" w:line="480" w:lineRule="exact"/>
        <w:ind w:firstLine="420" w:firstLineChars="200"/>
        <w:contextualSpacing/>
        <w:rPr>
          <w:rFonts w:ascii="宋体" w:hAnsi="宋体" w:cs="宋体"/>
          <w:color w:val="auto"/>
          <w:highlight w:val="none"/>
        </w:rPr>
      </w:pPr>
      <w:r>
        <w:rPr>
          <w:rFonts w:hint="eastAsia" w:ascii="宋体" w:hAnsi="宋体" w:cs="宋体"/>
          <w:color w:val="auto"/>
          <w:highlight w:val="none"/>
        </w:rPr>
        <w:t>甲方（采购人全称）：</w:t>
      </w:r>
    </w:p>
    <w:p>
      <w:pPr>
        <w:pStyle w:val="67"/>
        <w:spacing w:line="480" w:lineRule="exact"/>
        <w:ind w:firstLine="420" w:firstLineChars="200"/>
        <w:rPr>
          <w:rFonts w:ascii="宋体" w:hAnsi="宋体" w:cs="宋体"/>
          <w:color w:val="auto"/>
          <w:kern w:val="2"/>
          <w:sz w:val="21"/>
          <w:szCs w:val="24"/>
          <w:highlight w:val="none"/>
        </w:rPr>
      </w:pPr>
      <w:r>
        <w:rPr>
          <w:rFonts w:hint="eastAsia" w:ascii="宋体" w:hAnsi="宋体" w:cs="宋体"/>
          <w:color w:val="auto"/>
          <w:kern w:val="2"/>
          <w:sz w:val="21"/>
          <w:szCs w:val="24"/>
          <w:highlight w:val="none"/>
        </w:rPr>
        <w:t>乙方（中标人全称）：</w:t>
      </w:r>
    </w:p>
    <w:p>
      <w:pPr>
        <w:spacing w:before="180" w:beforeLines="50" w:after="180" w:afterLines="50"/>
        <w:ind w:firstLine="420" w:firstLineChars="200"/>
        <w:contextualSpacing/>
        <w:rPr>
          <w:rFonts w:ascii="宋体" w:hAnsi="宋体" w:cs="宋体"/>
          <w:color w:val="auto"/>
          <w:highlight w:val="none"/>
        </w:rPr>
      </w:pPr>
      <w:r>
        <w:rPr>
          <w:rFonts w:hint="eastAsia" w:ascii="宋体" w:hAnsi="宋体" w:cs="宋体"/>
          <w:color w:val="auto"/>
          <w:highlight w:val="none"/>
        </w:rPr>
        <w:t>甲乙双方于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日签署了《</w:t>
      </w:r>
      <w:r>
        <w:rPr>
          <w:rFonts w:hint="eastAsia" w:ascii="宋体" w:hAnsi="宋体" w:cs="宋体"/>
          <w:color w:val="auto"/>
          <w:highlight w:val="none"/>
          <w:u w:val="single"/>
        </w:rPr>
        <w:t xml:space="preserve">       </w:t>
      </w:r>
      <w:r>
        <w:rPr>
          <w:rFonts w:hint="eastAsia" w:ascii="宋体" w:hAnsi="宋体" w:cs="宋体"/>
          <w:color w:val="auto"/>
          <w:highlight w:val="none"/>
        </w:rPr>
        <w:t>合同》（以下简称原合同），为加强双方阳光合作，保证职员职业安全，甲乙双方经协商签订本协议并作为双方共同遵守的阳光合作行为准则。</w:t>
      </w:r>
    </w:p>
    <w:p>
      <w:pPr>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360" w:lineRule="auto"/>
        <w:ind w:leftChars="200"/>
        <w:contextualSpacing/>
        <w:jc w:val="left"/>
        <w:textAlignment w:val="auto"/>
        <w:rPr>
          <w:rFonts w:ascii="宋体" w:hAnsi="宋体"/>
          <w:b/>
          <w:color w:val="auto"/>
          <w:highlight w:val="none"/>
        </w:rPr>
      </w:pPr>
      <w:r>
        <w:rPr>
          <w:rFonts w:hint="eastAsia" w:ascii="宋体" w:hAnsi="宋体"/>
          <w:b/>
          <w:color w:val="auto"/>
          <w:highlight w:val="none"/>
          <w:lang w:val="en-US" w:eastAsia="zh-CN"/>
        </w:rPr>
        <w:t>一、</w:t>
      </w:r>
      <w:r>
        <w:rPr>
          <w:rFonts w:hint="eastAsia" w:ascii="宋体" w:hAnsi="宋体"/>
          <w:b/>
          <w:color w:val="auto"/>
          <w:highlight w:val="none"/>
        </w:rPr>
        <w:t>甲方责任</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1.甲方有责任向乙方介绍本单位有关采购管理通用原则和本协议的规定。</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2.甲方有责任对本单位相关人员进行阳光合作教育。</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4.甲方人员如违反阳光合作管理制度及本协议规定，甲方视情节轻重、影响大小给予行政及经济处罚。</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5．对于乙方举报甲方人员违反阳光合作规定的情况，甲方应及时进行调查，根据调查情况进行处理，并将调查结果向乙方反馈。</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6.接受举报的一方应为举报方保密，不得对举报方进行报复，对举报属实和严格遵守《阳光合作协议》的合作方，在同等条件下给予后续合作的优先权。</w:t>
      </w:r>
    </w:p>
    <w:p>
      <w:pPr>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360" w:lineRule="auto"/>
        <w:ind w:leftChars="200"/>
        <w:contextualSpacing/>
        <w:jc w:val="left"/>
        <w:textAlignment w:val="auto"/>
        <w:rPr>
          <w:rFonts w:ascii="宋体" w:hAnsi="宋体"/>
          <w:b/>
          <w:color w:val="auto"/>
          <w:highlight w:val="none"/>
        </w:rPr>
      </w:pPr>
      <w:r>
        <w:rPr>
          <w:rFonts w:hint="eastAsia" w:ascii="宋体" w:hAnsi="宋体"/>
          <w:b/>
          <w:color w:val="auto"/>
          <w:highlight w:val="none"/>
          <w:lang w:val="en-US" w:eastAsia="zh-CN"/>
        </w:rPr>
        <w:t>二、</w:t>
      </w:r>
      <w:r>
        <w:rPr>
          <w:rFonts w:hint="eastAsia" w:ascii="宋体" w:hAnsi="宋体"/>
          <w:b/>
          <w:color w:val="auto"/>
          <w:highlight w:val="none"/>
        </w:rPr>
        <w:t>乙方责任</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1.乙方应保证乙方人员了解甲方有关采购管理通用原则和及本协议的规定，并遵照执行。</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2.乙方不得以任何形式给予甲方人员回扣、赠送实物、现金、有价证券、礼券等有价物品或提供旅游等其他可能影响职务行为公正履行的活动（以下统称“财物”）。</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3.乙方有责任接受甲方对乙方在合作期间阳光合作管理执行情况的监督，并对甲方相关调查工作主动配合。</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4.乙方有义务就甲方人员任何形式的索取或收受财物行为及时向甲方（直接联系人为东莞实业投资控股集团有限公司</w:t>
      </w:r>
      <w:r>
        <w:rPr>
          <w:rFonts w:hint="eastAsia" w:ascii="宋体" w:hAnsi="宋体"/>
          <w:color w:val="auto"/>
          <w:highlight w:val="none"/>
          <w:lang w:val="en-US" w:eastAsia="zh-CN"/>
        </w:rPr>
        <w:t>法律合规</w:t>
      </w:r>
      <w:r>
        <w:rPr>
          <w:rFonts w:hint="eastAsia" w:ascii="宋体" w:hAnsi="宋体"/>
          <w:color w:val="auto"/>
          <w:highlight w:val="none"/>
        </w:rPr>
        <w:t>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5．甲方接受乙方实名或匿名举报，保证为举报者的信息保密，常设举报部门及电</w:t>
      </w:r>
      <w:r>
        <w:rPr>
          <w:rFonts w:hint="eastAsia" w:ascii="宋体" w:hAnsi="宋体" w:eastAsia="宋体"/>
          <w:color w:val="auto"/>
          <w:highlight w:val="none"/>
          <w:lang w:val="en-US" w:eastAsia="zh-CN"/>
        </w:rPr>
        <w:t>话</w:t>
      </w:r>
      <w:r>
        <w:rPr>
          <w:rFonts w:hint="eastAsia" w:ascii="宋体" w:hAnsi="宋体"/>
          <w:color w:val="auto"/>
          <w:highlight w:val="none"/>
        </w:rPr>
        <w:t xml:space="preserve">： </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举报受理部门：东莞实业投资控股集团有限公司</w:t>
      </w:r>
      <w:r>
        <w:rPr>
          <w:rFonts w:hint="eastAsia" w:ascii="宋体" w:hAnsi="宋体"/>
          <w:color w:val="auto"/>
          <w:highlight w:val="none"/>
          <w:lang w:val="en-US" w:eastAsia="zh-CN"/>
        </w:rPr>
        <w:t>法律合规</w:t>
      </w:r>
      <w:r>
        <w:rPr>
          <w:rFonts w:hint="eastAsia" w:ascii="宋体" w:hAnsi="宋体"/>
          <w:color w:val="auto"/>
          <w:highlight w:val="none"/>
        </w:rPr>
        <w:t>部</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东实集团举报邮箱：dgsyxf@163.com</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东实集团举报电话：0769-28820703（周一至周五9:00-12:00和14:00-18:00）</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邮寄地址：东莞市东城区八一路1号机关二号大院9号楼，东莞实业投资控股集团有限公司</w:t>
      </w:r>
      <w:r>
        <w:rPr>
          <w:rFonts w:hint="eastAsia" w:ascii="宋体" w:hAnsi="宋体"/>
          <w:color w:val="auto"/>
          <w:highlight w:val="none"/>
          <w:lang w:val="en-US" w:eastAsia="zh-CN"/>
        </w:rPr>
        <w:t>法律合规</w:t>
      </w:r>
      <w:r>
        <w:rPr>
          <w:rFonts w:hint="eastAsia" w:ascii="宋体" w:hAnsi="宋体"/>
          <w:color w:val="auto"/>
          <w:highlight w:val="none"/>
        </w:rPr>
        <w:t>部收，邮编523000。</w:t>
      </w:r>
    </w:p>
    <w:p>
      <w:pPr>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360" w:lineRule="auto"/>
        <w:ind w:leftChars="200"/>
        <w:contextualSpacing/>
        <w:jc w:val="left"/>
        <w:textAlignment w:val="auto"/>
        <w:rPr>
          <w:rFonts w:ascii="宋体" w:hAnsi="宋体"/>
          <w:b/>
          <w:color w:val="auto"/>
          <w:highlight w:val="none"/>
        </w:rPr>
      </w:pPr>
      <w:r>
        <w:rPr>
          <w:rFonts w:hint="eastAsia" w:ascii="宋体" w:hAnsi="宋体"/>
          <w:b/>
          <w:color w:val="auto"/>
          <w:highlight w:val="none"/>
          <w:lang w:val="en-US" w:eastAsia="zh-CN"/>
        </w:rPr>
        <w:t>三、</w:t>
      </w:r>
      <w:r>
        <w:rPr>
          <w:rFonts w:hint="eastAsia" w:ascii="宋体" w:hAnsi="宋体"/>
          <w:b/>
          <w:color w:val="auto"/>
          <w:highlight w:val="none"/>
        </w:rPr>
        <w:t>其他</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1.本协议是原合同的补充协议，与原合同有同等法律效力。</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2.</w:t>
      </w:r>
      <w:r>
        <w:rPr>
          <w:rFonts w:ascii="宋体" w:hAnsi="宋体"/>
          <w:color w:val="auto"/>
          <w:highlight w:val="none"/>
        </w:rPr>
        <w:t>本</w:t>
      </w:r>
      <w:r>
        <w:rPr>
          <w:rFonts w:hint="eastAsia" w:ascii="宋体" w:hAnsi="宋体"/>
          <w:color w:val="auto"/>
          <w:highlight w:val="none"/>
        </w:rPr>
        <w:t>协议</w:t>
      </w:r>
      <w:r>
        <w:rPr>
          <w:rFonts w:ascii="宋体" w:hAnsi="宋体"/>
          <w:color w:val="auto"/>
          <w:highlight w:val="none"/>
        </w:rPr>
        <w:t>一式</w:t>
      </w:r>
      <w:r>
        <w:rPr>
          <w:rFonts w:hint="eastAsia" w:ascii="宋体" w:hAnsi="宋体"/>
          <w:color w:val="auto"/>
          <w:highlight w:val="none"/>
          <w:lang w:val="en-US" w:eastAsia="zh-CN"/>
        </w:rPr>
        <w:t>伍</w:t>
      </w:r>
      <w:r>
        <w:rPr>
          <w:rFonts w:ascii="宋体" w:hAnsi="宋体"/>
          <w:color w:val="auto"/>
          <w:highlight w:val="none"/>
        </w:rPr>
        <w:t>份，甲方执</w:t>
      </w:r>
      <w:r>
        <w:rPr>
          <w:rFonts w:hint="eastAsia" w:ascii="宋体" w:hAnsi="宋体"/>
          <w:color w:val="auto"/>
          <w:highlight w:val="none"/>
          <w:lang w:val="en-US" w:eastAsia="zh-CN"/>
        </w:rPr>
        <w:t>叁</w:t>
      </w:r>
      <w:r>
        <w:rPr>
          <w:rFonts w:ascii="宋体" w:hAnsi="宋体"/>
          <w:color w:val="auto"/>
          <w:highlight w:val="none"/>
        </w:rPr>
        <w:t>份，乙方执</w:t>
      </w:r>
      <w:r>
        <w:rPr>
          <w:rFonts w:hint="eastAsia" w:ascii="宋体" w:hAnsi="宋体"/>
          <w:color w:val="auto"/>
          <w:highlight w:val="none"/>
        </w:rPr>
        <w:t>贰</w:t>
      </w:r>
      <w:r>
        <w:rPr>
          <w:rFonts w:ascii="宋体" w:hAnsi="宋体"/>
          <w:color w:val="auto"/>
          <w:highlight w:val="none"/>
        </w:rPr>
        <w:t>份</w:t>
      </w:r>
      <w:r>
        <w:rPr>
          <w:rFonts w:hint="eastAsia" w:ascii="宋体" w:hAnsi="宋体"/>
          <w:color w:val="auto"/>
          <w:highlight w:val="none"/>
        </w:rPr>
        <w:t>,具有同等法律效力。</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left="105" w:leftChars="50" w:firstLine="420" w:firstLineChars="200"/>
        <w:contextualSpacing/>
        <w:textAlignment w:val="auto"/>
        <w:rPr>
          <w:rFonts w:ascii="宋体" w:hAnsi="宋体"/>
          <w:color w:val="auto"/>
          <w:highlight w:val="none"/>
        </w:rPr>
      </w:pPr>
      <w:r>
        <w:rPr>
          <w:rFonts w:hint="eastAsia" w:ascii="宋体" w:hAnsi="宋体"/>
          <w:color w:val="auto"/>
          <w:highlight w:val="none"/>
        </w:rPr>
        <w:t>3.本协议经双方签署后生效。</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firstLine="420" w:firstLineChars="200"/>
        <w:contextualSpacing/>
        <w:textAlignment w:val="auto"/>
        <w:rPr>
          <w:rFonts w:ascii="宋体" w:hAnsi="宋体"/>
          <w:color w:val="auto"/>
          <w:highlight w:val="none"/>
        </w:rPr>
      </w:pP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firstLine="420" w:firstLineChars="200"/>
        <w:contextualSpacing/>
        <w:textAlignment w:val="auto"/>
        <w:rPr>
          <w:rFonts w:ascii="宋体"/>
          <w:color w:val="auto"/>
          <w:highlight w:val="none"/>
        </w:rPr>
      </w:pPr>
      <w:r>
        <w:rPr>
          <w:rFonts w:hint="eastAsia" w:ascii="宋体" w:hAnsi="宋体"/>
          <w:color w:val="auto"/>
          <w:highlight w:val="none"/>
        </w:rPr>
        <w:t>甲方（盖章）：                      乙方（盖章）：</w:t>
      </w:r>
      <w:r>
        <w:rPr>
          <w:rFonts w:ascii="宋体"/>
          <w:color w:val="auto"/>
          <w:highlight w:val="none"/>
        </w:rPr>
        <w:t xml:space="preserve"> </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firstLine="420" w:firstLineChars="200"/>
        <w:contextualSpacing/>
        <w:textAlignment w:val="auto"/>
        <w:rPr>
          <w:rFonts w:ascii="宋体" w:hAnsi="宋体"/>
          <w:color w:val="auto"/>
          <w:highlight w:val="none"/>
        </w:rPr>
      </w:pP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firstLine="420" w:firstLineChars="200"/>
        <w:contextualSpacing/>
        <w:textAlignment w:val="auto"/>
        <w:rPr>
          <w:rFonts w:ascii="宋体"/>
          <w:color w:val="auto"/>
          <w:highlight w:val="none"/>
        </w:rPr>
      </w:pPr>
      <w:r>
        <w:rPr>
          <w:rFonts w:hint="eastAsia" w:ascii="宋体" w:hAnsi="宋体"/>
          <w:color w:val="auto"/>
          <w:highlight w:val="none"/>
        </w:rPr>
        <w:t>法定代表人（授权代表）：</w:t>
      </w:r>
      <w:r>
        <w:rPr>
          <w:rFonts w:hint="eastAsia" w:ascii="宋体"/>
          <w:color w:val="auto"/>
          <w:highlight w:val="none"/>
        </w:rPr>
        <w:tab/>
      </w:r>
      <w:r>
        <w:rPr>
          <w:rFonts w:hint="eastAsia" w:ascii="宋体"/>
          <w:color w:val="auto"/>
          <w:highlight w:val="none"/>
        </w:rPr>
        <w:tab/>
      </w:r>
      <w:r>
        <w:rPr>
          <w:rFonts w:hint="eastAsia" w:ascii="宋体"/>
          <w:color w:val="auto"/>
          <w:highlight w:val="none"/>
        </w:rPr>
        <w:t xml:space="preserve">  </w:t>
      </w:r>
      <w:r>
        <w:rPr>
          <w:rFonts w:hint="eastAsia" w:ascii="宋体"/>
          <w:color w:val="auto"/>
          <w:highlight w:val="none"/>
        </w:rPr>
        <w:tab/>
      </w:r>
      <w:r>
        <w:rPr>
          <w:rFonts w:hint="eastAsia" w:ascii="宋体" w:hAnsi="宋体"/>
          <w:color w:val="auto"/>
          <w:highlight w:val="none"/>
        </w:rPr>
        <w:t>法定代表人（授权代表）：</w:t>
      </w: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firstLine="420" w:firstLineChars="200"/>
        <w:contextualSpacing/>
        <w:textAlignment w:val="auto"/>
        <w:rPr>
          <w:rFonts w:ascii="宋体" w:hAnsi="宋体"/>
          <w:color w:val="auto"/>
          <w:highlight w:val="none"/>
        </w:rPr>
      </w:pPr>
    </w:p>
    <w:p>
      <w:pPr>
        <w:keepNext w:val="0"/>
        <w:keepLines w:val="0"/>
        <w:pageBreakBefore w:val="0"/>
        <w:kinsoku/>
        <w:wordWrap/>
        <w:overflowPunct/>
        <w:topLinePunct w:val="0"/>
        <w:autoSpaceDE/>
        <w:autoSpaceDN/>
        <w:bidi w:val="0"/>
        <w:adjustRightInd/>
        <w:snapToGrid w:val="0"/>
        <w:spacing w:before="156" w:beforeLines="50" w:after="156" w:afterLines="50" w:line="360" w:lineRule="auto"/>
        <w:ind w:firstLine="420" w:firstLineChars="200"/>
        <w:contextualSpacing/>
        <w:textAlignment w:val="auto"/>
        <w:rPr>
          <w:color w:val="auto"/>
          <w:highlight w:val="none"/>
        </w:rPr>
      </w:pPr>
      <w:r>
        <w:rPr>
          <w:rFonts w:hint="eastAsia" w:ascii="宋体" w:hAnsi="宋体"/>
          <w:color w:val="auto"/>
          <w:highlight w:val="none"/>
        </w:rPr>
        <w:t>签约日期：   年   月   日</w:t>
      </w:r>
      <w:r>
        <w:rPr>
          <w:color w:val="auto"/>
          <w:highlight w:val="none"/>
        </w:rPr>
        <w:tab/>
      </w:r>
      <w:r>
        <w:rPr>
          <w:color w:val="auto"/>
          <w:highlight w:val="none"/>
        </w:rPr>
        <w:t xml:space="preserve">    </w:t>
      </w:r>
      <w:r>
        <w:rPr>
          <w:rFonts w:hint="eastAsia"/>
          <w:color w:val="auto"/>
          <w:highlight w:val="none"/>
        </w:rPr>
        <w:t xml:space="preserve">   </w:t>
      </w:r>
      <w:r>
        <w:rPr>
          <w:rFonts w:hint="eastAsia" w:ascii="宋体" w:hAnsi="宋体"/>
          <w:color w:val="auto"/>
          <w:highlight w:val="none"/>
        </w:rPr>
        <w:t>签约日期：   年   月   日</w:t>
      </w:r>
    </w:p>
    <w:p>
      <w:pPr>
        <w:spacing w:before="180" w:beforeLines="50" w:after="180" w:afterLines="50"/>
        <w:ind w:firstLine="420" w:firstLineChars="200"/>
        <w:contextualSpacing/>
        <w:rPr>
          <w:rFonts w:ascii="宋体" w:hAnsi="宋体" w:cs="宋体"/>
          <w:color w:val="auto"/>
          <w:highlight w:val="none"/>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rFonts w:eastAsia="宋体"/>
          <w:color w:val="auto"/>
          <w:highlight w:val="none"/>
          <w:lang w:bidi="zh-CN"/>
        </w:rPr>
      </w:pPr>
    </w:p>
    <w:p>
      <w:pPr>
        <w:rPr>
          <w:color w:val="auto"/>
          <w:highlight w:val="none"/>
        </w:rPr>
      </w:pPr>
      <w:r>
        <w:rPr>
          <w:color w:val="auto"/>
          <w:highlight w:val="none"/>
          <w:lang w:bidi="zh-CN"/>
        </w:rPr>
        <w:br w:type="page"/>
      </w:r>
    </w:p>
    <w:p>
      <w:pPr>
        <w:pStyle w:val="3"/>
        <w:spacing w:before="0" w:after="0" w:line="240" w:lineRule="auto"/>
        <w:rPr>
          <w:color w:val="auto"/>
          <w:sz w:val="28"/>
          <w:szCs w:val="28"/>
          <w:highlight w:val="none"/>
        </w:rPr>
      </w:pPr>
      <w:bookmarkStart w:id="96" w:name="_Toc31308"/>
      <w:r>
        <w:rPr>
          <w:rFonts w:hint="eastAsia"/>
          <w:color w:val="auto"/>
          <w:sz w:val="28"/>
          <w:szCs w:val="28"/>
          <w:highlight w:val="none"/>
        </w:rPr>
        <w:t>第六部分附件－投标文件格式</w:t>
      </w:r>
      <w:bookmarkEnd w:id="96"/>
    </w:p>
    <w:p>
      <w:pPr>
        <w:jc w:val="center"/>
        <w:rPr>
          <w:rFonts w:hint="eastAsia" w:ascii="宋体" w:hAnsi="宋体" w:eastAsia="宋体" w:cs="宋体"/>
          <w:b/>
          <w:bCs/>
          <w:color w:val="auto"/>
          <w:sz w:val="32"/>
          <w:szCs w:val="32"/>
          <w:highlight w:val="none"/>
        </w:rPr>
      </w:pPr>
    </w:p>
    <w:p>
      <w:pPr>
        <w:bidi w:val="0"/>
        <w:rPr>
          <w:rFonts w:hint="eastAsia"/>
          <w:color w:val="auto"/>
          <w:highlight w:val="none"/>
        </w:rPr>
      </w:pPr>
    </w:p>
    <w:p>
      <w:pPr>
        <w:pStyle w:val="5"/>
        <w:widowControl w:val="0"/>
        <w:overflowPunct w:val="0"/>
        <w:spacing w:line="240" w:lineRule="auto"/>
        <w:rPr>
          <w:rFonts w:ascii="宋体" w:hAnsi="宋体"/>
          <w:color w:val="auto"/>
          <w:sz w:val="21"/>
          <w:szCs w:val="21"/>
          <w:highlight w:val="none"/>
        </w:rPr>
      </w:pPr>
      <w:bookmarkStart w:id="97" w:name="_Toc23713"/>
      <w:r>
        <w:rPr>
          <w:rFonts w:hint="eastAsia" w:ascii="宋体" w:hAnsi="宋体"/>
          <w:color w:val="auto"/>
          <w:sz w:val="21"/>
          <w:szCs w:val="21"/>
          <w:highlight w:val="none"/>
        </w:rPr>
        <w:t>投标文件目录</w:t>
      </w:r>
      <w:bookmarkEnd w:id="97"/>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目录</w:t>
      </w:r>
    </w:p>
    <w:p>
      <w:pPr>
        <w:adjustRightInd/>
        <w:snapToGrid/>
        <w:spacing w:line="276" w:lineRule="auto"/>
        <w:rPr>
          <w:rFonts w:ascii="宋体" w:hAnsi="宋体"/>
          <w:color w:val="auto"/>
          <w:szCs w:val="21"/>
          <w:highlight w:val="none"/>
        </w:rPr>
      </w:pPr>
      <w:r>
        <w:rPr>
          <w:rFonts w:hint="eastAsia" w:ascii="宋体" w:hAnsi="宋体"/>
          <w:color w:val="auto"/>
          <w:szCs w:val="21"/>
          <w:highlight w:val="none"/>
        </w:rPr>
        <w:t>格式自理。</w:t>
      </w: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r>
        <w:rPr>
          <w:rFonts w:hint="eastAsia" w:ascii="宋体" w:hAnsi="宋体"/>
          <w:color w:val="auto"/>
          <w:szCs w:val="21"/>
          <w:highlight w:val="none"/>
        </w:rPr>
        <w:t>注：</w:t>
      </w:r>
    </w:p>
    <w:p>
      <w:pPr>
        <w:adjustRightInd/>
        <w:snapToGrid/>
        <w:spacing w:line="276" w:lineRule="auto"/>
        <w:rPr>
          <w:rFonts w:ascii="宋体" w:hAnsi="宋体"/>
          <w:color w:val="auto"/>
          <w:szCs w:val="21"/>
          <w:highlight w:val="none"/>
        </w:rPr>
      </w:pPr>
      <w:r>
        <w:rPr>
          <w:rFonts w:hint="eastAsia" w:ascii="宋体" w:hAnsi="宋体"/>
          <w:color w:val="auto"/>
          <w:szCs w:val="21"/>
          <w:highlight w:val="none"/>
        </w:rPr>
        <w:t>1、投标人制作的投标文件应当具备目录。</w:t>
      </w:r>
      <w:r>
        <w:rPr>
          <w:rFonts w:ascii="宋体" w:hAnsi="宋体"/>
          <w:color w:val="auto"/>
          <w:szCs w:val="21"/>
          <w:highlight w:val="none"/>
        </w:rPr>
        <w:br w:type="page"/>
      </w:r>
    </w:p>
    <w:p>
      <w:pPr>
        <w:pStyle w:val="5"/>
        <w:widowControl w:val="0"/>
        <w:overflowPunct w:val="0"/>
        <w:spacing w:line="240" w:lineRule="auto"/>
        <w:rPr>
          <w:rFonts w:ascii="宋体" w:hAnsi="宋体"/>
          <w:color w:val="auto"/>
          <w:sz w:val="21"/>
          <w:szCs w:val="21"/>
          <w:highlight w:val="none"/>
        </w:rPr>
      </w:pPr>
      <w:bookmarkStart w:id="98" w:name="_Toc26585"/>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响应索引表</w:t>
      </w:r>
      <w:bookmarkEnd w:id="98"/>
    </w:p>
    <w:p>
      <w:pPr>
        <w:adjustRightInd/>
        <w:snapToGrid/>
        <w:spacing w:line="276" w:lineRule="auto"/>
        <w:rPr>
          <w:rFonts w:ascii="宋体" w:hAnsi="宋体"/>
          <w:color w:val="auto"/>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lang w:val="en-US" w:eastAsia="zh-CN"/>
        </w:rPr>
        <w:t>响应索引表</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评审项目</w:t>
            </w:r>
          </w:p>
        </w:tc>
        <w:tc>
          <w:tcPr>
            <w:tcW w:w="1704" w:type="dxa"/>
            <w:vAlign w:val="center"/>
          </w:tcPr>
          <w:p>
            <w:pPr>
              <w:jc w:val="center"/>
              <w:rPr>
                <w:rFonts w:ascii="宋体" w:hAnsi="宋体" w:cs="宋体"/>
                <w:color w:val="auto"/>
                <w:highlight w:val="none"/>
              </w:rPr>
            </w:pPr>
            <w:r>
              <w:rPr>
                <w:rFonts w:hint="eastAsia" w:ascii="宋体" w:hAnsi="宋体" w:cs="宋体"/>
                <w:color w:val="auto"/>
                <w:highlight w:val="none"/>
              </w:rPr>
              <w:t>评审细则</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rPr>
              <w:t>分值</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ascii="宋体" w:hAnsi="宋体" w:cs="宋体"/>
                <w:color w:val="auto"/>
                <w:highlight w:val="none"/>
              </w:rPr>
            </w:pPr>
            <w:r>
              <w:rPr>
                <w:rFonts w:hint="eastAsia" w:ascii="宋体" w:hAnsi="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ascii="宋体" w:hAnsi="宋体" w:cs="宋体"/>
                <w:color w:val="auto"/>
                <w:highlight w:val="none"/>
              </w:rPr>
            </w:pPr>
            <w:r>
              <w:rPr>
                <w:rFonts w:hint="eastAsia" w:ascii="宋体" w:hAnsi="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4"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c>
          <w:tcPr>
            <w:tcW w:w="1705" w:type="dxa"/>
            <w:vAlign w:val="center"/>
          </w:tcPr>
          <w:p>
            <w:pPr>
              <w:jc w:val="center"/>
              <w:rPr>
                <w:rFonts w:ascii="宋体" w:hAnsi="宋体" w:cs="宋体"/>
                <w:color w:val="auto"/>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w:t>
      </w:r>
    </w:p>
    <w:p>
      <w:pPr>
        <w:numPr>
          <w:ilvl w:val="0"/>
          <w:numId w:val="9"/>
        </w:numPr>
        <w:rPr>
          <w:rFonts w:ascii="宋体" w:hAnsi="宋体"/>
          <w:color w:val="auto"/>
          <w:szCs w:val="21"/>
          <w:highlight w:val="none"/>
        </w:rPr>
      </w:pPr>
      <w:r>
        <w:rPr>
          <w:rFonts w:hint="eastAsia" w:ascii="宋体" w:hAnsi="宋体"/>
          <w:color w:val="auto"/>
          <w:szCs w:val="21"/>
          <w:highlight w:val="none"/>
        </w:rPr>
        <w:t>该表格为参考格式，投标人可按实际情况自行制订评分标准索引表。</w:t>
      </w:r>
    </w:p>
    <w:p>
      <w:pPr>
        <w:pStyle w:val="9"/>
        <w:spacing w:before="0"/>
        <w:ind w:left="0"/>
        <w:rPr>
          <w:color w:val="auto"/>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p>
    <w:p>
      <w:pPr>
        <w:adjustRightInd/>
        <w:snapToGrid/>
        <w:spacing w:line="276" w:lineRule="auto"/>
        <w:rPr>
          <w:rFonts w:ascii="宋体" w:hAnsi="宋体"/>
          <w:color w:val="auto"/>
          <w:szCs w:val="21"/>
          <w:highlight w:val="none"/>
        </w:rPr>
      </w:pPr>
      <w:r>
        <w:rPr>
          <w:rFonts w:ascii="宋体" w:hAnsi="宋体"/>
          <w:color w:val="auto"/>
          <w:szCs w:val="21"/>
          <w:highlight w:val="none"/>
        </w:rPr>
        <w:br w:type="page"/>
      </w:r>
    </w:p>
    <w:p>
      <w:pPr>
        <w:jc w:val="center"/>
        <w:rPr>
          <w:rFonts w:ascii="黑体" w:eastAsia="黑体"/>
          <w:color w:val="auto"/>
          <w:sz w:val="52"/>
          <w:szCs w:val="52"/>
          <w:highlight w:val="none"/>
        </w:rPr>
      </w:pPr>
      <w:bookmarkStart w:id="99" w:name="_Toc18450"/>
      <w:bookmarkStart w:id="100" w:name="_Toc30918"/>
      <w:bookmarkStart w:id="101" w:name="_Toc21746"/>
      <w:bookmarkStart w:id="102" w:name="_Toc28154"/>
      <w:bookmarkStart w:id="103" w:name="_Toc20335"/>
    </w:p>
    <w:p>
      <w:pPr>
        <w:pStyle w:val="3"/>
        <w:spacing w:before="0" w:after="0" w:line="360" w:lineRule="auto"/>
        <w:jc w:val="center"/>
        <w:rPr>
          <w:color w:val="auto"/>
          <w:sz w:val="72"/>
          <w:szCs w:val="72"/>
          <w:highlight w:val="none"/>
        </w:rPr>
      </w:pPr>
      <w:bookmarkStart w:id="104" w:name="_Toc5306"/>
      <w:r>
        <w:rPr>
          <w:rFonts w:hint="eastAsia"/>
          <w:color w:val="auto"/>
          <w:sz w:val="72"/>
          <w:szCs w:val="72"/>
          <w:highlight w:val="none"/>
        </w:rPr>
        <w:t>价格文件</w:t>
      </w:r>
      <w:bookmarkEnd w:id="99"/>
      <w:bookmarkEnd w:id="100"/>
      <w:bookmarkEnd w:id="104"/>
      <w:bookmarkStart w:id="105" w:name="_Hlt10519799"/>
      <w:bookmarkEnd w:id="105"/>
      <w:bookmarkStart w:id="106" w:name="_Hlt10456397"/>
      <w:bookmarkEnd w:id="106"/>
    </w:p>
    <w:p>
      <w:pPr>
        <w:jc w:val="center"/>
        <w:rPr>
          <w:rFonts w:ascii="黑体" w:eastAsia="黑体"/>
          <w:color w:val="auto"/>
          <w:sz w:val="72"/>
          <w:szCs w:val="72"/>
          <w:highlight w:val="none"/>
        </w:rPr>
      </w:pPr>
      <w:r>
        <w:rPr>
          <w:rFonts w:hint="eastAsia" w:ascii="黑体" w:eastAsia="黑体"/>
          <w:color w:val="auto"/>
          <w:sz w:val="72"/>
          <w:szCs w:val="72"/>
          <w:highlight w:val="none"/>
        </w:rPr>
        <w:t>（单独装订成册）</w:t>
      </w:r>
      <w:bookmarkEnd w:id="101"/>
      <w:bookmarkEnd w:id="102"/>
      <w:bookmarkEnd w:id="103"/>
    </w:p>
    <w:p>
      <w:pPr>
        <w:rPr>
          <w:color w:val="auto"/>
          <w:highlight w:val="none"/>
        </w:rPr>
      </w:pPr>
    </w:p>
    <w:p>
      <w:pPr>
        <w:pStyle w:val="9"/>
        <w:rPr>
          <w:color w:val="auto"/>
          <w:highlight w:val="none"/>
        </w:rPr>
      </w:pPr>
    </w:p>
    <w:p>
      <w:pPr>
        <w:pStyle w:val="10"/>
        <w:ind w:firstLine="240"/>
        <w:rPr>
          <w:color w:val="auto"/>
          <w:highlight w:val="none"/>
        </w:rPr>
      </w:pPr>
    </w:p>
    <w:p>
      <w:pPr>
        <w:rPr>
          <w:rFonts w:ascii="宋体" w:hAnsi="宋体" w:cs="宋体"/>
          <w:b/>
          <w:bCs/>
          <w:color w:val="auto"/>
          <w:spacing w:val="106"/>
          <w:kern w:val="0"/>
          <w:sz w:val="32"/>
          <w:szCs w:val="32"/>
          <w:highlight w:val="none"/>
          <w:fitText w:val="1600" w:id="1947737316"/>
        </w:rPr>
      </w:pPr>
      <w:r>
        <w:rPr>
          <w:rFonts w:hint="eastAsia" w:ascii="宋体" w:hAnsi="宋体" w:cs="宋体"/>
          <w:b/>
          <w:bCs/>
          <w:color w:val="auto"/>
          <w:spacing w:val="106"/>
          <w:kern w:val="0"/>
          <w:sz w:val="32"/>
          <w:szCs w:val="32"/>
          <w:highlight w:val="none"/>
          <w:fitText w:val="1600" w:id="1947737316"/>
        </w:rPr>
        <w:t>项目名</w:t>
      </w:r>
      <w:r>
        <w:rPr>
          <w:rFonts w:hint="eastAsia" w:ascii="宋体" w:hAnsi="宋体" w:cs="宋体"/>
          <w:b/>
          <w:bCs/>
          <w:color w:val="auto"/>
          <w:spacing w:val="2"/>
          <w:kern w:val="0"/>
          <w:sz w:val="32"/>
          <w:szCs w:val="32"/>
          <w:highlight w:val="none"/>
          <w:fitText w:val="1600" w:id="1947737316"/>
        </w:rPr>
        <w:t>称</w:t>
      </w:r>
      <w:r>
        <w:rPr>
          <w:rFonts w:hint="eastAsia" w:ascii="宋体" w:hAnsi="宋体" w:cs="宋体"/>
          <w:b/>
          <w:bCs/>
          <w:color w:val="auto"/>
          <w:spacing w:val="-6"/>
          <w:sz w:val="32"/>
          <w:szCs w:val="32"/>
          <w:highlight w:val="none"/>
        </w:rPr>
        <w:t>：</w:t>
      </w:r>
    </w:p>
    <w:p>
      <w:pPr>
        <w:rPr>
          <w:rFonts w:ascii="宋体" w:hAnsi="宋体" w:cs="宋体"/>
          <w:b/>
          <w:bCs/>
          <w:color w:val="auto"/>
          <w:spacing w:val="106"/>
          <w:kern w:val="0"/>
          <w:sz w:val="32"/>
          <w:szCs w:val="32"/>
          <w:highlight w:val="none"/>
          <w:fitText w:val="1600" w:id="1947737316"/>
        </w:rPr>
      </w:pPr>
      <w:r>
        <w:rPr>
          <w:rFonts w:hint="eastAsia" w:ascii="宋体" w:hAnsi="宋体" w:cs="宋体"/>
          <w:b/>
          <w:bCs/>
          <w:color w:val="auto"/>
          <w:spacing w:val="0"/>
          <w:kern w:val="0"/>
          <w:sz w:val="32"/>
          <w:szCs w:val="32"/>
          <w:highlight w:val="none"/>
          <w:fitText w:val="1600" w:id="1947737316"/>
        </w:rPr>
        <w:t>项目编号：</w:t>
      </w:r>
    </w:p>
    <w:p>
      <w:pPr>
        <w:pStyle w:val="26"/>
        <w:widowControl/>
        <w:adjustRightInd w:val="0"/>
        <w:snapToGrid w:val="0"/>
        <w:spacing w:before="161" w:afterAutospacing="1"/>
        <w:jc w:val="left"/>
        <w:rPr>
          <w:rFonts w:ascii="宋体" w:hAnsi="宋体" w:cs="宋体"/>
          <w:b/>
          <w:color w:val="auto"/>
          <w:w w:val="83"/>
          <w:kern w:val="0"/>
          <w:sz w:val="32"/>
          <w:szCs w:val="32"/>
          <w:highlight w:val="none"/>
        </w:rPr>
      </w:pPr>
      <w:r>
        <w:rPr>
          <w:rFonts w:hint="eastAsia" w:ascii="宋体" w:hAnsi="宋体" w:cs="宋体"/>
          <w:b/>
          <w:color w:val="auto"/>
          <w:spacing w:val="1280"/>
          <w:kern w:val="0"/>
          <w:sz w:val="32"/>
          <w:szCs w:val="32"/>
          <w:highlight w:val="none"/>
          <w:fitText w:val="1600" w:id="1947737316"/>
          <w:lang w:bidi="ar"/>
        </w:rPr>
        <w:t>包</w:t>
      </w:r>
      <w:r>
        <w:rPr>
          <w:rFonts w:hint="eastAsia" w:ascii="宋体" w:hAnsi="宋体" w:cs="宋体"/>
          <w:b/>
          <w:color w:val="auto"/>
          <w:spacing w:val="960"/>
          <w:kern w:val="0"/>
          <w:sz w:val="32"/>
          <w:szCs w:val="32"/>
          <w:highlight w:val="none"/>
          <w:fitText w:val="1600" w:id="70211570"/>
          <w:lang w:bidi="ar"/>
        </w:rPr>
        <w:t>组</w:t>
      </w:r>
      <w:r>
        <w:rPr>
          <w:rFonts w:hint="eastAsia" w:ascii="宋体" w:hAnsi="宋体" w:cs="宋体"/>
          <w:b/>
          <w:color w:val="auto"/>
          <w:spacing w:val="0"/>
          <w:kern w:val="0"/>
          <w:sz w:val="32"/>
          <w:szCs w:val="32"/>
          <w:highlight w:val="none"/>
          <w:fitText w:val="1600" w:id="70211570"/>
          <w:lang w:bidi="ar"/>
        </w:rPr>
        <w:t>号</w:t>
      </w:r>
      <w:r>
        <w:rPr>
          <w:rFonts w:hint="eastAsia" w:ascii="宋体" w:hAnsi="宋体" w:cs="宋体"/>
          <w:b/>
          <w:color w:val="auto"/>
          <w:spacing w:val="320"/>
          <w:kern w:val="0"/>
          <w:sz w:val="32"/>
          <w:szCs w:val="32"/>
          <w:highlight w:val="none"/>
          <w:fitText w:val="1600" w:id="1947737316"/>
          <w:lang w:bidi="ar"/>
        </w:rPr>
        <w:t>（如</w:t>
      </w:r>
      <w:r>
        <w:rPr>
          <w:rFonts w:hint="eastAsia" w:ascii="宋体" w:hAnsi="宋体" w:cs="宋体"/>
          <w:b/>
          <w:color w:val="auto"/>
          <w:spacing w:val="0"/>
          <w:kern w:val="0"/>
          <w:sz w:val="32"/>
          <w:szCs w:val="32"/>
          <w:highlight w:val="none"/>
          <w:fitText w:val="1600" w:id="1947737316"/>
          <w:lang w:bidi="ar"/>
        </w:rPr>
        <w:t>有</w:t>
      </w:r>
      <w:r>
        <w:rPr>
          <w:rFonts w:hint="eastAsia" w:ascii="宋体" w:hAnsi="宋体" w:cs="宋体"/>
          <w:b/>
          <w:color w:val="auto"/>
          <w:spacing w:val="1280"/>
          <w:kern w:val="0"/>
          <w:sz w:val="32"/>
          <w:szCs w:val="32"/>
          <w:highlight w:val="none"/>
          <w:fitText w:val="1600" w:id="70211570"/>
          <w:lang w:bidi="ar"/>
        </w:rPr>
        <w:t>）</w:t>
      </w:r>
      <w:r>
        <w:rPr>
          <w:rFonts w:hint="eastAsia" w:ascii="宋体" w:hAnsi="宋体" w:cs="宋体"/>
          <w:b/>
          <w:color w:val="auto"/>
          <w:spacing w:val="106"/>
          <w:kern w:val="0"/>
          <w:sz w:val="32"/>
          <w:szCs w:val="32"/>
          <w:highlight w:val="none"/>
          <w:lang w:bidi="ar"/>
        </w:rPr>
        <w:t>：</w:t>
      </w:r>
    </w:p>
    <w:p>
      <w:pPr>
        <w:rPr>
          <w:rFonts w:ascii="宋体" w:hAnsi="宋体" w:cs="宋体"/>
          <w:b/>
          <w:color w:val="auto"/>
          <w:spacing w:val="80"/>
          <w:kern w:val="0"/>
          <w:sz w:val="32"/>
          <w:szCs w:val="32"/>
          <w:highlight w:val="none"/>
          <w:fitText w:val="1600" w:id="1458731915"/>
        </w:rPr>
      </w:pPr>
      <w:r>
        <w:rPr>
          <w:rFonts w:hint="eastAsia" w:ascii="宋体" w:hAnsi="宋体" w:cs="宋体"/>
          <w:b/>
          <w:color w:val="auto"/>
          <w:spacing w:val="320"/>
          <w:kern w:val="0"/>
          <w:sz w:val="32"/>
          <w:szCs w:val="32"/>
          <w:highlight w:val="none"/>
          <w:fitText w:val="1600" w:id="70211570"/>
        </w:rPr>
        <w:t>投标</w:t>
      </w:r>
      <w:r>
        <w:rPr>
          <w:rFonts w:hint="eastAsia" w:ascii="宋体" w:hAnsi="宋体" w:cs="宋体"/>
          <w:b/>
          <w:color w:val="auto"/>
          <w:spacing w:val="0"/>
          <w:kern w:val="0"/>
          <w:sz w:val="32"/>
          <w:szCs w:val="32"/>
          <w:highlight w:val="none"/>
          <w:fitText w:val="1600" w:id="70211570"/>
        </w:rPr>
        <w:t>人</w:t>
      </w:r>
      <w:r>
        <w:rPr>
          <w:rFonts w:hint="eastAsia" w:ascii="宋体" w:hAnsi="宋体" w:cs="宋体"/>
          <w:b/>
          <w:color w:val="auto"/>
          <w:spacing w:val="320"/>
          <w:kern w:val="0"/>
          <w:sz w:val="32"/>
          <w:szCs w:val="32"/>
          <w:highlight w:val="none"/>
          <w:fitText w:val="1600" w:id="1458731915"/>
        </w:rPr>
        <w:t>名称</w:t>
      </w:r>
      <w:r>
        <w:rPr>
          <w:rFonts w:hint="eastAsia" w:ascii="宋体" w:hAnsi="宋体" w:cs="宋体"/>
          <w:b/>
          <w:color w:val="auto"/>
          <w:spacing w:val="0"/>
          <w:kern w:val="0"/>
          <w:sz w:val="32"/>
          <w:szCs w:val="32"/>
          <w:highlight w:val="none"/>
          <w:fitText w:val="1600" w:id="1458731915"/>
        </w:rPr>
        <w:t>：</w:t>
      </w:r>
    </w:p>
    <w:p>
      <w:pPr>
        <w:rPr>
          <w:rFonts w:ascii="宋体" w:hAnsi="宋体" w:cs="宋体"/>
          <w:b/>
          <w:color w:val="auto"/>
          <w:spacing w:val="2"/>
          <w:w w:val="96"/>
          <w:kern w:val="0"/>
          <w:sz w:val="32"/>
          <w:szCs w:val="32"/>
          <w:highlight w:val="none"/>
          <w:fitText w:val="1600" w:id="1458731915"/>
        </w:rPr>
      </w:pPr>
      <w:r>
        <w:rPr>
          <w:rFonts w:hint="eastAsia" w:ascii="宋体" w:hAnsi="宋体" w:cs="宋体"/>
          <w:b/>
          <w:color w:val="auto"/>
          <w:spacing w:val="4"/>
          <w:kern w:val="0"/>
          <w:sz w:val="32"/>
          <w:szCs w:val="32"/>
          <w:highlight w:val="none"/>
          <w:fitText w:val="1600" w:id="1458731915"/>
        </w:rPr>
        <w:t xml:space="preserve">日    </w:t>
      </w:r>
      <w:r>
        <w:rPr>
          <w:rFonts w:hint="eastAsia" w:ascii="宋体" w:hAnsi="宋体" w:cs="宋体"/>
          <w:b/>
          <w:color w:val="auto"/>
          <w:spacing w:val="4"/>
          <w:w w:val="96"/>
          <w:kern w:val="0"/>
          <w:sz w:val="32"/>
          <w:szCs w:val="32"/>
          <w:highlight w:val="none"/>
          <w:fitText w:val="1600" w:id="1458731915"/>
        </w:rPr>
        <w:t>期</w:t>
      </w:r>
      <w:r>
        <w:rPr>
          <w:rFonts w:hint="eastAsia" w:ascii="宋体" w:hAnsi="宋体" w:cs="宋体"/>
          <w:b/>
          <w:color w:val="auto"/>
          <w:spacing w:val="0"/>
          <w:w w:val="96"/>
          <w:kern w:val="0"/>
          <w:sz w:val="32"/>
          <w:szCs w:val="32"/>
          <w:highlight w:val="none"/>
          <w:fitText w:val="1600" w:id="1458731915"/>
        </w:rPr>
        <w:t>：</w:t>
      </w:r>
    </w:p>
    <w:p>
      <w:pPr>
        <w:rPr>
          <w:color w:val="auto"/>
          <w:spacing w:val="1"/>
          <w:w w:val="96"/>
          <w:kern w:val="0"/>
          <w:highlight w:val="none"/>
          <w:fitText w:val="1600" w:id="437591866"/>
        </w:rPr>
      </w:pPr>
    </w:p>
    <w:p>
      <w:pPr>
        <w:pStyle w:val="9"/>
        <w:rPr>
          <w:color w:val="auto"/>
          <w:spacing w:val="560"/>
          <w:w w:val="100"/>
          <w:kern w:val="0"/>
          <w:highlight w:val="none"/>
          <w:fitText w:val="1600" w:id="1458731915"/>
        </w:rPr>
      </w:pPr>
    </w:p>
    <w:p>
      <w:pPr>
        <w:pStyle w:val="10"/>
        <w:ind w:firstLine="240"/>
        <w:rPr>
          <w:color w:val="auto"/>
          <w:spacing w:val="560"/>
          <w:w w:val="100"/>
          <w:kern w:val="0"/>
          <w:highlight w:val="none"/>
          <w:fitText w:val="1600" w:id="1458731915"/>
        </w:rPr>
      </w:pPr>
    </w:p>
    <w:p>
      <w:pPr>
        <w:pStyle w:val="23"/>
        <w:rPr>
          <w:color w:val="auto"/>
          <w:spacing w:val="0"/>
          <w:w w:val="100"/>
          <w:kern w:val="0"/>
          <w:highlight w:val="none"/>
          <w:fitText w:val="1600" w:id="1458731915"/>
        </w:rPr>
      </w:pPr>
    </w:p>
    <w:p>
      <w:pPr>
        <w:rPr>
          <w:color w:val="auto"/>
          <w:spacing w:val="303"/>
          <w:kern w:val="0"/>
          <w:highlight w:val="none"/>
          <w:fitText w:val="1600" w:id="437591866"/>
        </w:rPr>
      </w:pPr>
    </w:p>
    <w:p>
      <w:pPr>
        <w:pStyle w:val="9"/>
        <w:rPr>
          <w:color w:val="auto"/>
          <w:spacing w:val="303"/>
          <w:kern w:val="0"/>
          <w:highlight w:val="none"/>
          <w:fitText w:val="1600" w:id="437591866"/>
        </w:rPr>
      </w:pPr>
    </w:p>
    <w:p>
      <w:pPr>
        <w:pStyle w:val="10"/>
        <w:ind w:firstLine="240"/>
        <w:rPr>
          <w:color w:val="auto"/>
          <w:spacing w:val="303"/>
          <w:kern w:val="0"/>
          <w:highlight w:val="none"/>
          <w:fitText w:val="1600" w:id="437591866"/>
        </w:rPr>
      </w:pPr>
    </w:p>
    <w:p>
      <w:pPr>
        <w:pStyle w:val="23"/>
        <w:rPr>
          <w:color w:val="auto"/>
          <w:spacing w:val="1"/>
          <w:kern w:val="0"/>
          <w:highlight w:val="none"/>
          <w:fitText w:val="1600" w:id="437591866"/>
        </w:rPr>
      </w:pPr>
    </w:p>
    <w:p>
      <w:pPr>
        <w:pStyle w:val="23"/>
        <w:ind w:left="0"/>
        <w:rPr>
          <w:color w:val="auto"/>
          <w:highlight w:val="none"/>
        </w:rPr>
      </w:pPr>
    </w:p>
    <w:p>
      <w:pPr>
        <w:rPr>
          <w:rFonts w:ascii="宋体" w:hAnsi="宋体"/>
          <w:color w:val="auto"/>
          <w:szCs w:val="21"/>
          <w:highlight w:val="none"/>
        </w:rPr>
      </w:pPr>
      <w:r>
        <w:rPr>
          <w:rFonts w:hint="eastAsia" w:ascii="宋体" w:hAnsi="宋体"/>
          <w:color w:val="auto"/>
          <w:szCs w:val="21"/>
          <w:highlight w:val="none"/>
        </w:rPr>
        <w:br w:type="page"/>
      </w:r>
    </w:p>
    <w:p>
      <w:pPr>
        <w:pStyle w:val="5"/>
        <w:widowControl w:val="0"/>
        <w:overflowPunct w:val="0"/>
        <w:spacing w:line="240" w:lineRule="auto"/>
        <w:rPr>
          <w:rFonts w:ascii="宋体" w:hAnsi="宋体"/>
          <w:color w:val="auto"/>
          <w:sz w:val="21"/>
          <w:szCs w:val="21"/>
          <w:highlight w:val="none"/>
        </w:rPr>
      </w:pPr>
      <w:bookmarkStart w:id="107" w:name="_Toc13034"/>
      <w:r>
        <w:rPr>
          <w:rFonts w:hint="eastAsia" w:ascii="宋体" w:hAnsi="宋体"/>
          <w:color w:val="auto"/>
          <w:sz w:val="21"/>
          <w:szCs w:val="21"/>
          <w:highlight w:val="none"/>
        </w:rPr>
        <w:t>附件2.开标一览表格式</w:t>
      </w:r>
      <w:bookmarkEnd w:id="107"/>
    </w:p>
    <w:p>
      <w:pPr>
        <w:pStyle w:val="4"/>
        <w:snapToGrid w:val="0"/>
        <w:spacing w:before="0" w:after="0" w:line="360" w:lineRule="auto"/>
        <w:jc w:val="center"/>
        <w:rPr>
          <w:rFonts w:ascii="宋体" w:hAnsi="宋体"/>
          <w:color w:val="auto"/>
          <w:highlight w:val="none"/>
        </w:rPr>
      </w:pPr>
      <w:bookmarkStart w:id="108" w:name="_Toc23283"/>
      <w:bookmarkStart w:id="109" w:name="_Toc104195477"/>
      <w:r>
        <w:rPr>
          <w:rFonts w:hint="eastAsia" w:ascii="宋体" w:hAnsi="宋体"/>
          <w:color w:val="auto"/>
          <w:sz w:val="28"/>
          <w:szCs w:val="28"/>
          <w:highlight w:val="none"/>
        </w:rPr>
        <w:t>开标一览表</w:t>
      </w:r>
      <w:bookmarkEnd w:id="108"/>
      <w:bookmarkEnd w:id="109"/>
    </w:p>
    <w:p>
      <w:pPr>
        <w:spacing w:line="360" w:lineRule="auto"/>
        <w:ind w:left="1163" w:leftChars="171" w:hanging="804" w:hangingChars="383"/>
        <w:rPr>
          <w:rFonts w:ascii="宋体" w:hAnsi="宋体"/>
          <w:color w:val="auto"/>
          <w:sz w:val="21"/>
          <w:szCs w:val="21"/>
          <w:highlight w:val="none"/>
        </w:rPr>
      </w:pPr>
      <w:r>
        <w:rPr>
          <w:rFonts w:hint="eastAsia" w:ascii="宋体" w:hAnsi="宋体"/>
          <w:color w:val="auto"/>
          <w:sz w:val="21"/>
          <w:szCs w:val="21"/>
          <w:highlight w:val="none"/>
        </w:rPr>
        <w:t xml:space="preserve">投标人名称：                   </w:t>
      </w:r>
      <w:r>
        <w:rPr>
          <w:rFonts w:hint="eastAsia" w:ascii="宋体" w:hAnsi="宋体"/>
          <w:color w:val="auto"/>
          <w:sz w:val="21"/>
          <w:szCs w:val="21"/>
          <w:highlight w:val="none"/>
          <w:lang w:eastAsia="zh-CN"/>
        </w:rPr>
        <w:t>采购编号</w:t>
      </w:r>
      <w:r>
        <w:rPr>
          <w:rFonts w:hint="eastAsia" w:ascii="宋体" w:hAnsi="宋体"/>
          <w:color w:val="auto"/>
          <w:sz w:val="21"/>
          <w:szCs w:val="21"/>
          <w:highlight w:val="none"/>
        </w:rPr>
        <w:t>：</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226"/>
        <w:gridCol w:w="785"/>
        <w:gridCol w:w="957"/>
        <w:gridCol w:w="713"/>
        <w:gridCol w:w="1794"/>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b/>
                <w:color w:val="auto"/>
                <w:szCs w:val="21"/>
                <w:highlight w:val="none"/>
              </w:rPr>
            </w:pPr>
            <w:r>
              <w:rPr>
                <w:rFonts w:hint="eastAsia" w:hAnsi="宋体"/>
                <w:b/>
                <w:color w:val="auto"/>
                <w:szCs w:val="21"/>
                <w:highlight w:val="none"/>
              </w:rPr>
              <w:t>货物名称</w:t>
            </w:r>
          </w:p>
        </w:tc>
        <w:tc>
          <w:tcPr>
            <w:tcW w:w="470"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b/>
                <w:color w:val="auto"/>
                <w:szCs w:val="21"/>
                <w:highlight w:val="none"/>
              </w:rPr>
            </w:pPr>
            <w:r>
              <w:rPr>
                <w:rFonts w:hint="eastAsia" w:hAnsi="宋体"/>
                <w:b/>
                <w:color w:val="auto"/>
                <w:szCs w:val="21"/>
                <w:highlight w:val="none"/>
              </w:rPr>
              <w:t>品牌</w:t>
            </w:r>
          </w:p>
        </w:tc>
        <w:tc>
          <w:tcPr>
            <w:tcW w:w="573"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b/>
                <w:color w:val="auto"/>
                <w:szCs w:val="21"/>
                <w:highlight w:val="none"/>
              </w:rPr>
            </w:pPr>
            <w:r>
              <w:rPr>
                <w:rFonts w:hint="eastAsia" w:hAnsi="宋体"/>
                <w:b/>
                <w:color w:val="auto"/>
                <w:szCs w:val="21"/>
                <w:highlight w:val="none"/>
              </w:rPr>
              <w:t>产地</w:t>
            </w:r>
          </w:p>
        </w:tc>
        <w:tc>
          <w:tcPr>
            <w:tcW w:w="427"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b/>
                <w:color w:val="auto"/>
                <w:szCs w:val="21"/>
                <w:highlight w:val="none"/>
              </w:rPr>
            </w:pPr>
            <w:r>
              <w:rPr>
                <w:rFonts w:hint="eastAsia" w:hAnsi="宋体"/>
                <w:b/>
                <w:color w:val="auto"/>
                <w:szCs w:val="21"/>
                <w:highlight w:val="none"/>
              </w:rPr>
              <w:t>单位</w:t>
            </w:r>
          </w:p>
        </w:tc>
        <w:tc>
          <w:tcPr>
            <w:tcW w:w="1074"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b/>
                <w:color w:val="auto"/>
                <w:szCs w:val="21"/>
                <w:highlight w:val="none"/>
              </w:rPr>
            </w:pPr>
            <w:r>
              <w:rPr>
                <w:rFonts w:hint="eastAsia" w:hAnsi="宋体"/>
                <w:b/>
                <w:color w:val="auto"/>
                <w:szCs w:val="21"/>
                <w:highlight w:val="none"/>
              </w:rPr>
              <w:t>计划采购供货量</w:t>
            </w:r>
          </w:p>
        </w:tc>
        <w:tc>
          <w:tcPr>
            <w:tcW w:w="1722"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b/>
                <w:color w:val="auto"/>
                <w:szCs w:val="21"/>
                <w:highlight w:val="none"/>
              </w:rPr>
            </w:pPr>
            <w:r>
              <w:rPr>
                <w:rFonts w:hint="eastAsia" w:hAnsi="宋体"/>
                <w:b/>
                <w:color w:val="auto"/>
                <w:szCs w:val="21"/>
                <w:highlight w:val="none"/>
              </w:rPr>
              <w:t xml:space="preserve">综合单价（元/吨）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80" w:hRule="atLeast"/>
          <w:jc w:val="center"/>
        </w:trPr>
        <w:tc>
          <w:tcPr>
            <w:tcW w:w="734"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int="eastAsia" w:hAnsi="宋体"/>
                <w:color w:val="auto"/>
                <w:szCs w:val="21"/>
                <w:highlight w:val="none"/>
              </w:rPr>
            </w:pPr>
            <w:r>
              <w:rPr>
                <w:rFonts w:hint="eastAsia" w:hAnsi="宋体" w:cs="宋体"/>
                <w:color w:val="auto"/>
                <w:szCs w:val="21"/>
                <w:highlight w:val="none"/>
              </w:rPr>
              <w:t>熟石灰</w:t>
            </w:r>
          </w:p>
        </w:tc>
        <w:tc>
          <w:tcPr>
            <w:tcW w:w="470"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color w:val="auto"/>
                <w:szCs w:val="21"/>
                <w:highlight w:val="none"/>
              </w:rPr>
            </w:pPr>
          </w:p>
        </w:tc>
        <w:tc>
          <w:tcPr>
            <w:tcW w:w="573"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color w:val="auto"/>
                <w:szCs w:val="21"/>
                <w:highlight w:val="none"/>
              </w:rPr>
            </w:pPr>
          </w:p>
        </w:tc>
        <w:tc>
          <w:tcPr>
            <w:tcW w:w="427"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color w:val="auto"/>
                <w:szCs w:val="21"/>
                <w:highlight w:val="none"/>
              </w:rPr>
            </w:pPr>
            <w:r>
              <w:rPr>
                <w:rFonts w:hint="eastAsia" w:hAnsi="宋体"/>
                <w:color w:val="auto"/>
                <w:szCs w:val="21"/>
                <w:highlight w:val="none"/>
              </w:rPr>
              <w:t>吨</w:t>
            </w:r>
          </w:p>
        </w:tc>
        <w:tc>
          <w:tcPr>
            <w:tcW w:w="1074"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color w:val="auto"/>
                <w:szCs w:val="21"/>
                <w:highlight w:val="none"/>
              </w:rPr>
            </w:pPr>
            <w:r>
              <w:rPr>
                <w:rFonts w:hAnsi="宋体"/>
                <w:color w:val="auto"/>
                <w:szCs w:val="21"/>
                <w:highlight w:val="none"/>
              </w:rPr>
              <w:t>130</w:t>
            </w:r>
            <w:r>
              <w:rPr>
                <w:rFonts w:hint="eastAsia" w:hAnsi="宋体"/>
                <w:color w:val="auto"/>
                <w:szCs w:val="21"/>
                <w:highlight w:val="none"/>
              </w:rPr>
              <w:t>00</w:t>
            </w:r>
          </w:p>
        </w:tc>
        <w:tc>
          <w:tcPr>
            <w:tcW w:w="1722" w:type="pct"/>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2204" w:type="pct"/>
            <w:gridSpan w:val="4"/>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int="eastAsia" w:hAnsi="宋体"/>
                <w:color w:val="auto"/>
                <w:szCs w:val="21"/>
                <w:highlight w:val="none"/>
              </w:rPr>
            </w:pPr>
            <w:r>
              <w:rPr>
                <w:rFonts w:hint="eastAsia" w:hAnsi="宋体"/>
                <w:color w:val="auto"/>
                <w:szCs w:val="21"/>
                <w:highlight w:val="none"/>
              </w:rPr>
              <w:t>投标报价（元，暂定总价）</w:t>
            </w:r>
          </w:p>
        </w:tc>
        <w:tc>
          <w:tcPr>
            <w:tcW w:w="2796" w:type="pct"/>
            <w:gridSpan w:val="2"/>
            <w:tcBorders>
              <w:top w:val="single" w:color="auto" w:sz="4" w:space="0"/>
              <w:left w:val="single" w:color="auto" w:sz="4" w:space="0"/>
              <w:bottom w:val="single" w:color="auto" w:sz="4" w:space="0"/>
              <w:right w:val="single" w:color="auto" w:sz="4" w:space="0"/>
            </w:tcBorders>
            <w:noWrap w:val="0"/>
            <w:vAlign w:val="center"/>
          </w:tcPr>
          <w:p>
            <w:pPr>
              <w:pStyle w:val="15"/>
              <w:snapToGrid w:val="0"/>
              <w:spacing w:line="400" w:lineRule="exact"/>
              <w:jc w:val="center"/>
              <w:rPr>
                <w:rFonts w:hint="eastAsia" w:hAnsi="宋体"/>
                <w:color w:val="auto"/>
                <w:szCs w:val="21"/>
                <w:highlight w:val="none"/>
              </w:rPr>
            </w:pPr>
            <w:r>
              <w:rPr>
                <w:rFonts w:hint="eastAsia" w:hAnsi="宋体"/>
                <w:color w:val="auto"/>
                <w:szCs w:val="21"/>
                <w:highlight w:val="none"/>
              </w:rPr>
              <w:t>（大写：人民币</w:t>
            </w:r>
            <w:r>
              <w:rPr>
                <w:rFonts w:hint="eastAsia" w:hAnsi="宋体"/>
                <w:color w:val="auto"/>
                <w:szCs w:val="21"/>
                <w:highlight w:val="none"/>
                <w:u w:val="single"/>
              </w:rPr>
              <w:t xml:space="preserve">             </w:t>
            </w:r>
            <w:r>
              <w:rPr>
                <w:rFonts w:hint="eastAsia" w:hAnsi="宋体"/>
                <w:color w:val="auto"/>
                <w:szCs w:val="21"/>
                <w:highlight w:val="none"/>
              </w:rPr>
              <w:t>）</w:t>
            </w:r>
          </w:p>
          <w:p>
            <w:pPr>
              <w:pStyle w:val="15"/>
              <w:snapToGrid w:val="0"/>
              <w:spacing w:line="400" w:lineRule="exact"/>
              <w:jc w:val="center"/>
              <w:rPr>
                <w:rFonts w:hAnsi="宋体"/>
                <w:color w:val="auto"/>
                <w:szCs w:val="21"/>
                <w:highlight w:val="none"/>
              </w:rPr>
            </w:pPr>
            <w:r>
              <w:rPr>
                <w:rFonts w:hint="eastAsia" w:hAnsi="宋体"/>
                <w:color w:val="auto"/>
                <w:szCs w:val="21"/>
                <w:highlight w:val="none"/>
              </w:rPr>
              <w:t xml:space="preserve">  </w:t>
            </w:r>
            <w:r>
              <w:rPr>
                <w:rFonts w:hAnsi="宋体"/>
                <w:color w:val="auto"/>
                <w:szCs w:val="21"/>
                <w:highlight w:val="none"/>
              </w:rPr>
              <w:t>（小写：¥</w:t>
            </w:r>
            <w:r>
              <w:rPr>
                <w:rFonts w:hint="eastAsia" w:hAnsi="宋体"/>
                <w:color w:val="auto"/>
                <w:szCs w:val="21"/>
                <w:highlight w:val="none"/>
                <w:u w:val="single"/>
              </w:rPr>
              <w:t xml:space="preserve">              </w:t>
            </w:r>
            <w:r>
              <w:rPr>
                <w:rFonts w:hAnsi="宋体"/>
                <w:color w:val="auto"/>
                <w:szCs w:val="21"/>
                <w:highlight w:val="none"/>
              </w:rPr>
              <w:t>）</w:t>
            </w:r>
          </w:p>
        </w:tc>
      </w:tr>
    </w:tbl>
    <w:p>
      <w:pPr>
        <w:snapToGrid w:val="0"/>
        <w:spacing w:line="380" w:lineRule="exact"/>
        <w:rPr>
          <w:rFonts w:ascii="宋体" w:hAnsi="宋体"/>
          <w:color w:val="auto"/>
          <w:sz w:val="21"/>
          <w:szCs w:val="21"/>
          <w:highlight w:val="none"/>
        </w:rPr>
      </w:pPr>
    </w:p>
    <w:p>
      <w:pPr>
        <w:snapToGrid w:val="0"/>
        <w:spacing w:line="360" w:lineRule="auto"/>
        <w:ind w:left="716" w:leftChars="-59" w:hanging="840" w:hangingChars="400"/>
        <w:rPr>
          <w:rFonts w:ascii="宋体" w:hAnsi="宋体"/>
          <w:color w:val="auto"/>
          <w:sz w:val="21"/>
          <w:szCs w:val="21"/>
          <w:highlight w:val="none"/>
        </w:rPr>
      </w:pPr>
      <w:r>
        <w:rPr>
          <w:rFonts w:hint="eastAsia" w:ascii="宋体" w:hAnsi="宋体"/>
          <w:color w:val="auto"/>
          <w:sz w:val="21"/>
          <w:szCs w:val="21"/>
          <w:highlight w:val="none"/>
        </w:rPr>
        <w:t>备注：</w:t>
      </w:r>
    </w:p>
    <w:p>
      <w:pPr>
        <w:snapToGrid w:val="0"/>
        <w:spacing w:line="360" w:lineRule="auto"/>
        <w:ind w:left="396" w:leftChars="-58" w:hanging="518" w:hangingChars="247"/>
        <w:rPr>
          <w:rFonts w:ascii="宋体" w:hAnsi="宋体"/>
          <w:color w:val="auto"/>
          <w:sz w:val="21"/>
          <w:szCs w:val="21"/>
          <w:highlight w:val="none"/>
          <w:u w:val="single"/>
        </w:rPr>
      </w:pPr>
      <w:r>
        <w:rPr>
          <w:rFonts w:hint="eastAsia" w:ascii="宋体" w:hAnsi="宋体"/>
          <w:color w:val="auto"/>
          <w:sz w:val="21"/>
          <w:szCs w:val="21"/>
          <w:highlight w:val="none"/>
        </w:rPr>
        <w:t>（1）</w:t>
      </w:r>
      <w:r>
        <w:rPr>
          <w:rFonts w:hint="eastAsia" w:ascii="宋体" w:hAnsi="宋体"/>
          <w:b/>
          <w:color w:val="auto"/>
          <w:sz w:val="21"/>
          <w:szCs w:val="21"/>
          <w:highlight w:val="none"/>
          <w:u w:val="single"/>
        </w:rPr>
        <w:t>本项目报价为含税价，即为《中华人民共和国增值税暂行条例》（国务院令第691号修订版）规定的销售额，综合单价已包含    %增值税专用发票。</w:t>
      </w:r>
      <w:r>
        <w:rPr>
          <w:rFonts w:hint="eastAsia" w:ascii="宋体" w:hAnsi="宋体"/>
          <w:color w:val="auto"/>
          <w:sz w:val="21"/>
          <w:szCs w:val="21"/>
          <w:highlight w:val="none"/>
          <w:u w:val="single"/>
        </w:rPr>
        <w:t>本</w:t>
      </w:r>
      <w:r>
        <w:rPr>
          <w:rFonts w:hint="eastAsia" w:ascii="宋体" w:hAnsi="宋体"/>
          <w:color w:val="auto"/>
          <w:sz w:val="21"/>
          <w:szCs w:val="21"/>
          <w:highlight w:val="none"/>
          <w:u w:val="single"/>
          <w:lang w:eastAsia="zh-CN"/>
        </w:rPr>
        <w:t>采购文件</w:t>
      </w:r>
      <w:r>
        <w:rPr>
          <w:rFonts w:hint="eastAsia" w:ascii="宋体" w:hAnsi="宋体"/>
          <w:color w:val="auto"/>
          <w:sz w:val="21"/>
          <w:szCs w:val="21"/>
          <w:highlight w:val="none"/>
          <w:u w:val="single"/>
        </w:rPr>
        <w:t>所称的含税价是指含本采购项目的投标人销项税额，包含了投标人完成合同义务（包括但不限于货物生产前准备、生产、运输（运输到业主指定交货地点）、燃料费、司机人员工资、转运、保护、装卸、保险、相关税费、验收（含出厂及到货验收）、质量抽检、售后及技术服务（包括质保期保障等）等的全部费用。本合同不含税价格不因国家税率变化而变化，在合同履行期间，如遇国家的税率调整，则调整时点后尚未结算部分的价款（价税合计）应根据原不含税价和调整后的税率重新计算，相应发票按调整后价格开具）的其他全部费用。</w:t>
      </w:r>
    </w:p>
    <w:p>
      <w:pPr>
        <w:snapToGrid w:val="0"/>
        <w:spacing w:line="360" w:lineRule="auto"/>
        <w:ind w:left="396" w:leftChars="-58" w:hanging="518" w:hangingChars="247"/>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color w:val="auto"/>
          <w:kern w:val="2"/>
          <w:sz w:val="21"/>
          <w:szCs w:val="21"/>
          <w:highlight w:val="none"/>
          <w:u w:val="single"/>
          <w:lang w:val="zh-CN"/>
        </w:rPr>
        <w:t>投标人</w:t>
      </w:r>
      <w:r>
        <w:rPr>
          <w:rFonts w:hint="eastAsia" w:ascii="宋体" w:hAnsi="宋体"/>
          <w:b/>
          <w:bCs/>
          <w:color w:val="auto"/>
          <w:sz w:val="21"/>
          <w:highlight w:val="none"/>
          <w:u w:val="single"/>
        </w:rPr>
        <w:t>的综合单价高于单价最高限价的，该投标人的投标文件将被视为无效响应。</w:t>
      </w:r>
    </w:p>
    <w:p>
      <w:pPr>
        <w:snapToGrid w:val="0"/>
        <w:spacing w:line="360" w:lineRule="auto"/>
        <w:ind w:left="396" w:leftChars="-58" w:hanging="518" w:hangingChars="247"/>
        <w:rPr>
          <w:rFonts w:hint="eastAsia" w:ascii="宋体" w:hAnsi="宋体"/>
          <w:color w:val="auto"/>
          <w:kern w:val="2"/>
          <w:sz w:val="21"/>
          <w:szCs w:val="21"/>
          <w:highlight w:val="none"/>
          <w:lang w:val="zh-CN"/>
        </w:rPr>
      </w:pPr>
      <w:r>
        <w:rPr>
          <w:rFonts w:hint="eastAsia" w:ascii="宋体" w:hAnsi="宋体"/>
          <w:color w:val="auto"/>
          <w:sz w:val="21"/>
          <w:szCs w:val="21"/>
          <w:highlight w:val="none"/>
        </w:rPr>
        <w:t>（</w:t>
      </w:r>
      <w:r>
        <w:rPr>
          <w:rFonts w:ascii="宋体" w:hAnsi="宋体"/>
          <w:color w:val="auto"/>
          <w:sz w:val="21"/>
          <w:szCs w:val="21"/>
          <w:highlight w:val="none"/>
        </w:rPr>
        <w:t>3</w:t>
      </w:r>
      <w:r>
        <w:rPr>
          <w:rFonts w:hint="eastAsia" w:ascii="宋体" w:hAnsi="宋体"/>
          <w:color w:val="auto"/>
          <w:sz w:val="21"/>
          <w:szCs w:val="21"/>
          <w:highlight w:val="none"/>
        </w:rPr>
        <w:t>）</w:t>
      </w:r>
      <w:r>
        <w:rPr>
          <w:rFonts w:hint="eastAsia" w:ascii="宋体" w:hAnsi="宋体"/>
          <w:b/>
          <w:color w:val="auto"/>
          <w:sz w:val="21"/>
          <w:szCs w:val="21"/>
          <w:highlight w:val="none"/>
          <w:u w:val="single"/>
        </w:rPr>
        <w:t>本表的投标报价为含税综合单价乘以计划采购供货量的总价</w:t>
      </w:r>
      <w:r>
        <w:rPr>
          <w:rFonts w:hint="eastAsia" w:ascii="宋体" w:hAnsi="宋体"/>
          <w:b/>
          <w:color w:val="auto"/>
          <w:sz w:val="21"/>
          <w:szCs w:val="21"/>
          <w:highlight w:val="none"/>
        </w:rPr>
        <w:t>。</w:t>
      </w:r>
      <w:r>
        <w:rPr>
          <w:rFonts w:hint="eastAsia" w:ascii="宋体" w:hAnsi="宋体"/>
          <w:color w:val="auto"/>
          <w:kern w:val="2"/>
          <w:sz w:val="21"/>
          <w:szCs w:val="21"/>
          <w:highlight w:val="none"/>
          <w:lang w:val="zh-CN"/>
        </w:rPr>
        <w:t>本表内投标报价金额与按单价计算的总金额不一致的，以单价计算结果为准，单价金额小数点有明显错位的，应以总价为准，并修正单价；对不同文字文本投标文件的解释发生异议的，以中文文本为准。</w:t>
      </w:r>
    </w:p>
    <w:p>
      <w:pPr>
        <w:snapToGrid w:val="0"/>
        <w:spacing w:line="360" w:lineRule="auto"/>
        <w:ind w:left="396" w:leftChars="-58" w:hanging="518" w:hangingChars="247"/>
        <w:rPr>
          <w:rFonts w:ascii="宋体" w:hAnsi="宋体"/>
          <w:color w:val="auto"/>
          <w:kern w:val="2"/>
          <w:sz w:val="21"/>
          <w:highlight w:val="none"/>
          <w:lang w:val="zh-CN"/>
        </w:rPr>
      </w:pPr>
      <w:r>
        <w:rPr>
          <w:rFonts w:hint="eastAsia" w:ascii="宋体" w:hAnsi="宋体"/>
          <w:color w:val="auto"/>
          <w:kern w:val="2"/>
          <w:sz w:val="21"/>
          <w:highlight w:val="none"/>
          <w:lang w:val="zh-CN"/>
        </w:rPr>
        <w:t>（</w:t>
      </w:r>
      <w:r>
        <w:rPr>
          <w:rFonts w:ascii="宋体" w:hAnsi="宋体"/>
          <w:color w:val="auto"/>
          <w:kern w:val="2"/>
          <w:sz w:val="21"/>
          <w:highlight w:val="none"/>
          <w:lang w:val="zh-CN"/>
        </w:rPr>
        <w:t>4</w:t>
      </w:r>
      <w:r>
        <w:rPr>
          <w:rFonts w:hint="eastAsia" w:ascii="宋体" w:hAnsi="宋体"/>
          <w:color w:val="auto"/>
          <w:kern w:val="2"/>
          <w:sz w:val="21"/>
          <w:highlight w:val="none"/>
          <w:lang w:val="zh-CN"/>
        </w:rPr>
        <w:t>）上述计划采购供货量仅为方便合计投标报价使用，不作为采购人最终购买数量的保证，我方承诺不因实际采购数量的减少或增加而要求采购人提供任何形式的补偿或赔偿。</w:t>
      </w:r>
    </w:p>
    <w:p>
      <w:pPr>
        <w:snapToGrid w:val="0"/>
        <w:spacing w:line="360" w:lineRule="auto"/>
        <w:ind w:left="396" w:leftChars="-58" w:hanging="518" w:hangingChars="247"/>
        <w:rPr>
          <w:rFonts w:ascii="宋体" w:hAnsi="宋体"/>
          <w:color w:val="auto"/>
          <w:sz w:val="21"/>
          <w:szCs w:val="21"/>
          <w:highlight w:val="none"/>
        </w:rPr>
      </w:pPr>
      <w:r>
        <w:rPr>
          <w:rFonts w:hint="eastAsia" w:ascii="宋体" w:hAnsi="宋体"/>
          <w:bCs/>
          <w:color w:val="auto"/>
          <w:sz w:val="21"/>
          <w:szCs w:val="21"/>
          <w:highlight w:val="none"/>
          <w:lang w:val="zh-CN"/>
        </w:rPr>
        <w:t>（</w:t>
      </w:r>
      <w:r>
        <w:rPr>
          <w:rFonts w:ascii="宋体" w:hAnsi="宋体"/>
          <w:bCs/>
          <w:color w:val="auto"/>
          <w:sz w:val="21"/>
          <w:szCs w:val="21"/>
          <w:highlight w:val="none"/>
          <w:lang w:val="zh-CN"/>
        </w:rPr>
        <w:t>5</w:t>
      </w:r>
      <w:r>
        <w:rPr>
          <w:rFonts w:hint="eastAsia" w:ascii="宋体" w:hAnsi="宋体"/>
          <w:bCs/>
          <w:color w:val="auto"/>
          <w:sz w:val="21"/>
          <w:szCs w:val="21"/>
          <w:highlight w:val="none"/>
          <w:lang w:val="zh-CN"/>
        </w:rPr>
        <w:t>）</w:t>
      </w:r>
      <w:r>
        <w:rPr>
          <w:rFonts w:hint="eastAsia" w:ascii="宋体" w:hAnsi="宋体"/>
          <w:b/>
          <w:bCs/>
          <w:color w:val="auto"/>
          <w:sz w:val="21"/>
          <w:szCs w:val="21"/>
          <w:highlight w:val="none"/>
          <w:u w:val="single"/>
          <w:lang w:val="zh-CN"/>
        </w:rPr>
        <w:t>本表一式二份，一份随唱标信封一起提交，一份编入投标文件</w:t>
      </w:r>
      <w:r>
        <w:rPr>
          <w:rFonts w:hint="eastAsia" w:ascii="宋体" w:hAnsi="宋体"/>
          <w:b/>
          <w:bCs/>
          <w:color w:val="auto"/>
          <w:sz w:val="21"/>
          <w:szCs w:val="21"/>
          <w:highlight w:val="none"/>
          <w:u w:val="single"/>
          <w:lang w:val="zh-CN" w:eastAsia="zh-CN"/>
        </w:rPr>
        <w:t>价格</w:t>
      </w:r>
      <w:r>
        <w:rPr>
          <w:rFonts w:hint="eastAsia" w:ascii="宋体" w:hAnsi="宋体"/>
          <w:b/>
          <w:bCs/>
          <w:color w:val="auto"/>
          <w:sz w:val="21"/>
          <w:szCs w:val="21"/>
          <w:highlight w:val="none"/>
          <w:u w:val="single"/>
          <w:lang w:val="zh-CN"/>
        </w:rPr>
        <w:t>文件</w:t>
      </w:r>
      <w:r>
        <w:rPr>
          <w:rFonts w:hint="eastAsia" w:ascii="宋体" w:hAnsi="宋体"/>
          <w:b/>
          <w:bCs/>
          <w:color w:val="auto"/>
          <w:sz w:val="21"/>
          <w:szCs w:val="21"/>
          <w:highlight w:val="none"/>
          <w:lang w:val="zh-CN"/>
        </w:rPr>
        <w:t>。</w:t>
      </w:r>
    </w:p>
    <w:p>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color w:val="auto"/>
          <w:sz w:val="21"/>
          <w:szCs w:val="22"/>
          <w:highlight w:val="none"/>
        </w:rPr>
      </w:pPr>
    </w:p>
    <w:p>
      <w:pPr>
        <w:rPr>
          <w:color w:val="auto"/>
          <w:highlight w:val="none"/>
        </w:rPr>
      </w:pPr>
    </w:p>
    <w:p>
      <w:pPr>
        <w:rPr>
          <w:rFonts w:ascii="宋体" w:hAnsi="宋体"/>
          <w:color w:val="auto"/>
          <w:szCs w:val="21"/>
          <w:highlight w:val="none"/>
        </w:rPr>
      </w:pPr>
      <w:r>
        <w:rPr>
          <w:rFonts w:hint="eastAsia" w:ascii="宋体" w:hAnsi="宋体"/>
          <w:color w:val="auto"/>
          <w:szCs w:val="21"/>
          <w:highlight w:val="none"/>
        </w:rPr>
        <w:t>投标人代表签字：</w:t>
      </w:r>
    </w:p>
    <w:p>
      <w:pPr>
        <w:rPr>
          <w:rFonts w:ascii="宋体" w:hAnsi="宋体"/>
          <w:color w:val="auto"/>
          <w:szCs w:val="21"/>
          <w:highlight w:val="none"/>
        </w:rPr>
      </w:pPr>
      <w:r>
        <w:rPr>
          <w:rFonts w:hint="eastAsia" w:ascii="宋体" w:hAnsi="宋体"/>
          <w:color w:val="auto"/>
          <w:szCs w:val="21"/>
          <w:highlight w:val="none"/>
        </w:rPr>
        <w:t>投标人盖章：</w:t>
      </w:r>
    </w:p>
    <w:p>
      <w:pPr>
        <w:rPr>
          <w:rFonts w:ascii="宋体" w:hAnsi="宋体"/>
          <w:color w:val="auto"/>
          <w:szCs w:val="21"/>
          <w:highlight w:val="none"/>
        </w:rPr>
      </w:pPr>
      <w:r>
        <w:rPr>
          <w:rFonts w:hint="eastAsia" w:ascii="宋体" w:hAnsi="宋体"/>
          <w:color w:val="auto"/>
          <w:szCs w:val="21"/>
          <w:highlight w:val="none"/>
        </w:rPr>
        <w:t>日期：</w:t>
      </w:r>
      <w:bookmarkStart w:id="110" w:name="_Toc12412"/>
      <w:r>
        <w:rPr>
          <w:rFonts w:hint="eastAsia" w:ascii="宋体" w:hAnsi="宋体"/>
          <w:color w:val="auto"/>
          <w:szCs w:val="21"/>
          <w:highlight w:val="none"/>
        </w:rPr>
        <w:br w:type="page"/>
      </w:r>
    </w:p>
    <w:bookmarkEnd w:id="110"/>
    <w:p>
      <w:pPr>
        <w:rPr>
          <w:color w:val="auto"/>
          <w:sz w:val="52"/>
          <w:szCs w:val="52"/>
          <w:highlight w:val="none"/>
        </w:rPr>
      </w:pPr>
    </w:p>
    <w:p>
      <w:pPr>
        <w:pStyle w:val="3"/>
        <w:spacing w:before="0" w:after="0" w:line="360" w:lineRule="auto"/>
        <w:jc w:val="center"/>
        <w:rPr>
          <w:color w:val="auto"/>
          <w:sz w:val="72"/>
          <w:szCs w:val="72"/>
          <w:highlight w:val="none"/>
        </w:rPr>
      </w:pPr>
      <w:bookmarkStart w:id="111" w:name="_Toc7678"/>
      <w:r>
        <w:rPr>
          <w:rFonts w:hint="eastAsia"/>
          <w:color w:val="auto"/>
          <w:sz w:val="72"/>
          <w:szCs w:val="72"/>
          <w:highlight w:val="none"/>
        </w:rPr>
        <w:t>商务文件</w:t>
      </w:r>
      <w:bookmarkEnd w:id="111"/>
    </w:p>
    <w:p>
      <w:pPr>
        <w:jc w:val="center"/>
        <w:rPr>
          <w:rFonts w:ascii="黑体" w:eastAsia="黑体"/>
          <w:color w:val="auto"/>
          <w:sz w:val="72"/>
          <w:szCs w:val="72"/>
          <w:highlight w:val="none"/>
        </w:rPr>
      </w:pPr>
      <w:r>
        <w:rPr>
          <w:rFonts w:hint="eastAsia" w:ascii="黑体" w:eastAsia="黑体"/>
          <w:color w:val="auto"/>
          <w:sz w:val="72"/>
          <w:szCs w:val="72"/>
          <w:highlight w:val="none"/>
        </w:rPr>
        <w:t>（单独装订成册）</w:t>
      </w:r>
    </w:p>
    <w:p>
      <w:pPr>
        <w:rPr>
          <w:color w:val="auto"/>
          <w:highlight w:val="none"/>
        </w:rPr>
      </w:pPr>
    </w:p>
    <w:p>
      <w:pPr>
        <w:pStyle w:val="9"/>
        <w:rPr>
          <w:color w:val="auto"/>
          <w:highlight w:val="none"/>
        </w:rPr>
      </w:pPr>
    </w:p>
    <w:p>
      <w:pPr>
        <w:pStyle w:val="10"/>
        <w:ind w:firstLine="240"/>
        <w:rPr>
          <w:color w:val="auto"/>
          <w:highlight w:val="none"/>
        </w:rPr>
      </w:pPr>
    </w:p>
    <w:p>
      <w:pPr>
        <w:rPr>
          <w:rFonts w:ascii="宋体" w:hAnsi="宋体" w:cs="宋体"/>
          <w:b/>
          <w:bCs/>
          <w:color w:val="auto"/>
          <w:spacing w:val="106"/>
          <w:kern w:val="0"/>
          <w:sz w:val="32"/>
          <w:szCs w:val="32"/>
          <w:highlight w:val="none"/>
          <w:fitText w:val="1600" w:id="292250509"/>
        </w:rPr>
      </w:pPr>
      <w:r>
        <w:rPr>
          <w:rFonts w:hint="eastAsia" w:ascii="宋体" w:hAnsi="宋体" w:cs="宋体"/>
          <w:b/>
          <w:bCs/>
          <w:color w:val="auto"/>
          <w:spacing w:val="106"/>
          <w:kern w:val="0"/>
          <w:sz w:val="32"/>
          <w:szCs w:val="32"/>
          <w:highlight w:val="none"/>
          <w:fitText w:val="1600" w:id="292250509"/>
        </w:rPr>
        <w:t>项目名</w:t>
      </w:r>
      <w:r>
        <w:rPr>
          <w:rFonts w:hint="eastAsia" w:ascii="宋体" w:hAnsi="宋体" w:cs="宋体"/>
          <w:b/>
          <w:bCs/>
          <w:color w:val="auto"/>
          <w:spacing w:val="2"/>
          <w:kern w:val="0"/>
          <w:sz w:val="32"/>
          <w:szCs w:val="32"/>
          <w:highlight w:val="none"/>
          <w:fitText w:val="1600" w:id="292250509"/>
        </w:rPr>
        <w:t>称</w:t>
      </w:r>
      <w:r>
        <w:rPr>
          <w:rFonts w:hint="eastAsia" w:ascii="宋体" w:hAnsi="宋体" w:cs="宋体"/>
          <w:b/>
          <w:bCs/>
          <w:color w:val="auto"/>
          <w:spacing w:val="-6"/>
          <w:sz w:val="32"/>
          <w:szCs w:val="32"/>
          <w:highlight w:val="none"/>
        </w:rPr>
        <w:t>：</w:t>
      </w:r>
    </w:p>
    <w:p>
      <w:pPr>
        <w:rPr>
          <w:rFonts w:ascii="宋体" w:hAnsi="宋体" w:cs="宋体"/>
          <w:b/>
          <w:bCs/>
          <w:color w:val="auto"/>
          <w:spacing w:val="106"/>
          <w:kern w:val="0"/>
          <w:sz w:val="32"/>
          <w:szCs w:val="32"/>
          <w:highlight w:val="none"/>
          <w:fitText w:val="1600" w:id="292250509"/>
        </w:rPr>
      </w:pPr>
      <w:r>
        <w:rPr>
          <w:rFonts w:hint="eastAsia" w:ascii="宋体" w:hAnsi="宋体" w:cs="宋体"/>
          <w:b/>
          <w:bCs/>
          <w:color w:val="auto"/>
          <w:spacing w:val="0"/>
          <w:kern w:val="0"/>
          <w:sz w:val="32"/>
          <w:szCs w:val="32"/>
          <w:highlight w:val="none"/>
          <w:fitText w:val="1600" w:id="292250509"/>
        </w:rPr>
        <w:t>项目编号：</w:t>
      </w:r>
    </w:p>
    <w:p>
      <w:pPr>
        <w:pStyle w:val="9"/>
        <w:ind w:left="0"/>
        <w:rPr>
          <w:b/>
          <w:color w:val="auto"/>
          <w:spacing w:val="1280"/>
          <w:sz w:val="32"/>
          <w:szCs w:val="32"/>
          <w:highlight w:val="none"/>
        </w:rPr>
      </w:pPr>
      <w:r>
        <w:rPr>
          <w:b/>
          <w:color w:val="auto"/>
          <w:spacing w:val="1280"/>
          <w:kern w:val="0"/>
          <w:sz w:val="32"/>
          <w:szCs w:val="32"/>
          <w:highlight w:val="none"/>
          <w:fitText w:val="1600" w:id="292250509"/>
          <w:lang w:val="en-US" w:bidi="ar-SA"/>
        </w:rPr>
        <w:t>包</w:t>
      </w:r>
      <w:r>
        <w:rPr>
          <w:b/>
          <w:color w:val="auto"/>
          <w:spacing w:val="960"/>
          <w:kern w:val="0"/>
          <w:sz w:val="32"/>
          <w:szCs w:val="32"/>
          <w:highlight w:val="none"/>
          <w:fitText w:val="1600" w:id="1231831253"/>
          <w:lang w:val="en-US" w:bidi="ar-SA"/>
        </w:rPr>
        <w:t>组</w:t>
      </w:r>
      <w:r>
        <w:rPr>
          <w:b/>
          <w:color w:val="auto"/>
          <w:spacing w:val="0"/>
          <w:kern w:val="0"/>
          <w:sz w:val="32"/>
          <w:szCs w:val="32"/>
          <w:highlight w:val="none"/>
          <w:fitText w:val="1600" w:id="1231831253"/>
          <w:lang w:val="en-US" w:bidi="ar-SA"/>
        </w:rPr>
        <w:t>号</w:t>
      </w:r>
      <w:r>
        <w:rPr>
          <w:b/>
          <w:color w:val="auto"/>
          <w:spacing w:val="320"/>
          <w:kern w:val="0"/>
          <w:sz w:val="32"/>
          <w:szCs w:val="32"/>
          <w:highlight w:val="none"/>
          <w:fitText w:val="1600" w:id="292250509"/>
          <w:lang w:val="en-US" w:bidi="ar-SA"/>
        </w:rPr>
        <w:t>（如</w:t>
      </w:r>
      <w:r>
        <w:rPr>
          <w:b/>
          <w:color w:val="auto"/>
          <w:spacing w:val="0"/>
          <w:kern w:val="0"/>
          <w:sz w:val="32"/>
          <w:szCs w:val="32"/>
          <w:highlight w:val="none"/>
          <w:fitText w:val="1600" w:id="292250509"/>
          <w:lang w:val="en-US" w:bidi="ar-SA"/>
        </w:rPr>
        <w:t>有</w:t>
      </w:r>
      <w:r>
        <w:rPr>
          <w:b/>
          <w:color w:val="auto"/>
          <w:spacing w:val="1280"/>
          <w:kern w:val="0"/>
          <w:sz w:val="32"/>
          <w:szCs w:val="32"/>
          <w:highlight w:val="none"/>
          <w:fitText w:val="1600" w:id="1231831253"/>
          <w:lang w:val="en-US" w:bidi="ar-SA"/>
        </w:rPr>
        <w:t>）</w:t>
      </w:r>
      <w:r>
        <w:rPr>
          <w:b/>
          <w:color w:val="auto"/>
          <w:spacing w:val="106"/>
          <w:sz w:val="32"/>
          <w:szCs w:val="32"/>
          <w:highlight w:val="none"/>
          <w:lang w:val="en-US" w:bidi="ar-SA"/>
        </w:rPr>
        <w:t>：</w:t>
      </w:r>
    </w:p>
    <w:p>
      <w:pPr>
        <w:rPr>
          <w:rFonts w:ascii="宋体" w:hAnsi="宋体" w:cs="宋体"/>
          <w:b/>
          <w:color w:val="auto"/>
          <w:spacing w:val="80"/>
          <w:kern w:val="0"/>
          <w:sz w:val="32"/>
          <w:szCs w:val="32"/>
          <w:highlight w:val="none"/>
          <w:fitText w:val="1600" w:id="1764384445"/>
        </w:rPr>
      </w:pPr>
      <w:r>
        <w:rPr>
          <w:rFonts w:hint="eastAsia" w:ascii="宋体" w:hAnsi="宋体" w:cs="宋体"/>
          <w:b/>
          <w:color w:val="auto"/>
          <w:spacing w:val="320"/>
          <w:kern w:val="0"/>
          <w:sz w:val="32"/>
          <w:szCs w:val="32"/>
          <w:highlight w:val="none"/>
          <w:fitText w:val="1600" w:id="1231831253"/>
        </w:rPr>
        <w:t>投标</w:t>
      </w:r>
      <w:r>
        <w:rPr>
          <w:rFonts w:hint="eastAsia" w:ascii="宋体" w:hAnsi="宋体" w:cs="宋体"/>
          <w:b/>
          <w:color w:val="auto"/>
          <w:spacing w:val="0"/>
          <w:kern w:val="0"/>
          <w:sz w:val="32"/>
          <w:szCs w:val="32"/>
          <w:highlight w:val="none"/>
          <w:fitText w:val="1600" w:id="1231831253"/>
        </w:rPr>
        <w:t>人</w:t>
      </w:r>
      <w:r>
        <w:rPr>
          <w:rFonts w:hint="eastAsia" w:ascii="宋体" w:hAnsi="宋体" w:cs="宋体"/>
          <w:b/>
          <w:color w:val="auto"/>
          <w:spacing w:val="320"/>
          <w:kern w:val="0"/>
          <w:sz w:val="32"/>
          <w:szCs w:val="32"/>
          <w:highlight w:val="none"/>
          <w:fitText w:val="1600" w:id="1764384445"/>
        </w:rPr>
        <w:t>名称</w:t>
      </w:r>
      <w:r>
        <w:rPr>
          <w:rFonts w:hint="eastAsia" w:ascii="宋体" w:hAnsi="宋体" w:cs="宋体"/>
          <w:b/>
          <w:color w:val="auto"/>
          <w:spacing w:val="0"/>
          <w:kern w:val="0"/>
          <w:sz w:val="32"/>
          <w:szCs w:val="32"/>
          <w:highlight w:val="none"/>
          <w:fitText w:val="1600" w:id="1764384445"/>
        </w:rPr>
        <w:t>：</w:t>
      </w:r>
    </w:p>
    <w:p>
      <w:pPr>
        <w:rPr>
          <w:rFonts w:ascii="宋体" w:hAnsi="宋体" w:cs="宋体"/>
          <w:b/>
          <w:color w:val="auto"/>
          <w:spacing w:val="2"/>
          <w:w w:val="83"/>
          <w:kern w:val="0"/>
          <w:sz w:val="32"/>
          <w:szCs w:val="32"/>
          <w:highlight w:val="none"/>
          <w:fitText w:val="1600" w:id="1764384445"/>
        </w:rPr>
      </w:pPr>
      <w:r>
        <w:rPr>
          <w:rFonts w:hint="eastAsia" w:ascii="宋体" w:hAnsi="宋体" w:cs="宋体"/>
          <w:b/>
          <w:color w:val="auto"/>
          <w:spacing w:val="18"/>
          <w:kern w:val="0"/>
          <w:sz w:val="32"/>
          <w:szCs w:val="32"/>
          <w:highlight w:val="none"/>
          <w:fitText w:val="1600" w:id="1764384445"/>
        </w:rPr>
        <w:t xml:space="preserve">日    </w:t>
      </w:r>
      <w:r>
        <w:rPr>
          <w:rFonts w:hint="eastAsia" w:ascii="宋体" w:hAnsi="宋体" w:cs="宋体"/>
          <w:b/>
          <w:color w:val="auto"/>
          <w:spacing w:val="18"/>
          <w:w w:val="83"/>
          <w:kern w:val="0"/>
          <w:sz w:val="32"/>
          <w:szCs w:val="32"/>
          <w:highlight w:val="none"/>
          <w:fitText w:val="1600" w:id="1764384445"/>
        </w:rPr>
        <w:t>期</w:t>
      </w:r>
      <w:r>
        <w:rPr>
          <w:rFonts w:hint="eastAsia" w:ascii="宋体" w:hAnsi="宋体" w:cs="宋体"/>
          <w:b/>
          <w:color w:val="auto"/>
          <w:spacing w:val="0"/>
          <w:w w:val="83"/>
          <w:kern w:val="0"/>
          <w:sz w:val="32"/>
          <w:szCs w:val="32"/>
          <w:highlight w:val="none"/>
          <w:fitText w:val="1600" w:id="1764384445"/>
        </w:rPr>
        <w:t>：</w:t>
      </w:r>
    </w:p>
    <w:p>
      <w:pPr>
        <w:pStyle w:val="9"/>
        <w:rPr>
          <w:b/>
          <w:color w:val="auto"/>
          <w:spacing w:val="1"/>
          <w:w w:val="83"/>
          <w:kern w:val="0"/>
          <w:sz w:val="32"/>
          <w:szCs w:val="32"/>
          <w:highlight w:val="none"/>
          <w:fitText w:val="1600" w:id="2061173831"/>
        </w:rPr>
      </w:pPr>
    </w:p>
    <w:p>
      <w:pPr>
        <w:pStyle w:val="10"/>
        <w:ind w:firstLine="321"/>
        <w:rPr>
          <w:b/>
          <w:color w:val="auto"/>
          <w:spacing w:val="320"/>
          <w:w w:val="100"/>
          <w:kern w:val="0"/>
          <w:sz w:val="32"/>
          <w:szCs w:val="32"/>
          <w:highlight w:val="none"/>
          <w:fitText w:val="1600" w:id="1764384445"/>
        </w:rPr>
      </w:pPr>
    </w:p>
    <w:p>
      <w:pPr>
        <w:pStyle w:val="23"/>
        <w:rPr>
          <w:rFonts w:ascii="宋体" w:hAnsi="宋体" w:cs="宋体"/>
          <w:b/>
          <w:color w:val="auto"/>
          <w:spacing w:val="320"/>
          <w:w w:val="100"/>
          <w:kern w:val="0"/>
          <w:sz w:val="32"/>
          <w:szCs w:val="32"/>
          <w:highlight w:val="none"/>
          <w:fitText w:val="1600" w:id="1764384445"/>
        </w:rPr>
      </w:pPr>
    </w:p>
    <w:p>
      <w:pPr>
        <w:rPr>
          <w:rFonts w:ascii="宋体" w:hAnsi="宋体" w:cs="宋体"/>
          <w:b/>
          <w:color w:val="auto"/>
          <w:spacing w:val="0"/>
          <w:w w:val="100"/>
          <w:kern w:val="0"/>
          <w:sz w:val="32"/>
          <w:szCs w:val="32"/>
          <w:highlight w:val="none"/>
          <w:fitText w:val="1600" w:id="1764384445"/>
        </w:rPr>
      </w:pPr>
    </w:p>
    <w:p>
      <w:pPr>
        <w:pStyle w:val="9"/>
        <w:rPr>
          <w:b/>
          <w:color w:val="auto"/>
          <w:spacing w:val="216"/>
          <w:kern w:val="0"/>
          <w:sz w:val="32"/>
          <w:szCs w:val="32"/>
          <w:highlight w:val="none"/>
          <w:fitText w:val="1600" w:id="2061173831"/>
        </w:rPr>
      </w:pPr>
    </w:p>
    <w:p>
      <w:pPr>
        <w:rPr>
          <w:color w:val="auto"/>
          <w:spacing w:val="216"/>
          <w:kern w:val="0"/>
          <w:highlight w:val="none"/>
          <w:fitText w:val="1600" w:id="2061173831"/>
        </w:rPr>
      </w:pPr>
    </w:p>
    <w:p>
      <w:pPr>
        <w:rPr>
          <w:rFonts w:ascii="宋体" w:hAnsi="宋体"/>
          <w:color w:val="auto"/>
          <w:spacing w:val="2"/>
          <w:kern w:val="0"/>
          <w:szCs w:val="21"/>
          <w:highlight w:val="none"/>
          <w:fitText w:val="1600" w:id="2061173831"/>
        </w:rPr>
      </w:pPr>
      <w:r>
        <w:rPr>
          <w:rFonts w:hint="eastAsia" w:ascii="宋体" w:hAnsi="宋体"/>
          <w:color w:val="auto"/>
          <w:spacing w:val="216"/>
          <w:kern w:val="0"/>
          <w:szCs w:val="21"/>
          <w:highlight w:val="none"/>
          <w:fitText w:val="1600" w:id="2061173831"/>
        </w:rPr>
        <w:br w:type="page"/>
      </w:r>
    </w:p>
    <w:p>
      <w:pPr>
        <w:pStyle w:val="5"/>
        <w:widowControl w:val="0"/>
        <w:overflowPunct w:val="0"/>
        <w:spacing w:line="240" w:lineRule="auto"/>
        <w:rPr>
          <w:color w:val="auto"/>
          <w:highlight w:val="none"/>
        </w:rPr>
      </w:pPr>
      <w:bookmarkStart w:id="112" w:name="_Toc18857"/>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.投标书格式</w:t>
      </w:r>
      <w:bookmarkEnd w:id="112"/>
    </w:p>
    <w:p>
      <w:pPr>
        <w:jc w:val="center"/>
        <w:rPr>
          <w:rFonts w:ascii="宋体" w:hAnsi="宋体"/>
          <w:color w:val="auto"/>
          <w:szCs w:val="21"/>
          <w:highlight w:val="none"/>
        </w:rPr>
      </w:pPr>
      <w:r>
        <w:rPr>
          <w:rFonts w:hint="eastAsia" w:ascii="黑体" w:eastAsia="黑体"/>
          <w:color w:val="auto"/>
          <w:sz w:val="32"/>
          <w:szCs w:val="32"/>
          <w:highlight w:val="none"/>
        </w:rPr>
        <w:t>投标书</w:t>
      </w:r>
    </w:p>
    <w:p>
      <w:pPr>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lang w:eastAsia="zh-CN"/>
        </w:rPr>
        <w:t>广东志合项目管理有限公司</w:t>
      </w:r>
      <w:r>
        <w:rPr>
          <w:rFonts w:hint="eastAsia" w:ascii="宋体" w:hAnsi="宋体"/>
          <w:color w:val="auto"/>
          <w:szCs w:val="21"/>
          <w:highlight w:val="none"/>
        </w:rPr>
        <w:t>：</w:t>
      </w:r>
    </w:p>
    <w:p>
      <w:pPr>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根据贵方为</w:t>
      </w:r>
      <w:r>
        <w:rPr>
          <w:rFonts w:hint="eastAsia" w:ascii="宋体" w:hAnsi="宋体"/>
          <w:color w:val="auto"/>
          <w:szCs w:val="21"/>
          <w:highlight w:val="none"/>
          <w:u w:val="single"/>
        </w:rPr>
        <w:t>（项目名称）（采购项目编号）</w:t>
      </w:r>
      <w:r>
        <w:rPr>
          <w:rFonts w:hint="eastAsia" w:ascii="宋体" w:hAnsi="宋体"/>
          <w:color w:val="auto"/>
          <w:szCs w:val="21"/>
          <w:highlight w:val="none"/>
        </w:rPr>
        <w:t>项目采购公告/采购邀请，签字代表</w:t>
      </w:r>
      <w:r>
        <w:rPr>
          <w:rFonts w:hint="eastAsia" w:ascii="宋体" w:hAnsi="宋体"/>
          <w:color w:val="auto"/>
          <w:szCs w:val="21"/>
          <w:highlight w:val="none"/>
          <w:u w:val="single"/>
        </w:rPr>
        <w:t>（姓名、职务）</w:t>
      </w:r>
      <w:r>
        <w:rPr>
          <w:rFonts w:hint="eastAsia" w:ascii="宋体" w:hAnsi="宋体"/>
          <w:color w:val="auto"/>
          <w:szCs w:val="21"/>
          <w:highlight w:val="none"/>
        </w:rPr>
        <w:t>经正式授权并代表投标人</w:t>
      </w:r>
      <w:r>
        <w:rPr>
          <w:rFonts w:hint="eastAsia" w:ascii="宋体" w:hAnsi="宋体"/>
          <w:color w:val="auto"/>
          <w:szCs w:val="21"/>
          <w:highlight w:val="none"/>
          <w:u w:val="single"/>
        </w:rPr>
        <w:t>（投标人名称、地址）</w:t>
      </w:r>
      <w:r>
        <w:rPr>
          <w:rFonts w:hint="eastAsia" w:ascii="宋体" w:hAnsi="宋体"/>
          <w:color w:val="auto"/>
          <w:szCs w:val="21"/>
          <w:highlight w:val="none"/>
        </w:rPr>
        <w:t>提交投标文件及“唱标信封”：</w:t>
      </w:r>
    </w:p>
    <w:p>
      <w:pPr>
        <w:ind w:firstLine="420" w:firstLineChars="200"/>
        <w:rPr>
          <w:rFonts w:ascii="宋体" w:hAnsi="宋体"/>
          <w:color w:val="auto"/>
          <w:szCs w:val="21"/>
          <w:highlight w:val="none"/>
        </w:rPr>
      </w:pPr>
      <w:r>
        <w:rPr>
          <w:rFonts w:hint="eastAsia" w:ascii="宋体" w:hAnsi="宋体"/>
          <w:color w:val="auto"/>
          <w:szCs w:val="21"/>
          <w:highlight w:val="none"/>
        </w:rPr>
        <w:t xml:space="preserve">在此，签字代表宣布同意如下： </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 xml:space="preserve">我方将按采购文件的规定履行合同责任和义务。 </w:t>
      </w:r>
    </w:p>
    <w:p>
      <w:pPr>
        <w:widowControl w:val="0"/>
        <w:numPr>
          <w:ilvl w:val="0"/>
          <w:numId w:val="10"/>
        </w:numPr>
        <w:adjustRightInd/>
        <w:snapToGrid/>
        <w:jc w:val="both"/>
        <w:rPr>
          <w:rFonts w:ascii="宋体" w:hAnsi="宋体"/>
          <w:color w:val="auto"/>
          <w:szCs w:val="21"/>
          <w:highlight w:val="none"/>
        </w:rPr>
      </w:pPr>
      <w:r>
        <w:rPr>
          <w:rFonts w:hint="eastAsia" w:ascii="宋体" w:hAnsi="宋体"/>
          <w:b/>
          <w:color w:val="auto"/>
          <w:szCs w:val="21"/>
          <w:highlight w:val="none"/>
        </w:rPr>
        <w:t>我方已完整阅读了本项目采购文件的所有内容（包括澄清，以及所有已提供的参考资料和有关附件），并完全理解上述文件所表达的意思，该项目递交投标文件时间截止后，我方承诺不再对上述文件内容进行异议。</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本投标有效期为自开标日起</w:t>
      </w:r>
      <w:r>
        <w:rPr>
          <w:rFonts w:hint="eastAsia" w:ascii="宋体" w:hAnsi="宋体"/>
          <w:color w:val="auto"/>
          <w:szCs w:val="21"/>
          <w:highlight w:val="none"/>
          <w:u w:val="single"/>
        </w:rPr>
        <w:t>90</w:t>
      </w:r>
      <w:r>
        <w:rPr>
          <w:rFonts w:hint="eastAsia" w:ascii="宋体" w:hAnsi="宋体"/>
          <w:color w:val="auto"/>
          <w:szCs w:val="21"/>
          <w:highlight w:val="none"/>
        </w:rPr>
        <w:t xml:space="preserve">个日历日。 </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我方保证遵守投标人须知中关于没收投标保证金的规定。</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 xml:space="preserve">我方承诺，与买方聘请的为此项目提供咨询服务的公司及任何附属机构均无关联，我方不是买方的附属机构。 </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我方承诺，我方具备投标人邀请中所要求的资格条件，已清楚采购文件所有要求及有关规定；并承诺参加本次采购活动中，如有违法、违规、弄虚作假行为，所造成的损失、不良后果及法律责任，一律由我方承担；</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我方同意提供按照贵方可能要求的与其投标有关的一切数据或资料。</w:t>
      </w:r>
    </w:p>
    <w:p>
      <w:pPr>
        <w:widowControl w:val="0"/>
        <w:numPr>
          <w:ilvl w:val="0"/>
          <w:numId w:val="10"/>
        </w:numPr>
        <w:adjustRightInd/>
        <w:snapToGrid/>
        <w:jc w:val="both"/>
        <w:rPr>
          <w:rFonts w:ascii="宋体" w:hAnsi="宋体"/>
          <w:color w:val="auto"/>
          <w:szCs w:val="21"/>
          <w:highlight w:val="none"/>
        </w:rPr>
      </w:pPr>
      <w:r>
        <w:rPr>
          <w:rFonts w:hint="eastAsia" w:ascii="宋体" w:hAnsi="宋体"/>
          <w:color w:val="auto"/>
          <w:szCs w:val="21"/>
          <w:highlight w:val="none"/>
        </w:rPr>
        <w:t>与本投标有关的一切正式信函请寄：</w:t>
      </w:r>
    </w:p>
    <w:p>
      <w:pPr>
        <w:rPr>
          <w:rFonts w:ascii="宋体" w:hAnsi="宋体"/>
          <w:color w:val="auto"/>
          <w:szCs w:val="21"/>
          <w:highlight w:val="none"/>
        </w:rPr>
      </w:pPr>
      <w:r>
        <w:rPr>
          <w:rFonts w:hint="eastAsia" w:ascii="宋体" w:hAnsi="宋体"/>
          <w:color w:val="auto"/>
          <w:szCs w:val="21"/>
          <w:highlight w:val="none"/>
        </w:rPr>
        <w:t>地址：　　　　　　　　　　　　　　　电子邮箱：　　　　</w:t>
      </w:r>
    </w:p>
    <w:p>
      <w:pPr>
        <w:rPr>
          <w:rFonts w:ascii="宋体" w:hAnsi="宋体"/>
          <w:color w:val="auto"/>
          <w:szCs w:val="21"/>
          <w:highlight w:val="none"/>
        </w:rPr>
      </w:pPr>
      <w:r>
        <w:rPr>
          <w:rFonts w:hint="eastAsia" w:ascii="宋体" w:hAnsi="宋体"/>
          <w:color w:val="auto"/>
          <w:szCs w:val="21"/>
          <w:highlight w:val="none"/>
        </w:rPr>
        <w:t>电话/移动电话：</w:t>
      </w:r>
    </w:p>
    <w:p>
      <w:pPr>
        <w:rPr>
          <w:rFonts w:ascii="宋体" w:hAnsi="宋体"/>
          <w:color w:val="auto"/>
          <w:szCs w:val="21"/>
          <w:highlight w:val="none"/>
        </w:rPr>
      </w:pPr>
      <w:r>
        <w:rPr>
          <w:rFonts w:hint="eastAsia" w:ascii="宋体" w:hAnsi="宋体"/>
          <w:color w:val="auto"/>
          <w:szCs w:val="21"/>
          <w:highlight w:val="none"/>
        </w:rPr>
        <w:t xml:space="preserve">投标人法定代表人（或其授权代表）签字：                  </w:t>
      </w:r>
    </w:p>
    <w:p>
      <w:pPr>
        <w:rPr>
          <w:rFonts w:ascii="宋体" w:hAnsi="宋体"/>
          <w:color w:val="auto"/>
          <w:szCs w:val="21"/>
          <w:highlight w:val="none"/>
        </w:rPr>
      </w:pPr>
      <w:r>
        <w:rPr>
          <w:rFonts w:hint="eastAsia" w:ascii="宋体" w:hAnsi="宋体"/>
          <w:color w:val="auto"/>
          <w:szCs w:val="21"/>
          <w:highlight w:val="none"/>
        </w:rPr>
        <w:t xml:space="preserve">投标人名称（全称）： </w:t>
      </w:r>
    </w:p>
    <w:p>
      <w:pPr>
        <w:rPr>
          <w:rFonts w:ascii="宋体" w:hAnsi="宋体"/>
          <w:color w:val="auto"/>
          <w:szCs w:val="21"/>
          <w:highlight w:val="none"/>
        </w:rPr>
      </w:pPr>
      <w:r>
        <w:rPr>
          <w:rFonts w:hint="eastAsia" w:ascii="宋体" w:hAnsi="宋体"/>
          <w:color w:val="auto"/>
          <w:szCs w:val="21"/>
          <w:highlight w:val="none"/>
        </w:rPr>
        <w:t xml:space="preserve">投标人盖章： </w:t>
      </w:r>
    </w:p>
    <w:p>
      <w:pPr>
        <w:rPr>
          <w:color w:val="auto"/>
          <w:highlight w:val="none"/>
        </w:rPr>
      </w:pPr>
      <w:r>
        <w:rPr>
          <w:rFonts w:hint="eastAsia" w:ascii="宋体" w:hAnsi="宋体"/>
          <w:color w:val="auto"/>
          <w:szCs w:val="21"/>
          <w:highlight w:val="none"/>
        </w:rPr>
        <w:t>日期：</w:t>
      </w:r>
      <w:r>
        <w:rPr>
          <w:color w:val="auto"/>
          <w:highlight w:val="none"/>
        </w:rPr>
        <w:br w:type="page"/>
      </w:r>
    </w:p>
    <w:p>
      <w:pPr>
        <w:pStyle w:val="5"/>
        <w:widowControl w:val="0"/>
        <w:overflowPunct w:val="0"/>
        <w:spacing w:line="240" w:lineRule="auto"/>
        <w:rPr>
          <w:rFonts w:ascii="宋体" w:hAnsi="宋体"/>
          <w:color w:val="auto"/>
          <w:sz w:val="21"/>
          <w:szCs w:val="21"/>
          <w:highlight w:val="none"/>
        </w:rPr>
      </w:pPr>
      <w:bookmarkStart w:id="113" w:name="_Toc3568"/>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法定代表人证明书格式</w:t>
      </w:r>
      <w:bookmarkEnd w:id="113"/>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法定代表人证明书</w:t>
      </w:r>
    </w:p>
    <w:p>
      <w:pPr>
        <w:pStyle w:val="42"/>
        <w:spacing w:line="420" w:lineRule="atLeast"/>
        <w:ind w:firstLine="0" w:firstLineChars="0"/>
        <w:rPr>
          <w:rFonts w:hint="eastAsia" w:ascii="宋体" w:eastAsia="宋体"/>
          <w:color w:val="auto"/>
          <w:sz w:val="21"/>
          <w:szCs w:val="21"/>
          <w:highlight w:val="none"/>
          <w:lang w:eastAsia="zh-CN"/>
        </w:rPr>
      </w:pPr>
      <w:r>
        <w:rPr>
          <w:rFonts w:hint="eastAsia" w:ascii="宋体" w:eastAsia="宋体"/>
          <w:color w:val="auto"/>
          <w:sz w:val="21"/>
          <w:szCs w:val="21"/>
          <w:highlight w:val="none"/>
        </w:rPr>
        <w:t>致：</w:t>
      </w:r>
      <w:r>
        <w:rPr>
          <w:rFonts w:hint="eastAsia" w:ascii="宋体" w:eastAsia="宋体"/>
          <w:color w:val="auto"/>
          <w:sz w:val="21"/>
          <w:szCs w:val="21"/>
          <w:highlight w:val="none"/>
          <w:lang w:eastAsia="zh-CN"/>
        </w:rPr>
        <w:t>广东志合项目管理有限公司</w:t>
      </w:r>
    </w:p>
    <w:p>
      <w:pPr>
        <w:pStyle w:val="42"/>
        <w:spacing w:line="420" w:lineRule="atLeast"/>
        <w:ind w:firstLine="433"/>
        <w:rPr>
          <w:rFonts w:ascii="宋体" w:eastAsia="宋体"/>
          <w:color w:val="auto"/>
          <w:sz w:val="21"/>
          <w:szCs w:val="21"/>
          <w:highlight w:val="none"/>
        </w:rPr>
      </w:pPr>
    </w:p>
    <w:p>
      <w:pPr>
        <w:pStyle w:val="42"/>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投标人名称:</w:t>
      </w:r>
    </w:p>
    <w:p>
      <w:pPr>
        <w:pStyle w:val="42"/>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单 位 性质：</w:t>
      </w:r>
    </w:p>
    <w:p>
      <w:pPr>
        <w:pStyle w:val="42"/>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地      址：</w:t>
      </w:r>
    </w:p>
    <w:p>
      <w:pPr>
        <w:pStyle w:val="42"/>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42"/>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42"/>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42"/>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系（投标人名称）的法定代表人。</w:t>
      </w:r>
    </w:p>
    <w:p>
      <w:pPr>
        <w:spacing w:line="420" w:lineRule="atLeast"/>
        <w:ind w:firstLine="420" w:firstLineChars="200"/>
        <w:rPr>
          <w:rFonts w:ascii="宋体" w:hAnsi="宋体"/>
          <w:color w:val="auto"/>
          <w:szCs w:val="21"/>
          <w:highlight w:val="none"/>
        </w:rPr>
      </w:pPr>
      <w:r>
        <w:rPr>
          <w:rFonts w:hint="eastAsia" w:ascii="宋体" w:hAnsi="宋体"/>
          <w:color w:val="auto"/>
          <w:szCs w:val="21"/>
          <w:highlight w:val="none"/>
        </w:rPr>
        <w:t>特此证明。</w:t>
      </w:r>
    </w:p>
    <w:p>
      <w:pPr>
        <w:pStyle w:val="42"/>
        <w:spacing w:line="500" w:lineRule="atLeast"/>
        <w:ind w:firstLine="3517" w:firstLineChars="1675"/>
        <w:rPr>
          <w:rFonts w:ascii="宋体" w:eastAsia="宋体"/>
          <w:color w:val="auto"/>
          <w:sz w:val="21"/>
          <w:szCs w:val="21"/>
          <w:highlight w:val="none"/>
        </w:rPr>
      </w:pP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法定代表人联系方式：</w:t>
      </w:r>
    </w:p>
    <w:p>
      <w:pPr>
        <w:pStyle w:val="42"/>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42"/>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  年  月  日</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注：法定代表人身份证明书需附法人代表身份证复印件。</w:t>
      </w:r>
    </w:p>
    <w:tbl>
      <w:tblPr>
        <w:tblStyle w:val="28"/>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42"/>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182" w:type="dxa"/>
            <w:vAlign w:val="center"/>
          </w:tcPr>
          <w:p>
            <w:pPr>
              <w:pStyle w:val="42"/>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rPr>
          <w:color w:val="auto"/>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5"/>
        <w:widowControl w:val="0"/>
        <w:overflowPunct w:val="0"/>
        <w:spacing w:line="240" w:lineRule="auto"/>
        <w:rPr>
          <w:color w:val="auto"/>
          <w:highlight w:val="none"/>
        </w:rPr>
      </w:pPr>
      <w:bookmarkStart w:id="114" w:name="_Toc14903"/>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.法定代表人授权书格式</w:t>
      </w:r>
      <w:bookmarkEnd w:id="114"/>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法定代表人授权书</w:t>
      </w:r>
    </w:p>
    <w:p>
      <w:pPr>
        <w:pStyle w:val="42"/>
        <w:spacing w:line="420" w:lineRule="atLeast"/>
        <w:ind w:firstLine="0" w:firstLineChars="0"/>
        <w:rPr>
          <w:rFonts w:hint="eastAsia" w:ascii="宋体" w:eastAsia="宋体"/>
          <w:color w:val="auto"/>
          <w:sz w:val="21"/>
          <w:szCs w:val="21"/>
          <w:highlight w:val="none"/>
          <w:lang w:eastAsia="zh-CN"/>
        </w:rPr>
      </w:pPr>
      <w:r>
        <w:rPr>
          <w:rFonts w:hint="eastAsia" w:ascii="宋体" w:eastAsia="宋体"/>
          <w:color w:val="auto"/>
          <w:sz w:val="21"/>
          <w:szCs w:val="21"/>
          <w:highlight w:val="none"/>
        </w:rPr>
        <w:t>致：</w:t>
      </w:r>
      <w:r>
        <w:rPr>
          <w:rFonts w:hint="eastAsia" w:ascii="宋体" w:eastAsia="宋体"/>
          <w:color w:val="auto"/>
          <w:sz w:val="21"/>
          <w:szCs w:val="21"/>
          <w:highlight w:val="none"/>
          <w:lang w:eastAsia="zh-CN"/>
        </w:rPr>
        <w:t>广东志合项目管理有限公司</w:t>
      </w:r>
    </w:p>
    <w:p>
      <w:pPr>
        <w:pStyle w:val="42"/>
        <w:spacing w:line="420" w:lineRule="atLeast"/>
        <w:ind w:firstLine="433"/>
        <w:rPr>
          <w:rFonts w:ascii="宋体" w:eastAsia="宋体"/>
          <w:color w:val="auto"/>
          <w:sz w:val="21"/>
          <w:szCs w:val="21"/>
          <w:highlight w:val="none"/>
        </w:rPr>
      </w:pPr>
    </w:p>
    <w:p>
      <w:pPr>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本授权书声明：注册于</w:t>
      </w:r>
      <w:r>
        <w:rPr>
          <w:rFonts w:hint="eastAsia" w:ascii="宋体" w:hAnsi="宋体" w:cs="Times New Roman"/>
          <w:color w:val="auto"/>
          <w:szCs w:val="21"/>
          <w:highlight w:val="none"/>
          <w:u w:val="single"/>
        </w:rPr>
        <w:t>（国家或地区的名称）</w:t>
      </w:r>
      <w:r>
        <w:rPr>
          <w:rFonts w:hint="eastAsia" w:ascii="宋体" w:hAnsi="宋体" w:cs="Times New Roman"/>
          <w:color w:val="auto"/>
          <w:szCs w:val="21"/>
          <w:highlight w:val="none"/>
        </w:rPr>
        <w:t>的</w:t>
      </w:r>
      <w:r>
        <w:rPr>
          <w:rFonts w:hint="eastAsia" w:ascii="宋体" w:hAnsi="宋体" w:cs="Times New Roman"/>
          <w:color w:val="auto"/>
          <w:szCs w:val="21"/>
          <w:highlight w:val="none"/>
          <w:u w:val="single"/>
        </w:rPr>
        <w:t>（单位名称）</w:t>
      </w:r>
      <w:r>
        <w:rPr>
          <w:rFonts w:hint="eastAsia" w:ascii="宋体" w:hAnsi="宋体" w:cs="Times New Roman"/>
          <w:color w:val="auto"/>
          <w:szCs w:val="21"/>
          <w:highlight w:val="none"/>
        </w:rPr>
        <w:t>的在下面签字的</w:t>
      </w:r>
      <w:r>
        <w:rPr>
          <w:rFonts w:hint="eastAsia" w:ascii="宋体" w:hAnsi="宋体" w:cs="Times New Roman"/>
          <w:color w:val="auto"/>
          <w:szCs w:val="21"/>
          <w:highlight w:val="none"/>
          <w:u w:val="single"/>
        </w:rPr>
        <w:t>（法定代表人姓名、职务）</w:t>
      </w:r>
      <w:r>
        <w:rPr>
          <w:rFonts w:hint="eastAsia" w:ascii="宋体" w:hAnsi="宋体" w:cs="Times New Roman"/>
          <w:color w:val="auto"/>
          <w:szCs w:val="21"/>
          <w:highlight w:val="none"/>
        </w:rPr>
        <w:t>代表本单位授权</w:t>
      </w:r>
      <w:r>
        <w:rPr>
          <w:rFonts w:hint="eastAsia" w:ascii="宋体" w:hAnsi="宋体" w:cs="Times New Roman"/>
          <w:color w:val="auto"/>
          <w:szCs w:val="21"/>
          <w:highlight w:val="none"/>
          <w:u w:val="single"/>
        </w:rPr>
        <w:t>（单位名称）</w:t>
      </w:r>
      <w:r>
        <w:rPr>
          <w:rFonts w:hint="eastAsia" w:ascii="宋体" w:hAnsi="宋体" w:cs="Times New Roman"/>
          <w:color w:val="auto"/>
          <w:szCs w:val="21"/>
          <w:highlight w:val="none"/>
        </w:rPr>
        <w:t>的在下面签字的</w:t>
      </w:r>
      <w:r>
        <w:rPr>
          <w:rFonts w:hint="eastAsia" w:ascii="宋体" w:hAnsi="宋体" w:cs="Times New Roman"/>
          <w:color w:val="auto"/>
          <w:szCs w:val="21"/>
          <w:highlight w:val="none"/>
          <w:u w:val="single"/>
        </w:rPr>
        <w:t>（被授权人的姓名、职务）</w:t>
      </w:r>
      <w:r>
        <w:rPr>
          <w:rFonts w:hint="eastAsia" w:ascii="宋体" w:hAnsi="宋体" w:cs="Times New Roman"/>
          <w:color w:val="auto"/>
          <w:szCs w:val="21"/>
          <w:highlight w:val="none"/>
        </w:rPr>
        <w:t>为本单位的合法代理人，就</w:t>
      </w:r>
      <w:r>
        <w:rPr>
          <w:rFonts w:hint="eastAsia" w:ascii="宋体" w:hAnsi="宋体" w:cs="Times New Roman"/>
          <w:color w:val="auto"/>
          <w:szCs w:val="21"/>
          <w:highlight w:val="none"/>
          <w:u w:val="single"/>
        </w:rPr>
        <w:t>（项目名称）</w:t>
      </w:r>
      <w:r>
        <w:rPr>
          <w:rFonts w:hint="eastAsia" w:ascii="宋体" w:hAnsi="宋体" w:cs="Times New Roman"/>
          <w:color w:val="auto"/>
          <w:szCs w:val="21"/>
          <w:highlight w:val="none"/>
        </w:rPr>
        <w:t>投标及参加项目谈判，以本单位名义处理一切与之有关的事务。</w:t>
      </w:r>
    </w:p>
    <w:p>
      <w:pPr>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本授权书于</w:t>
      </w:r>
      <w:r>
        <w:rPr>
          <w:rFonts w:hint="eastAsia" w:ascii="宋体" w:hAnsi="宋体" w:cs="Times New Roman"/>
          <w:color w:val="auto"/>
          <w:szCs w:val="21"/>
          <w:highlight w:val="none"/>
          <w:u w:val="single"/>
        </w:rPr>
        <w:t>　　</w:t>
      </w:r>
      <w:r>
        <w:rPr>
          <w:rFonts w:hint="eastAsia" w:ascii="宋体" w:hAnsi="宋体" w:cs="Times New Roman"/>
          <w:color w:val="auto"/>
          <w:szCs w:val="21"/>
          <w:highlight w:val="none"/>
        </w:rPr>
        <w:t>年</w:t>
      </w:r>
      <w:r>
        <w:rPr>
          <w:rFonts w:hint="eastAsia" w:ascii="宋体" w:hAnsi="宋体" w:cs="Times New Roman"/>
          <w:color w:val="auto"/>
          <w:szCs w:val="21"/>
          <w:highlight w:val="none"/>
          <w:u w:val="single"/>
        </w:rPr>
        <w:t>　　</w:t>
      </w:r>
      <w:r>
        <w:rPr>
          <w:rFonts w:hint="eastAsia" w:ascii="宋体" w:hAnsi="宋体" w:cs="Times New Roman"/>
          <w:color w:val="auto"/>
          <w:szCs w:val="21"/>
          <w:highlight w:val="none"/>
        </w:rPr>
        <w:t>月</w:t>
      </w:r>
      <w:r>
        <w:rPr>
          <w:rFonts w:hint="eastAsia" w:ascii="宋体" w:hAnsi="宋体" w:cs="Times New Roman"/>
          <w:color w:val="auto"/>
          <w:szCs w:val="21"/>
          <w:highlight w:val="none"/>
          <w:u w:val="single"/>
        </w:rPr>
        <w:t>　　</w:t>
      </w:r>
      <w:r>
        <w:rPr>
          <w:rFonts w:hint="eastAsia" w:ascii="宋体" w:hAnsi="宋体" w:cs="Times New Roman"/>
          <w:color w:val="auto"/>
          <w:szCs w:val="21"/>
          <w:highlight w:val="none"/>
        </w:rPr>
        <w:t>日签字生效，特此声明。</w:t>
      </w:r>
    </w:p>
    <w:p>
      <w:pPr>
        <w:pStyle w:val="42"/>
        <w:spacing w:line="500" w:lineRule="atLeast"/>
        <w:ind w:firstLine="3517" w:firstLineChars="1675"/>
        <w:rPr>
          <w:rFonts w:ascii="宋体" w:eastAsia="宋体"/>
          <w:color w:val="auto"/>
          <w:sz w:val="21"/>
          <w:szCs w:val="21"/>
          <w:highlight w:val="none"/>
        </w:rPr>
      </w:pP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p>
    <w:p>
      <w:pPr>
        <w:pStyle w:val="42"/>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法定代表人签字（签名或盖私章）：</w:t>
      </w: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被授权人签字：</w:t>
      </w:r>
    </w:p>
    <w:p>
      <w:pPr>
        <w:pStyle w:val="42"/>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职务：</w:t>
      </w: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移动电话： </w:t>
      </w: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详细通讯地址：</w:t>
      </w:r>
    </w:p>
    <w:p>
      <w:pPr>
        <w:pStyle w:val="42"/>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邮箱：                          </w:t>
      </w:r>
    </w:p>
    <w:p>
      <w:pPr>
        <w:pStyle w:val="42"/>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  年  月  日</w:t>
      </w:r>
    </w:p>
    <w:p>
      <w:pPr>
        <w:pStyle w:val="42"/>
        <w:spacing w:line="460" w:lineRule="exact"/>
        <w:ind w:firstLine="433"/>
        <w:rPr>
          <w:rFonts w:ascii="宋体" w:eastAsia="宋体"/>
          <w:color w:val="auto"/>
          <w:sz w:val="21"/>
          <w:szCs w:val="21"/>
          <w:highlight w:val="none"/>
        </w:rPr>
      </w:pPr>
    </w:p>
    <w:p>
      <w:pPr>
        <w:ind w:firstLine="420" w:firstLineChars="200"/>
        <w:rPr>
          <w:color w:val="auto"/>
          <w:highlight w:val="none"/>
        </w:rPr>
      </w:pPr>
      <w:r>
        <w:rPr>
          <w:rFonts w:hint="eastAsia" w:ascii="宋体" w:hAnsi="宋体"/>
          <w:color w:val="auto"/>
          <w:szCs w:val="21"/>
          <w:highlight w:val="none"/>
        </w:rPr>
        <w:t>须附：被授权人身份证复印件。</w:t>
      </w:r>
    </w:p>
    <w:tbl>
      <w:tblPr>
        <w:tblStyle w:val="28"/>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42"/>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232" w:type="dxa"/>
            <w:vAlign w:val="center"/>
          </w:tcPr>
          <w:p>
            <w:pPr>
              <w:pStyle w:val="42"/>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adjustRightInd/>
        <w:snapToGrid/>
        <w:spacing w:line="276" w:lineRule="auto"/>
        <w:rPr>
          <w:color w:val="auto"/>
          <w:highlight w:val="none"/>
        </w:rPr>
      </w:pPr>
      <w:bookmarkStart w:id="115" w:name="_Toc22486"/>
      <w:r>
        <w:rPr>
          <w:rFonts w:hint="eastAsia" w:ascii="宋体" w:hAnsi="宋体"/>
          <w:color w:val="auto"/>
          <w:szCs w:val="21"/>
          <w:highlight w:val="none"/>
        </w:rPr>
        <w:br w:type="page"/>
      </w:r>
    </w:p>
    <w:p>
      <w:pPr>
        <w:pStyle w:val="5"/>
        <w:widowControl w:val="0"/>
        <w:overflowPunct w:val="0"/>
        <w:spacing w:line="240" w:lineRule="auto"/>
        <w:rPr>
          <w:rFonts w:ascii="宋体" w:hAnsi="宋体"/>
          <w:color w:val="auto"/>
          <w:sz w:val="21"/>
          <w:szCs w:val="21"/>
          <w:highlight w:val="none"/>
        </w:rPr>
      </w:pPr>
      <w:bookmarkStart w:id="116" w:name="_Toc7488"/>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.资格申明</w:t>
      </w:r>
      <w:bookmarkEnd w:id="116"/>
    </w:p>
    <w:p>
      <w:pPr>
        <w:jc w:val="center"/>
        <w:rPr>
          <w:rFonts w:ascii="黑体" w:eastAsia="黑体"/>
          <w:color w:val="auto"/>
          <w:sz w:val="28"/>
          <w:szCs w:val="28"/>
          <w:highlight w:val="none"/>
        </w:rPr>
      </w:pPr>
      <w:r>
        <w:rPr>
          <w:rFonts w:hint="eastAsia" w:ascii="黑体" w:eastAsia="黑体"/>
          <w:color w:val="auto"/>
          <w:sz w:val="28"/>
          <w:szCs w:val="28"/>
          <w:highlight w:val="none"/>
        </w:rPr>
        <w:t>资格申明</w:t>
      </w:r>
    </w:p>
    <w:p>
      <w:pPr>
        <w:pStyle w:val="42"/>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u w:val="single"/>
        </w:rPr>
        <w:t xml:space="preserve">  xxx   </w:t>
      </w:r>
      <w:r>
        <w:rPr>
          <w:rFonts w:hint="eastAsia" w:ascii="宋体" w:eastAsia="宋体"/>
          <w:color w:val="auto"/>
          <w:sz w:val="21"/>
          <w:szCs w:val="21"/>
          <w:highlight w:val="none"/>
        </w:rPr>
        <w:t>公司：</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我方</w:t>
      </w:r>
      <w:r>
        <w:rPr>
          <w:rFonts w:ascii="宋体" w:hAnsi="宋体"/>
          <w:color w:val="auto"/>
          <w:szCs w:val="21"/>
          <w:highlight w:val="none"/>
        </w:rPr>
        <w:t>愿响应</w:t>
      </w:r>
      <w:r>
        <w:rPr>
          <w:rFonts w:hint="eastAsia" w:ascii="宋体" w:hAnsi="宋体"/>
          <w:color w:val="auto"/>
          <w:szCs w:val="21"/>
          <w:highlight w:val="none"/>
        </w:rPr>
        <w:t>贵</w:t>
      </w:r>
      <w:r>
        <w:rPr>
          <w:rFonts w:ascii="宋体" w:hAnsi="宋体"/>
          <w:color w:val="auto"/>
          <w:szCs w:val="21"/>
          <w:highlight w:val="none"/>
        </w:rPr>
        <w:t>方</w:t>
      </w:r>
      <w:r>
        <w:rPr>
          <w:rFonts w:hint="eastAsia" w:ascii="宋体" w:hAnsi="宋体"/>
          <w:color w:val="auto"/>
          <w:szCs w:val="21"/>
          <w:highlight w:val="none"/>
        </w:rPr>
        <w:t>关于（项目名称：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采购项目编号：</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的</w:t>
      </w:r>
      <w:r>
        <w:rPr>
          <w:rFonts w:ascii="宋体" w:hAnsi="宋体"/>
          <w:color w:val="auto"/>
          <w:szCs w:val="21"/>
          <w:highlight w:val="none"/>
        </w:rPr>
        <w:t>投标邀请，参与投标，提供用户需求书中规定的</w:t>
      </w:r>
      <w:r>
        <w:rPr>
          <w:rFonts w:hint="eastAsia" w:ascii="宋体" w:hAnsi="宋体"/>
          <w:color w:val="auto"/>
          <w:szCs w:val="21"/>
          <w:highlight w:val="none"/>
        </w:rPr>
        <w:t>货物及相关服务</w:t>
      </w:r>
      <w:r>
        <w:rPr>
          <w:rFonts w:ascii="宋体" w:hAnsi="宋体"/>
          <w:color w:val="auto"/>
          <w:szCs w:val="21"/>
          <w:highlight w:val="none"/>
        </w:rPr>
        <w:t>，并按</w:t>
      </w:r>
      <w:r>
        <w:rPr>
          <w:rFonts w:hint="eastAsia" w:ascii="宋体" w:hAnsi="宋体"/>
          <w:color w:val="auto"/>
          <w:szCs w:val="21"/>
          <w:highlight w:val="none"/>
        </w:rPr>
        <w:t>采购</w:t>
      </w:r>
      <w:r>
        <w:rPr>
          <w:rFonts w:ascii="宋体" w:hAnsi="宋体"/>
          <w:color w:val="auto"/>
          <w:szCs w:val="21"/>
          <w:highlight w:val="none"/>
        </w:rPr>
        <w:t>文件要求提交所附资格文件且声明和保证如下：</w:t>
      </w:r>
    </w:p>
    <w:p>
      <w:pPr>
        <w:ind w:firstLine="420" w:firstLineChars="200"/>
        <w:rPr>
          <w:rFonts w:ascii="宋体" w:hAnsi="宋体"/>
          <w:color w:val="auto"/>
          <w:szCs w:val="21"/>
          <w:highlight w:val="none"/>
        </w:rPr>
      </w:pPr>
      <w:r>
        <w:rPr>
          <w:rFonts w:hint="eastAsia" w:ascii="宋体" w:hAnsi="宋体"/>
          <w:color w:val="auto"/>
          <w:szCs w:val="21"/>
          <w:highlight w:val="none"/>
        </w:rPr>
        <w:t>一、我方具备投标人邀请中所要求得资格条件，已清楚采购文件所有要求及有关规定；并承诺参加本次采购活动中，如有违法、违规、弄虚作假行为，所造成的损失、不良后果及法律责任，一律由我方承担；</w:t>
      </w:r>
    </w:p>
    <w:p>
      <w:pPr>
        <w:ind w:firstLine="420" w:firstLineChars="200"/>
        <w:rPr>
          <w:rFonts w:ascii="宋体" w:hAnsi="宋体"/>
          <w:color w:val="auto"/>
          <w:szCs w:val="21"/>
          <w:highlight w:val="none"/>
        </w:rPr>
      </w:pPr>
      <w:r>
        <w:rPr>
          <w:rFonts w:hint="eastAsia" w:ascii="宋体" w:hAnsi="宋体"/>
          <w:color w:val="auto"/>
          <w:szCs w:val="21"/>
          <w:highlight w:val="none"/>
        </w:rPr>
        <w:t>二、</w:t>
      </w:r>
      <w:r>
        <w:rPr>
          <w:rFonts w:ascii="宋体" w:hAnsi="宋体"/>
          <w:color w:val="auto"/>
          <w:szCs w:val="21"/>
          <w:highlight w:val="none"/>
        </w:rPr>
        <w:t>我方依法注册，在法律上、财务上和运作上完全独立于</w:t>
      </w:r>
      <w:r>
        <w:rPr>
          <w:rFonts w:hint="eastAsia" w:ascii="宋体" w:hAnsi="宋体"/>
          <w:color w:val="auto"/>
          <w:szCs w:val="21"/>
          <w:highlight w:val="none"/>
          <w:u w:val="single"/>
        </w:rPr>
        <w:t xml:space="preserve">  xxxx   </w:t>
      </w:r>
      <w:r>
        <w:rPr>
          <w:rFonts w:hint="eastAsia" w:ascii="宋体" w:hAnsi="宋体"/>
          <w:color w:val="auto"/>
          <w:szCs w:val="21"/>
          <w:highlight w:val="none"/>
        </w:rPr>
        <w:t>公司</w:t>
      </w:r>
      <w:r>
        <w:rPr>
          <w:rFonts w:ascii="宋体" w:hAnsi="宋体"/>
          <w:color w:val="auto"/>
          <w:szCs w:val="21"/>
          <w:highlight w:val="none"/>
        </w:rPr>
        <w:t>（</w:t>
      </w:r>
      <w:r>
        <w:rPr>
          <w:rFonts w:hint="eastAsia" w:ascii="宋体" w:hAnsi="宋体"/>
          <w:color w:val="auto"/>
          <w:szCs w:val="21"/>
          <w:highlight w:val="none"/>
        </w:rPr>
        <w:t>采购人</w:t>
      </w:r>
      <w:r>
        <w:rPr>
          <w:rFonts w:ascii="宋体" w:hAnsi="宋体"/>
          <w:color w:val="auto"/>
          <w:szCs w:val="21"/>
          <w:highlight w:val="none"/>
        </w:rPr>
        <w:t>）及</w:t>
      </w:r>
      <w:r>
        <w:rPr>
          <w:rFonts w:hint="eastAsia" w:ascii="宋体" w:hAnsi="宋体"/>
          <w:color w:val="auto"/>
          <w:szCs w:val="21"/>
          <w:highlight w:val="none"/>
          <w:u w:val="single"/>
        </w:rPr>
        <w:t xml:space="preserve">    xxx   </w:t>
      </w:r>
      <w:r>
        <w:rPr>
          <w:rFonts w:hint="eastAsia" w:ascii="宋体" w:hAnsi="宋体"/>
          <w:color w:val="auto"/>
          <w:szCs w:val="21"/>
          <w:highlight w:val="none"/>
        </w:rPr>
        <w:t>公司</w:t>
      </w:r>
      <w:r>
        <w:rPr>
          <w:rFonts w:ascii="宋体" w:hAnsi="宋体"/>
          <w:color w:val="auto"/>
          <w:szCs w:val="21"/>
          <w:highlight w:val="none"/>
        </w:rPr>
        <w:t>（采购代理机构）</w:t>
      </w:r>
      <w:r>
        <w:rPr>
          <w:rFonts w:hint="eastAsia" w:ascii="宋体" w:hAnsi="宋体"/>
          <w:color w:val="auto"/>
          <w:szCs w:val="21"/>
          <w:highlight w:val="none"/>
        </w:rPr>
        <w:t>。</w:t>
      </w:r>
    </w:p>
    <w:p>
      <w:pPr>
        <w:pStyle w:val="42"/>
        <w:spacing w:line="500" w:lineRule="atLeast"/>
        <w:ind w:firstLine="3517" w:firstLineChars="1675"/>
        <w:rPr>
          <w:rFonts w:ascii="宋体" w:eastAsia="宋体"/>
          <w:color w:val="auto"/>
          <w:sz w:val="21"/>
          <w:szCs w:val="21"/>
          <w:highlight w:val="none"/>
        </w:rPr>
      </w:pPr>
    </w:p>
    <w:p>
      <w:pPr>
        <w:pStyle w:val="42"/>
        <w:spacing w:line="500" w:lineRule="atLeast"/>
        <w:ind w:firstLine="3517" w:firstLineChars="1675"/>
        <w:rPr>
          <w:rFonts w:ascii="宋体" w:eastAsia="宋体"/>
          <w:color w:val="auto"/>
          <w:sz w:val="21"/>
          <w:szCs w:val="21"/>
          <w:highlight w:val="none"/>
        </w:rPr>
      </w:pPr>
    </w:p>
    <w:p>
      <w:pPr>
        <w:pStyle w:val="42"/>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投标人名称（加盖公章）：</w:t>
      </w:r>
    </w:p>
    <w:p>
      <w:pPr>
        <w:pStyle w:val="42"/>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法定代表人签字（签名或盖私章）：</w:t>
      </w:r>
    </w:p>
    <w:p>
      <w:pPr>
        <w:pStyle w:val="42"/>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42"/>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br w:type="page"/>
      </w:r>
    </w:p>
    <w:p>
      <w:pPr>
        <w:pStyle w:val="5"/>
        <w:widowControl w:val="0"/>
        <w:overflowPunct w:val="0"/>
        <w:spacing w:line="240" w:lineRule="auto"/>
        <w:rPr>
          <w:rFonts w:ascii="宋体" w:hAnsi="宋体"/>
          <w:color w:val="auto"/>
          <w:sz w:val="21"/>
          <w:szCs w:val="21"/>
          <w:highlight w:val="none"/>
        </w:rPr>
      </w:pPr>
      <w:bookmarkStart w:id="117" w:name="_Toc761"/>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.营业执照</w:t>
      </w:r>
      <w:bookmarkEnd w:id="117"/>
    </w:p>
    <w:p>
      <w:pPr>
        <w:jc w:val="center"/>
        <w:rPr>
          <w:rFonts w:ascii="黑体" w:eastAsia="黑体"/>
          <w:color w:val="auto"/>
          <w:sz w:val="28"/>
          <w:szCs w:val="28"/>
          <w:highlight w:val="none"/>
        </w:rPr>
      </w:pPr>
      <w:bookmarkStart w:id="118" w:name="_Toc4926"/>
      <w:bookmarkStart w:id="119" w:name="_Toc24210"/>
      <w:bookmarkStart w:id="120" w:name="_Toc5919"/>
      <w:bookmarkStart w:id="121" w:name="_Toc17470"/>
      <w:bookmarkStart w:id="122" w:name="_Toc1511"/>
      <w:r>
        <w:rPr>
          <w:rFonts w:hint="eastAsia" w:ascii="黑体" w:eastAsia="黑体"/>
          <w:color w:val="auto"/>
          <w:sz w:val="28"/>
          <w:szCs w:val="28"/>
          <w:highlight w:val="none"/>
        </w:rPr>
        <w:t>营业执照</w:t>
      </w:r>
      <w:bookmarkEnd w:id="118"/>
      <w:bookmarkEnd w:id="119"/>
      <w:bookmarkEnd w:id="120"/>
      <w:bookmarkEnd w:id="121"/>
      <w:bookmarkEnd w:id="122"/>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5"/>
        <w:widowControl w:val="0"/>
        <w:overflowPunct w:val="0"/>
        <w:spacing w:line="240" w:lineRule="auto"/>
        <w:rPr>
          <w:rFonts w:ascii="宋体" w:hAnsi="宋体"/>
          <w:color w:val="auto"/>
          <w:sz w:val="21"/>
          <w:szCs w:val="21"/>
          <w:highlight w:val="none"/>
        </w:rPr>
      </w:pPr>
      <w:bookmarkStart w:id="123" w:name="_Toc4612"/>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.相关资质证明文件</w:t>
      </w:r>
      <w:bookmarkEnd w:id="123"/>
    </w:p>
    <w:p>
      <w:pPr>
        <w:rPr>
          <w:color w:val="auto"/>
          <w:highlight w:val="none"/>
        </w:rPr>
      </w:pPr>
    </w:p>
    <w:p>
      <w:pPr>
        <w:jc w:val="center"/>
        <w:rPr>
          <w:rFonts w:ascii="黑体" w:eastAsia="黑体"/>
          <w:color w:val="auto"/>
          <w:sz w:val="28"/>
          <w:szCs w:val="28"/>
          <w:highlight w:val="none"/>
        </w:rPr>
      </w:pPr>
      <w:bookmarkStart w:id="124" w:name="_Toc9592"/>
      <w:bookmarkStart w:id="125" w:name="_Toc30307"/>
      <w:bookmarkStart w:id="126" w:name="_Toc16233"/>
      <w:bookmarkStart w:id="127" w:name="_Toc16698"/>
      <w:bookmarkStart w:id="128" w:name="_Toc13458"/>
      <w:r>
        <w:rPr>
          <w:rFonts w:hint="eastAsia" w:ascii="黑体" w:eastAsia="黑体"/>
          <w:color w:val="auto"/>
          <w:sz w:val="28"/>
          <w:szCs w:val="28"/>
          <w:highlight w:val="none"/>
        </w:rPr>
        <w:t>相关资质证明文件</w:t>
      </w:r>
      <w:bookmarkEnd w:id="115"/>
      <w:bookmarkEnd w:id="124"/>
      <w:bookmarkEnd w:id="125"/>
      <w:bookmarkEnd w:id="126"/>
      <w:bookmarkEnd w:id="127"/>
      <w:bookmarkEnd w:id="128"/>
    </w:p>
    <w:p>
      <w:pPr>
        <w:numPr>
          <w:ilvl w:val="0"/>
          <w:numId w:val="11"/>
        </w:numPr>
        <w:tabs>
          <w:tab w:val="left" w:pos="1680"/>
        </w:tabs>
        <w:jc w:val="both"/>
        <w:rPr>
          <w:rFonts w:ascii="宋体" w:hAnsi="宋体" w:cs="宋体"/>
          <w:b/>
          <w:bCs/>
          <w:color w:val="auto"/>
          <w:szCs w:val="21"/>
          <w:highlight w:val="none"/>
        </w:rPr>
      </w:pPr>
      <w:r>
        <w:rPr>
          <w:rFonts w:hint="eastAsia" w:ascii="宋体" w:hAnsi="宋体" w:cs="宋体"/>
          <w:b/>
          <w:bCs/>
          <w:color w:val="auto"/>
          <w:szCs w:val="21"/>
          <w:highlight w:val="none"/>
        </w:rPr>
        <w:t>符合投标邀请书“投标人资格要求”其他要求对应的证明文件；</w:t>
      </w:r>
    </w:p>
    <w:p>
      <w:pPr>
        <w:numPr>
          <w:ilvl w:val="0"/>
          <w:numId w:val="11"/>
        </w:numPr>
        <w:tabs>
          <w:tab w:val="left" w:pos="1680"/>
        </w:tabs>
        <w:jc w:val="both"/>
        <w:rPr>
          <w:rFonts w:ascii="宋体" w:hAnsi="宋体" w:cs="宋体"/>
          <w:b/>
          <w:bCs/>
          <w:color w:val="auto"/>
          <w:szCs w:val="21"/>
          <w:highlight w:val="none"/>
        </w:rPr>
      </w:pPr>
      <w:r>
        <w:rPr>
          <w:rFonts w:hint="eastAsia" w:ascii="宋体" w:hAnsi="宋体" w:cs="宋体"/>
          <w:b/>
          <w:bCs/>
          <w:color w:val="auto"/>
          <w:szCs w:val="21"/>
          <w:highlight w:val="none"/>
        </w:rPr>
        <w:t>投标人认为必要的文件。</w:t>
      </w:r>
    </w:p>
    <w:p>
      <w:pPr>
        <w:rPr>
          <w:rFonts w:hint="eastAsia"/>
          <w:color w:val="auto"/>
          <w:highlight w:val="none"/>
        </w:rPr>
      </w:pPr>
      <w:r>
        <w:rPr>
          <w:rFonts w:hint="eastAsia"/>
          <w:color w:val="auto"/>
          <w:highlight w:val="none"/>
        </w:rPr>
        <w:br w:type="page"/>
      </w:r>
    </w:p>
    <w:p>
      <w:pPr>
        <w:numPr>
          <w:ilvl w:val="0"/>
          <w:numId w:val="0"/>
        </w:numPr>
        <w:tabs>
          <w:tab w:val="left" w:pos="1680"/>
        </w:tabs>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szCs w:val="21"/>
          <w:highlight w:val="none"/>
        </w:rPr>
        <w:t>-1 关于行政处罚</w:t>
      </w:r>
      <w:r>
        <w:rPr>
          <w:rFonts w:hint="eastAsia" w:ascii="宋体" w:hAnsi="宋体" w:cs="宋体"/>
          <w:b/>
          <w:bCs/>
          <w:color w:val="auto"/>
          <w:szCs w:val="21"/>
          <w:highlight w:val="none"/>
          <w:lang w:val="en-US" w:eastAsia="zh-CN"/>
        </w:rPr>
        <w:t>声</w:t>
      </w:r>
      <w:r>
        <w:rPr>
          <w:rFonts w:hint="eastAsia" w:ascii="宋体" w:hAnsi="宋体" w:eastAsia="宋体" w:cs="宋体"/>
          <w:b/>
          <w:bCs/>
          <w:color w:val="auto"/>
          <w:szCs w:val="21"/>
          <w:highlight w:val="none"/>
        </w:rPr>
        <w:t>明</w:t>
      </w:r>
    </w:p>
    <w:p>
      <w:pPr>
        <w:spacing w:before="240" w:beforeLines="100" w:line="360" w:lineRule="auto"/>
        <w:ind w:right="561" w:firstLine="420" w:firstLineChars="200"/>
        <w:rPr>
          <w:rFonts w:hint="eastAsia" w:ascii="宋体" w:hAnsi="宋体"/>
          <w:color w:val="auto"/>
          <w:sz w:val="21"/>
          <w:szCs w:val="22"/>
          <w:highlight w:val="none"/>
        </w:rPr>
      </w:pPr>
      <w:r>
        <w:rPr>
          <w:rFonts w:hint="eastAsia" w:ascii="宋体" w:hAnsi="宋体"/>
          <w:color w:val="auto"/>
          <w:sz w:val="21"/>
          <w:szCs w:val="22"/>
          <w:highlight w:val="none"/>
        </w:rPr>
        <w:t>我方</w:t>
      </w:r>
      <w:r>
        <w:rPr>
          <w:rFonts w:hint="eastAsia" w:ascii="宋体" w:hAnsi="宋体"/>
          <w:color w:val="auto"/>
          <w:sz w:val="21"/>
          <w:szCs w:val="22"/>
          <w:highlight w:val="none"/>
          <w:u w:val="single"/>
        </w:rPr>
        <w:t>（投标人名称）</w:t>
      </w:r>
      <w:r>
        <w:rPr>
          <w:rFonts w:hint="eastAsia" w:ascii="宋体" w:hAnsi="宋体"/>
          <w:color w:val="auto"/>
          <w:sz w:val="21"/>
          <w:szCs w:val="22"/>
          <w:highlight w:val="none"/>
        </w:rPr>
        <w:t>已完整阅读了</w:t>
      </w:r>
      <w:r>
        <w:rPr>
          <w:rFonts w:hint="eastAsia" w:ascii="宋体" w:hAnsi="宋体"/>
          <w:color w:val="auto"/>
          <w:sz w:val="21"/>
          <w:szCs w:val="22"/>
          <w:highlight w:val="none"/>
          <w:lang w:eastAsia="zh-CN"/>
        </w:rPr>
        <w:t>东莞市海心沙资源综合利用中心环保热电厂活性炭、石灰采购项目（重新采购）</w:t>
      </w:r>
      <w:r>
        <w:rPr>
          <w:rFonts w:hint="eastAsia" w:ascii="宋体" w:hAnsi="宋体"/>
          <w:color w:val="auto"/>
          <w:sz w:val="21"/>
          <w:szCs w:val="22"/>
          <w:highlight w:val="none"/>
        </w:rPr>
        <w:t>（</w:t>
      </w:r>
      <w:r>
        <w:rPr>
          <w:rFonts w:hint="eastAsia" w:ascii="宋体" w:hAnsi="宋体"/>
          <w:color w:val="auto"/>
          <w:sz w:val="21"/>
          <w:szCs w:val="22"/>
          <w:highlight w:val="none"/>
          <w:lang w:eastAsia="zh-CN"/>
        </w:rPr>
        <w:t>采购编号</w:t>
      </w:r>
      <w:r>
        <w:rPr>
          <w:rFonts w:hint="eastAsia" w:ascii="宋体" w:hAnsi="宋体"/>
          <w:color w:val="auto"/>
          <w:sz w:val="21"/>
          <w:szCs w:val="22"/>
          <w:highlight w:val="none"/>
        </w:rPr>
        <w:t>：XDY-GK-2023-003）</w:t>
      </w:r>
      <w:r>
        <w:rPr>
          <w:rFonts w:hint="eastAsia" w:ascii="宋体" w:hAnsi="宋体"/>
          <w:color w:val="auto"/>
          <w:sz w:val="21"/>
          <w:szCs w:val="22"/>
          <w:highlight w:val="none"/>
          <w:lang w:eastAsia="zh-CN"/>
        </w:rPr>
        <w:t>采购文件</w:t>
      </w:r>
      <w:r>
        <w:rPr>
          <w:rFonts w:hint="eastAsia" w:ascii="宋体" w:hAnsi="宋体"/>
          <w:color w:val="auto"/>
          <w:sz w:val="21"/>
          <w:szCs w:val="22"/>
          <w:highlight w:val="none"/>
        </w:rPr>
        <w:t>的所有内容（包括澄清，以及所有已提供的参考资料和有关附件）。</w:t>
      </w:r>
    </w:p>
    <w:p>
      <w:pPr>
        <w:spacing w:line="360" w:lineRule="auto"/>
        <w:ind w:right="561" w:firstLine="420" w:firstLineChars="200"/>
        <w:rPr>
          <w:rFonts w:hint="eastAsia" w:ascii="宋体" w:hAnsi="宋体"/>
          <w:color w:val="auto"/>
          <w:sz w:val="21"/>
          <w:szCs w:val="22"/>
          <w:highlight w:val="none"/>
        </w:rPr>
      </w:pPr>
      <w:r>
        <w:rPr>
          <w:rFonts w:hint="eastAsia" w:ascii="宋体" w:hAnsi="宋体"/>
          <w:color w:val="auto"/>
          <w:sz w:val="21"/>
          <w:szCs w:val="22"/>
          <w:highlight w:val="none"/>
        </w:rPr>
        <w:t>我方承诺，我方（含我方依法设立的分公司）在投标前</w:t>
      </w:r>
      <w:r>
        <w:rPr>
          <w:rFonts w:ascii="宋体" w:hAnsi="宋体"/>
          <w:color w:val="auto"/>
          <w:sz w:val="21"/>
          <w:szCs w:val="22"/>
          <w:highlight w:val="none"/>
        </w:rPr>
        <w:t>1</w:t>
      </w:r>
      <w:r>
        <w:rPr>
          <w:rFonts w:hint="eastAsia" w:ascii="宋体" w:hAnsi="宋体"/>
          <w:color w:val="auto"/>
          <w:sz w:val="21"/>
          <w:szCs w:val="22"/>
          <w:highlight w:val="none"/>
        </w:rPr>
        <w:t>年内（20</w:t>
      </w:r>
      <w:r>
        <w:rPr>
          <w:rFonts w:ascii="宋体" w:hAnsi="宋体"/>
          <w:color w:val="auto"/>
          <w:sz w:val="21"/>
          <w:szCs w:val="22"/>
          <w:highlight w:val="none"/>
        </w:rPr>
        <w:t>2</w:t>
      </w:r>
      <w:r>
        <w:rPr>
          <w:rFonts w:hint="eastAsia" w:ascii="宋体" w:hAnsi="宋体"/>
          <w:color w:val="auto"/>
          <w:sz w:val="21"/>
          <w:szCs w:val="22"/>
          <w:highlight w:val="none"/>
          <w:lang w:val="en-US" w:eastAsia="zh-CN"/>
        </w:rPr>
        <w:t>2</w:t>
      </w:r>
      <w:r>
        <w:rPr>
          <w:rFonts w:hint="eastAsia" w:ascii="宋体" w:hAnsi="宋体"/>
          <w:color w:val="auto"/>
          <w:sz w:val="21"/>
          <w:szCs w:val="22"/>
          <w:highlight w:val="none"/>
        </w:rPr>
        <w:t>年</w:t>
      </w:r>
      <w:r>
        <w:rPr>
          <w:rFonts w:ascii="宋体" w:hAnsi="宋体"/>
          <w:color w:val="auto"/>
          <w:sz w:val="21"/>
          <w:szCs w:val="22"/>
          <w:highlight w:val="none"/>
        </w:rPr>
        <w:t>1</w:t>
      </w:r>
      <w:r>
        <w:rPr>
          <w:rFonts w:hint="eastAsia" w:ascii="宋体" w:hAnsi="宋体"/>
          <w:color w:val="auto"/>
          <w:sz w:val="21"/>
          <w:szCs w:val="22"/>
          <w:highlight w:val="none"/>
        </w:rPr>
        <w:t>月1日以来）未受到本项目</w:t>
      </w:r>
      <w:r>
        <w:rPr>
          <w:rFonts w:hint="eastAsia" w:ascii="宋体" w:hAnsi="宋体"/>
          <w:color w:val="auto"/>
          <w:sz w:val="21"/>
          <w:szCs w:val="22"/>
          <w:highlight w:val="none"/>
          <w:lang w:eastAsia="zh-CN"/>
        </w:rPr>
        <w:t>采购文件</w:t>
      </w:r>
      <w:r>
        <w:rPr>
          <w:rFonts w:hint="eastAsia" w:ascii="宋体" w:hAnsi="宋体"/>
          <w:color w:val="auto"/>
          <w:sz w:val="21"/>
          <w:szCs w:val="22"/>
          <w:highlight w:val="none"/>
        </w:rPr>
        <w:t>所述的生态环境主管部门给予</w:t>
      </w:r>
      <w:r>
        <w:rPr>
          <w:rFonts w:hint="eastAsia" w:ascii="宋体" w:hAnsi="宋体"/>
          <w:color w:val="auto"/>
          <w:sz w:val="21"/>
          <w:szCs w:val="21"/>
          <w:highlight w:val="none"/>
        </w:rPr>
        <w:t>的</w:t>
      </w:r>
      <w:r>
        <w:rPr>
          <w:rFonts w:ascii="Tahoma" w:hAnsi="Tahoma" w:cs="Tahoma"/>
          <w:color w:val="auto"/>
          <w:highlight w:val="none"/>
        </w:rPr>
        <w:t>暂扣许可证件、降低资质等级、吊销许可证件</w:t>
      </w:r>
      <w:r>
        <w:rPr>
          <w:rFonts w:hint="eastAsia" w:ascii="Tahoma" w:hAnsi="Tahoma" w:cs="Tahoma"/>
          <w:color w:val="auto"/>
          <w:highlight w:val="none"/>
        </w:rPr>
        <w:t>、</w:t>
      </w:r>
      <w:r>
        <w:rPr>
          <w:rFonts w:ascii="Tahoma" w:hAnsi="Tahoma" w:cs="Tahoma"/>
          <w:color w:val="auto"/>
          <w:highlight w:val="none"/>
        </w:rPr>
        <w:t>限制开展生产经营活动、责令停产停业、责令关闭</w:t>
      </w:r>
      <w:r>
        <w:rPr>
          <w:rFonts w:hint="eastAsia" w:ascii="Tahoma" w:hAnsi="Tahoma" w:cs="Tahoma"/>
          <w:color w:val="auto"/>
          <w:highlight w:val="none"/>
        </w:rPr>
        <w:t>和</w:t>
      </w:r>
      <w:r>
        <w:rPr>
          <w:rFonts w:ascii="Tahoma" w:hAnsi="Tahoma" w:cs="Tahoma"/>
          <w:color w:val="auto"/>
          <w:highlight w:val="none"/>
        </w:rPr>
        <w:t>限制从业</w:t>
      </w:r>
      <w:r>
        <w:rPr>
          <w:rFonts w:hint="eastAsia" w:ascii="Tahoma" w:hAnsi="Tahoma" w:cs="Tahoma"/>
          <w:color w:val="auto"/>
          <w:highlight w:val="none"/>
        </w:rPr>
        <w:t>等</w:t>
      </w:r>
      <w:r>
        <w:rPr>
          <w:rFonts w:hint="eastAsia" w:ascii="宋体" w:hAnsi="宋体"/>
          <w:color w:val="auto"/>
          <w:sz w:val="21"/>
          <w:szCs w:val="22"/>
          <w:highlight w:val="none"/>
        </w:rPr>
        <w:t>行政处罚，如我方在此项内容中作出虚假声明（或未能如实声明）的，一经发现视为虚假应标，取消我方资格，</w:t>
      </w:r>
      <w:r>
        <w:rPr>
          <w:rFonts w:hint="eastAsia" w:ascii="宋体" w:hAnsi="宋体"/>
          <w:color w:val="auto"/>
          <w:sz w:val="21"/>
          <w:szCs w:val="22"/>
          <w:highlight w:val="none"/>
          <w:lang w:eastAsia="zh-CN"/>
        </w:rPr>
        <w:t>采购人</w:t>
      </w:r>
      <w:r>
        <w:rPr>
          <w:rFonts w:hint="eastAsia" w:ascii="宋体" w:hAnsi="宋体"/>
          <w:color w:val="auto"/>
          <w:sz w:val="21"/>
          <w:szCs w:val="22"/>
          <w:highlight w:val="none"/>
        </w:rPr>
        <w:t>有权没收我方投标保证金，由我方自行承担全部后果。</w:t>
      </w:r>
    </w:p>
    <w:p>
      <w:pPr>
        <w:spacing w:line="360" w:lineRule="auto"/>
        <w:ind w:right="560"/>
        <w:rPr>
          <w:rFonts w:ascii="宋体" w:hAnsi="宋体"/>
          <w:color w:val="auto"/>
          <w:szCs w:val="21"/>
          <w:highlight w:val="none"/>
        </w:rPr>
      </w:pPr>
    </w:p>
    <w:p>
      <w:pPr>
        <w:spacing w:line="360" w:lineRule="auto"/>
        <w:ind w:right="560"/>
        <w:rPr>
          <w:rFonts w:ascii="宋体" w:hAnsi="宋体"/>
          <w:color w:val="auto"/>
          <w:szCs w:val="21"/>
          <w:highlight w:val="none"/>
        </w:rPr>
      </w:pPr>
    </w:p>
    <w:p>
      <w:pPr>
        <w:spacing w:line="360" w:lineRule="auto"/>
        <w:ind w:right="560"/>
        <w:rPr>
          <w:rFonts w:ascii="宋体" w:hAnsi="宋体"/>
          <w:color w:val="auto"/>
          <w:sz w:val="21"/>
          <w:szCs w:val="22"/>
          <w:highlight w:val="none"/>
        </w:rPr>
      </w:pP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投标人名称（加盖公章）</w:t>
      </w: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投标人地址：</w:t>
      </w: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投标人法定代表人或受委托人（签名或盖私章）：</w:t>
      </w: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日   期：</w:t>
      </w:r>
    </w:p>
    <w:p>
      <w:pPr>
        <w:rPr>
          <w:rFonts w:hint="eastAsia"/>
          <w:color w:val="auto"/>
          <w:highlight w:val="none"/>
        </w:rPr>
      </w:pPr>
    </w:p>
    <w:p>
      <w:pPr>
        <w:bidi w:val="0"/>
        <w:rPr>
          <w:color w:val="auto"/>
          <w:highlight w:val="none"/>
        </w:rPr>
      </w:pPr>
    </w:p>
    <w:p>
      <w:pPr>
        <w:rPr>
          <w:color w:val="auto"/>
          <w:highlight w:val="none"/>
        </w:rPr>
      </w:pPr>
      <w:r>
        <w:rPr>
          <w:color w:val="auto"/>
          <w:highlight w:val="none"/>
        </w:rPr>
        <w:br w:type="page"/>
      </w:r>
    </w:p>
    <w:p>
      <w:pPr>
        <w:numPr>
          <w:ilvl w:val="0"/>
          <w:numId w:val="0"/>
        </w:numPr>
        <w:tabs>
          <w:tab w:val="left" w:pos="1680"/>
        </w:tabs>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szCs w:val="21"/>
          <w:highlight w:val="none"/>
        </w:rPr>
        <w:t>-</w:t>
      </w: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rPr>
        <w:t xml:space="preserve"> </w:t>
      </w:r>
      <w:r>
        <w:rPr>
          <w:rFonts w:hint="eastAsia" w:ascii="宋体" w:hAnsi="宋体" w:cs="宋体"/>
          <w:b/>
          <w:bCs/>
          <w:color w:val="auto"/>
          <w:szCs w:val="21"/>
          <w:highlight w:val="none"/>
          <w:lang w:val="en-US" w:eastAsia="zh-CN"/>
        </w:rPr>
        <w:t>诚信声</w:t>
      </w:r>
      <w:r>
        <w:rPr>
          <w:rFonts w:hint="eastAsia" w:ascii="宋体" w:hAnsi="宋体" w:eastAsia="宋体" w:cs="宋体"/>
          <w:b/>
          <w:bCs/>
          <w:color w:val="auto"/>
          <w:szCs w:val="21"/>
          <w:highlight w:val="none"/>
        </w:rPr>
        <w:t>明</w:t>
      </w:r>
    </w:p>
    <w:p>
      <w:pPr>
        <w:spacing w:before="240" w:beforeLines="100" w:line="360" w:lineRule="auto"/>
        <w:ind w:right="561" w:firstLine="420" w:firstLineChars="200"/>
        <w:rPr>
          <w:rFonts w:hint="eastAsia" w:ascii="宋体" w:hAnsi="宋体"/>
          <w:color w:val="auto"/>
          <w:sz w:val="21"/>
          <w:szCs w:val="22"/>
          <w:highlight w:val="none"/>
        </w:rPr>
      </w:pPr>
      <w:r>
        <w:rPr>
          <w:rFonts w:hint="eastAsia" w:ascii="宋体" w:hAnsi="宋体"/>
          <w:color w:val="auto"/>
          <w:sz w:val="21"/>
          <w:szCs w:val="22"/>
          <w:highlight w:val="none"/>
        </w:rPr>
        <w:t>我方</w:t>
      </w:r>
      <w:r>
        <w:rPr>
          <w:rFonts w:hint="eastAsia" w:ascii="宋体" w:hAnsi="宋体"/>
          <w:color w:val="auto"/>
          <w:sz w:val="21"/>
          <w:szCs w:val="22"/>
          <w:highlight w:val="none"/>
          <w:u w:val="single"/>
        </w:rPr>
        <w:t>（投标人名称）</w:t>
      </w:r>
      <w:r>
        <w:rPr>
          <w:rFonts w:hint="eastAsia" w:ascii="宋体" w:hAnsi="宋体"/>
          <w:color w:val="auto"/>
          <w:sz w:val="21"/>
          <w:szCs w:val="22"/>
          <w:highlight w:val="none"/>
        </w:rPr>
        <w:t>已完整阅读了</w:t>
      </w:r>
      <w:r>
        <w:rPr>
          <w:rFonts w:hint="eastAsia" w:ascii="宋体" w:hAnsi="宋体"/>
          <w:color w:val="auto"/>
          <w:sz w:val="21"/>
          <w:szCs w:val="22"/>
          <w:highlight w:val="none"/>
          <w:lang w:eastAsia="zh-CN"/>
        </w:rPr>
        <w:t>东莞市海心沙资源综合利用中心环保热电厂活性炭、石灰采购项目（重新采购）</w:t>
      </w:r>
      <w:r>
        <w:rPr>
          <w:rFonts w:hint="eastAsia" w:ascii="宋体" w:hAnsi="宋体"/>
          <w:color w:val="auto"/>
          <w:sz w:val="21"/>
          <w:szCs w:val="22"/>
          <w:highlight w:val="none"/>
        </w:rPr>
        <w:t>（</w:t>
      </w:r>
      <w:r>
        <w:rPr>
          <w:rFonts w:hint="eastAsia" w:ascii="宋体" w:hAnsi="宋体"/>
          <w:color w:val="auto"/>
          <w:sz w:val="21"/>
          <w:szCs w:val="22"/>
          <w:highlight w:val="none"/>
          <w:lang w:eastAsia="zh-CN"/>
        </w:rPr>
        <w:t>采购编号</w:t>
      </w:r>
      <w:r>
        <w:rPr>
          <w:rFonts w:hint="eastAsia" w:ascii="宋体" w:hAnsi="宋体"/>
          <w:color w:val="auto"/>
          <w:sz w:val="21"/>
          <w:szCs w:val="22"/>
          <w:highlight w:val="none"/>
        </w:rPr>
        <w:t>：XDY-GK-2023-003）</w:t>
      </w:r>
      <w:r>
        <w:rPr>
          <w:rFonts w:hint="eastAsia" w:ascii="宋体" w:hAnsi="宋体"/>
          <w:color w:val="auto"/>
          <w:sz w:val="21"/>
          <w:szCs w:val="22"/>
          <w:highlight w:val="none"/>
          <w:lang w:eastAsia="zh-CN"/>
        </w:rPr>
        <w:t>采购文件</w:t>
      </w:r>
      <w:r>
        <w:rPr>
          <w:rFonts w:hint="eastAsia" w:ascii="宋体" w:hAnsi="宋体"/>
          <w:color w:val="auto"/>
          <w:sz w:val="21"/>
          <w:szCs w:val="22"/>
          <w:highlight w:val="none"/>
        </w:rPr>
        <w:t>的所有内容（包括澄清，以及所有已提供的参考资料和有关附件）。</w:t>
      </w:r>
    </w:p>
    <w:p>
      <w:pPr>
        <w:spacing w:line="360" w:lineRule="auto"/>
        <w:ind w:right="561" w:firstLine="420" w:firstLineChars="200"/>
        <w:rPr>
          <w:rFonts w:hint="eastAsia" w:ascii="宋体" w:hAnsi="宋体"/>
          <w:color w:val="auto"/>
          <w:sz w:val="21"/>
          <w:szCs w:val="22"/>
          <w:highlight w:val="none"/>
        </w:rPr>
      </w:pPr>
      <w:r>
        <w:rPr>
          <w:rFonts w:hint="eastAsia" w:ascii="宋体" w:hAnsi="宋体"/>
          <w:color w:val="auto"/>
          <w:sz w:val="21"/>
          <w:szCs w:val="22"/>
          <w:highlight w:val="none"/>
        </w:rPr>
        <w:t>我方承诺，我方（含我方依法设立的分公司）</w:t>
      </w:r>
      <w:r>
        <w:rPr>
          <w:rFonts w:hint="eastAsia" w:ascii="宋体" w:hAnsi="宋体"/>
          <w:color w:val="auto"/>
          <w:szCs w:val="21"/>
          <w:highlight w:val="none"/>
          <w:lang w:val="en-US" w:eastAsia="zh-CN"/>
        </w:rPr>
        <w:t>最近3年内（2020年1月1日以来）在参与采购人任一采购项目时未出现过提供虚假资料或未通过资格后审的情形</w:t>
      </w:r>
      <w:r>
        <w:rPr>
          <w:rFonts w:hint="eastAsia" w:ascii="宋体" w:hAnsi="宋体"/>
          <w:color w:val="auto"/>
          <w:sz w:val="21"/>
          <w:szCs w:val="22"/>
          <w:highlight w:val="none"/>
        </w:rPr>
        <w:t>，如我方在此项内容中作出虚假声明（或未能如实声明）的，一经发现视为虚假应标，取消我方</w:t>
      </w:r>
      <w:r>
        <w:rPr>
          <w:rFonts w:hint="eastAsia" w:ascii="宋体" w:hAnsi="宋体"/>
          <w:color w:val="auto"/>
          <w:sz w:val="21"/>
          <w:szCs w:val="22"/>
          <w:highlight w:val="none"/>
          <w:lang w:eastAsia="zh-CN"/>
        </w:rPr>
        <w:t>投标（中标）</w:t>
      </w:r>
      <w:r>
        <w:rPr>
          <w:rFonts w:hint="eastAsia" w:ascii="宋体" w:hAnsi="宋体"/>
          <w:color w:val="auto"/>
          <w:sz w:val="21"/>
          <w:szCs w:val="22"/>
          <w:highlight w:val="none"/>
        </w:rPr>
        <w:t>资格，</w:t>
      </w:r>
      <w:r>
        <w:rPr>
          <w:rFonts w:hint="eastAsia" w:ascii="宋体" w:hAnsi="宋体"/>
          <w:color w:val="auto"/>
          <w:sz w:val="21"/>
          <w:szCs w:val="22"/>
          <w:highlight w:val="none"/>
          <w:lang w:eastAsia="zh-CN"/>
        </w:rPr>
        <w:t>采购人</w:t>
      </w:r>
      <w:r>
        <w:rPr>
          <w:rFonts w:hint="eastAsia" w:ascii="宋体" w:hAnsi="宋体"/>
          <w:color w:val="auto"/>
          <w:sz w:val="21"/>
          <w:szCs w:val="22"/>
          <w:highlight w:val="none"/>
        </w:rPr>
        <w:t>有权没收我方投标保证金，由我方自行承担全部后果。</w:t>
      </w:r>
    </w:p>
    <w:p>
      <w:pPr>
        <w:spacing w:line="360" w:lineRule="auto"/>
        <w:ind w:right="560"/>
        <w:rPr>
          <w:rFonts w:ascii="宋体" w:hAnsi="宋体"/>
          <w:color w:val="auto"/>
          <w:szCs w:val="21"/>
          <w:highlight w:val="none"/>
        </w:rPr>
      </w:pPr>
    </w:p>
    <w:p>
      <w:pPr>
        <w:spacing w:line="360" w:lineRule="auto"/>
        <w:ind w:right="560"/>
        <w:rPr>
          <w:rFonts w:ascii="宋体" w:hAnsi="宋体"/>
          <w:color w:val="auto"/>
          <w:szCs w:val="21"/>
          <w:highlight w:val="none"/>
        </w:rPr>
      </w:pPr>
    </w:p>
    <w:p>
      <w:pPr>
        <w:spacing w:line="360" w:lineRule="auto"/>
        <w:ind w:right="560"/>
        <w:rPr>
          <w:rFonts w:ascii="宋体" w:hAnsi="宋体"/>
          <w:color w:val="auto"/>
          <w:sz w:val="21"/>
          <w:szCs w:val="22"/>
          <w:highlight w:val="none"/>
        </w:rPr>
      </w:pP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投标人名称（加盖公章）</w:t>
      </w: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投标人地址：</w:t>
      </w: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投标人法定代表人或受委托人（签名或盖私章）：</w:t>
      </w:r>
    </w:p>
    <w:p>
      <w:pPr>
        <w:spacing w:line="360" w:lineRule="auto"/>
        <w:ind w:right="560"/>
        <w:rPr>
          <w:rFonts w:ascii="宋体" w:hAnsi="宋体"/>
          <w:color w:val="auto"/>
          <w:sz w:val="21"/>
          <w:szCs w:val="22"/>
          <w:highlight w:val="none"/>
        </w:rPr>
      </w:pPr>
      <w:r>
        <w:rPr>
          <w:rFonts w:hint="eastAsia" w:ascii="宋体" w:hAnsi="宋体"/>
          <w:color w:val="auto"/>
          <w:sz w:val="21"/>
          <w:szCs w:val="22"/>
          <w:highlight w:val="none"/>
        </w:rPr>
        <w:t>日   期：</w:t>
      </w:r>
    </w:p>
    <w:p>
      <w:pPr>
        <w:rPr>
          <w:rFonts w:hint="eastAsia"/>
          <w:color w:val="auto"/>
          <w:highlight w:val="none"/>
        </w:rPr>
      </w:pPr>
    </w:p>
    <w:p>
      <w:pPr>
        <w:bidi w:val="0"/>
        <w:rPr>
          <w:color w:val="auto"/>
          <w:highlight w:val="none"/>
        </w:rPr>
      </w:pPr>
    </w:p>
    <w:p>
      <w:pPr>
        <w:rPr>
          <w:color w:val="auto"/>
          <w:highlight w:val="none"/>
        </w:rPr>
      </w:pPr>
    </w:p>
    <w:p>
      <w:pPr>
        <w:rPr>
          <w:color w:val="auto"/>
          <w:highlight w:val="none"/>
        </w:rPr>
      </w:pPr>
    </w:p>
    <w:p>
      <w:pPr>
        <w:rPr>
          <w:color w:val="auto"/>
          <w:highlight w:val="none"/>
        </w:rPr>
      </w:pPr>
    </w:p>
    <w:p>
      <w:pPr>
        <w:numPr>
          <w:ilvl w:val="-1"/>
          <w:numId w:val="0"/>
        </w:numPr>
        <w:jc w:val="left"/>
        <w:rPr>
          <w:rFonts w:hint="eastAsia" w:ascii="Tahoma" w:hAnsi="Tahoma" w:cstheme="minorBidi"/>
          <w:b w:val="0"/>
          <w:bCs w:val="0"/>
          <w:color w:val="auto"/>
          <w:szCs w:val="22"/>
          <w:highlight w:val="none"/>
        </w:rPr>
      </w:pPr>
      <w:r>
        <w:rPr>
          <w:rFonts w:hint="eastAsia" w:ascii="Tahoma" w:hAnsi="Tahoma" w:cstheme="minorBidi"/>
          <w:b w:val="0"/>
          <w:bCs w:val="0"/>
          <w:color w:val="auto"/>
          <w:szCs w:val="22"/>
          <w:highlight w:val="none"/>
        </w:rPr>
        <w:br w:type="page"/>
      </w:r>
    </w:p>
    <w:p>
      <w:pPr>
        <w:pStyle w:val="5"/>
        <w:widowControl w:val="0"/>
        <w:overflowPunct w:val="0"/>
        <w:spacing w:line="240" w:lineRule="auto"/>
        <w:rPr>
          <w:rFonts w:ascii="楷体_GB2312" w:eastAsia="楷体_GB2312"/>
          <w:color w:val="auto"/>
          <w:highlight w:val="none"/>
        </w:rPr>
      </w:pPr>
      <w:bookmarkStart w:id="129" w:name="_Toc7728"/>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.在经营活动中没有重大违法记录的书面声明格式</w:t>
      </w:r>
      <w:bookmarkEnd w:id="129"/>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投标人在经营活动中前三年内未有重大违法记录、没有不良信用记录的声明函</w:t>
      </w:r>
    </w:p>
    <w:p>
      <w:pPr>
        <w:ind w:firstLine="420" w:firstLineChars="200"/>
        <w:rPr>
          <w:rFonts w:ascii="宋体" w:hAnsi="宋体" w:cs="宋体"/>
          <w:color w:val="auto"/>
          <w:szCs w:val="21"/>
          <w:highlight w:val="none"/>
        </w:rPr>
      </w:pP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东莞市新东元环保投资有限公司</w:t>
      </w:r>
      <w:r>
        <w:rPr>
          <w:rFonts w:hint="eastAsia" w:ascii="宋体" w:hAnsi="宋体" w:cs="宋体"/>
          <w:color w:val="auto"/>
          <w:szCs w:val="21"/>
          <w:highlight w:val="none"/>
        </w:rPr>
        <w:t>：</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我公司郑重承诺：在参加“</w:t>
      </w:r>
      <w:r>
        <w:rPr>
          <w:rFonts w:hint="eastAsia" w:ascii="宋体" w:hAnsi="宋体" w:cs="宋体"/>
          <w:color w:val="auto"/>
          <w:szCs w:val="21"/>
          <w:highlight w:val="none"/>
          <w:u w:val="single"/>
        </w:rPr>
        <w:t xml:space="preserve">       （采购项目名称）</w:t>
      </w:r>
      <w:r>
        <w:rPr>
          <w:rFonts w:hint="eastAsia" w:ascii="宋体" w:hAnsi="宋体" w:cs="宋体"/>
          <w:color w:val="auto"/>
          <w:szCs w:val="21"/>
          <w:highlight w:val="none"/>
        </w:rPr>
        <w:t>” （项目编号:</w:t>
      </w:r>
      <w:r>
        <w:rPr>
          <w:rFonts w:hint="eastAsia" w:ascii="宋体" w:hAnsi="宋体"/>
          <w:color w:val="auto"/>
          <w:sz w:val="21"/>
          <w:szCs w:val="22"/>
          <w:highlight w:val="none"/>
        </w:rPr>
        <w:t>XDY-GK-2023-003</w:t>
      </w:r>
      <w:r>
        <w:rPr>
          <w:rFonts w:hint="eastAsia" w:ascii="宋体" w:hAnsi="宋体" w:cs="宋体"/>
          <w:color w:val="auto"/>
          <w:szCs w:val="21"/>
          <w:highlight w:val="none"/>
        </w:rPr>
        <w:t>）采购活动前三年内（设立不满三年的从设立之日计算），在经营活动中没有重大违法记录；至本项目提交投标文件截止时间止未被列入“信用中国”网站失信被执行人、重大税收违法失信主体。</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我公司以上承诺均为真实有效，绝无任何虚假、伪造的成份，否则，愿承担相应的后果和法律责任。</w:t>
      </w:r>
    </w:p>
    <w:p>
      <w:pPr>
        <w:ind w:firstLine="420" w:firstLineChars="200"/>
        <w:rPr>
          <w:rFonts w:ascii="宋体" w:hAnsi="宋体" w:cs="宋体"/>
          <w:color w:val="auto"/>
          <w:szCs w:val="21"/>
          <w:highlight w:val="none"/>
        </w:rPr>
      </w:pP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投标人名称（盖章）：</w:t>
      </w:r>
    </w:p>
    <w:p>
      <w:pPr>
        <w:rPr>
          <w:rFonts w:ascii="宋体" w:hAnsi="宋体" w:cs="宋体"/>
          <w:color w:val="auto"/>
          <w:szCs w:val="21"/>
          <w:highlight w:val="none"/>
        </w:rPr>
      </w:pP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日期：</w:t>
      </w:r>
    </w:p>
    <w:p>
      <w:pPr>
        <w:rPr>
          <w:color w:val="auto"/>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color w:val="auto"/>
          <w:highlight w:val="none"/>
        </w:rPr>
      </w:pPr>
    </w:p>
    <w:p>
      <w:pPr>
        <w:pStyle w:val="5"/>
        <w:widowControl w:val="0"/>
        <w:overflowPunct w:val="0"/>
        <w:spacing w:line="240" w:lineRule="auto"/>
        <w:rPr>
          <w:rFonts w:ascii="楷体_GB2312" w:eastAsia="楷体_GB2312"/>
          <w:color w:val="auto"/>
          <w:highlight w:val="none"/>
        </w:rPr>
      </w:pPr>
      <w:bookmarkStart w:id="130" w:name="_Toc8176"/>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.承诺书格式</w:t>
      </w:r>
      <w:bookmarkEnd w:id="130"/>
    </w:p>
    <w:p>
      <w:pPr>
        <w:jc w:val="center"/>
        <w:rPr>
          <w:rFonts w:ascii="黑体" w:eastAsia="黑体"/>
          <w:color w:val="auto"/>
          <w:sz w:val="28"/>
          <w:szCs w:val="28"/>
          <w:highlight w:val="none"/>
        </w:rPr>
      </w:pPr>
      <w:r>
        <w:rPr>
          <w:rFonts w:hint="eastAsia" w:ascii="黑体" w:eastAsia="黑体"/>
          <w:color w:val="auto"/>
          <w:sz w:val="28"/>
          <w:szCs w:val="28"/>
          <w:highlight w:val="none"/>
        </w:rPr>
        <w:t>承诺书</w:t>
      </w:r>
    </w:p>
    <w:p>
      <w:pPr>
        <w:pStyle w:val="42"/>
        <w:spacing w:line="420" w:lineRule="atLeast"/>
        <w:ind w:firstLine="0" w:firstLineChars="0"/>
        <w:rPr>
          <w:rFonts w:ascii="宋体" w:eastAsia="宋体" w:cs="宋体"/>
          <w:color w:val="auto"/>
          <w:sz w:val="21"/>
          <w:szCs w:val="21"/>
          <w:highlight w:val="none"/>
        </w:rPr>
      </w:pPr>
      <w:r>
        <w:rPr>
          <w:rFonts w:hint="eastAsia" w:ascii="宋体" w:eastAsia="宋体" w:cs="宋体"/>
          <w:color w:val="auto"/>
          <w:sz w:val="21"/>
          <w:szCs w:val="21"/>
          <w:highlight w:val="none"/>
        </w:rPr>
        <w:t>致</w:t>
      </w:r>
      <w:r>
        <w:rPr>
          <w:rFonts w:hint="eastAsia" w:ascii="宋体" w:eastAsia="宋体" w:cs="宋体"/>
          <w:color w:val="auto"/>
          <w:sz w:val="21"/>
          <w:szCs w:val="21"/>
          <w:highlight w:val="none"/>
          <w:lang w:eastAsia="zh-CN"/>
        </w:rPr>
        <w:t>广东志合项目管理有限公司</w:t>
      </w:r>
      <w:r>
        <w:rPr>
          <w:rFonts w:hint="eastAsia" w:ascii="宋体" w:eastAsia="宋体" w:cs="宋体"/>
          <w:color w:val="auto"/>
          <w:sz w:val="21"/>
          <w:szCs w:val="21"/>
          <w:highlight w:val="none"/>
        </w:rPr>
        <w:t>：</w:t>
      </w:r>
    </w:p>
    <w:p>
      <w:pPr>
        <w:jc w:val="center"/>
        <w:rPr>
          <w:rFonts w:ascii="宋体" w:hAnsi="宋体" w:cs="宋体"/>
          <w:color w:val="auto"/>
          <w:szCs w:val="21"/>
          <w:highlight w:val="none"/>
        </w:rPr>
      </w:pPr>
    </w:p>
    <w:p>
      <w:pPr>
        <w:pStyle w:val="42"/>
        <w:spacing w:line="420" w:lineRule="exact"/>
        <w:ind w:firstLine="433"/>
        <w:rPr>
          <w:rFonts w:ascii="宋体" w:eastAsia="宋体" w:cs="宋体"/>
          <w:color w:val="auto"/>
          <w:sz w:val="21"/>
          <w:szCs w:val="21"/>
          <w:highlight w:val="none"/>
        </w:rPr>
      </w:pPr>
      <w:r>
        <w:rPr>
          <w:rFonts w:hint="eastAsia" w:ascii="宋体" w:eastAsia="宋体" w:cs="宋体"/>
          <w:color w:val="auto"/>
          <w:sz w:val="21"/>
          <w:szCs w:val="21"/>
          <w:highlight w:val="none"/>
        </w:rPr>
        <w:t>我方已完整阅读了</w:t>
      </w:r>
      <w:r>
        <w:rPr>
          <w:rFonts w:hint="eastAsia" w:ascii="宋体" w:eastAsia="宋体" w:cs="宋体"/>
          <w:color w:val="auto"/>
          <w:sz w:val="21"/>
          <w:szCs w:val="21"/>
          <w:highlight w:val="none"/>
          <w:u w:val="single"/>
        </w:rPr>
        <w:t xml:space="preserve">  （项目名称）     </w:t>
      </w:r>
      <w:r>
        <w:rPr>
          <w:rFonts w:hint="eastAsia" w:ascii="宋体" w:eastAsia="宋体" w:cs="宋体"/>
          <w:color w:val="auto"/>
          <w:sz w:val="21"/>
          <w:szCs w:val="21"/>
          <w:highlight w:val="none"/>
        </w:rPr>
        <w:t>项目（项目编号：</w:t>
      </w:r>
      <w:r>
        <w:rPr>
          <w:rFonts w:hint="eastAsia" w:ascii="宋体" w:eastAsia="宋体" w:cs="宋体"/>
          <w:color w:val="auto"/>
          <w:sz w:val="21"/>
          <w:szCs w:val="21"/>
          <w:highlight w:val="none"/>
          <w:u w:val="single"/>
        </w:rPr>
        <w:t xml:space="preserve">            </w:t>
      </w:r>
      <w:r>
        <w:rPr>
          <w:rFonts w:hint="eastAsia" w:ascii="宋体" w:eastAsia="宋体" w:cs="宋体"/>
          <w:color w:val="auto"/>
          <w:sz w:val="21"/>
          <w:szCs w:val="21"/>
          <w:highlight w:val="none"/>
        </w:rPr>
        <w:t>）采购文件的所有内容（包括澄清，以及所有已提供的参考资料和有关附件），并完全理解上述文件所表达的意思，该项目递交投标文件时间截止后，我方承诺不再对上述文件内容有异议。</w:t>
      </w:r>
      <w:r>
        <w:rPr>
          <w:rFonts w:hint="eastAsia" w:ascii="宋体" w:eastAsia="宋体" w:cs="宋体"/>
          <w:color w:val="auto"/>
          <w:sz w:val="21"/>
          <w:szCs w:val="21"/>
          <w:highlight w:val="none"/>
        </w:rPr>
        <w:cr/>
      </w:r>
    </w:p>
    <w:p>
      <w:pPr>
        <w:pStyle w:val="42"/>
        <w:spacing w:line="420" w:lineRule="exact"/>
        <w:ind w:firstLine="433"/>
        <w:rPr>
          <w:rFonts w:ascii="宋体" w:eastAsia="宋体" w:cs="宋体"/>
          <w:color w:val="auto"/>
          <w:sz w:val="21"/>
          <w:szCs w:val="21"/>
          <w:highlight w:val="none"/>
        </w:rPr>
      </w:pP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投标人名称（加盖公章）：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法定代表人或被授权人（签名或盖私章）：</w:t>
      </w:r>
    </w:p>
    <w:p>
      <w:pPr>
        <w:ind w:right="561" w:firstLine="420" w:firstLineChars="200"/>
        <w:rPr>
          <w:rFonts w:ascii="宋体" w:hAnsi="宋体" w:cs="宋体"/>
          <w:color w:val="auto"/>
          <w:szCs w:val="21"/>
          <w:highlight w:val="none"/>
        </w:rPr>
      </w:pPr>
      <w:r>
        <w:rPr>
          <w:rFonts w:hint="eastAsia" w:ascii="宋体" w:hAnsi="宋体" w:cs="宋体"/>
          <w:color w:val="auto"/>
          <w:szCs w:val="21"/>
          <w:highlight w:val="none"/>
        </w:rPr>
        <w:t>日      期：</w:t>
      </w:r>
    </w:p>
    <w:p>
      <w:pPr>
        <w:rPr>
          <w:color w:val="auto"/>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rFonts w:ascii="宋体" w:hAnsi="宋体"/>
          <w:color w:val="auto"/>
          <w:szCs w:val="21"/>
          <w:highlight w:val="none"/>
        </w:rPr>
      </w:pPr>
    </w:p>
    <w:p>
      <w:pPr>
        <w:pStyle w:val="9"/>
        <w:rPr>
          <w:color w:val="auto"/>
          <w:sz w:val="21"/>
          <w:szCs w:val="21"/>
          <w:highlight w:val="none"/>
        </w:rPr>
      </w:pPr>
    </w:p>
    <w:p>
      <w:pPr>
        <w:rPr>
          <w:color w:val="auto"/>
          <w:highlight w:val="none"/>
        </w:rPr>
      </w:pPr>
    </w:p>
    <w:p>
      <w:pPr>
        <w:pStyle w:val="5"/>
        <w:widowControl w:val="0"/>
        <w:overflowPunct w:val="0"/>
        <w:spacing w:line="240" w:lineRule="auto"/>
        <w:rPr>
          <w:rFonts w:ascii="宋体" w:hAnsi="宋体"/>
          <w:color w:val="auto"/>
          <w:sz w:val="21"/>
          <w:szCs w:val="21"/>
          <w:highlight w:val="none"/>
        </w:rPr>
      </w:pPr>
      <w:bookmarkStart w:id="131" w:name="_Toc8279"/>
      <w:bookmarkStart w:id="132" w:name="_Toc29015"/>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.商务需求条款偏离表格式</w:t>
      </w:r>
      <w:bookmarkEnd w:id="131"/>
      <w:bookmarkEnd w:id="132"/>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商务需求条款偏离表</w:t>
      </w:r>
    </w:p>
    <w:tbl>
      <w:tblPr>
        <w:tblStyle w:val="2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620" w:type="dxa"/>
            <w:vAlign w:val="center"/>
          </w:tcPr>
          <w:p>
            <w:pPr>
              <w:jc w:val="center"/>
              <w:rPr>
                <w:rFonts w:ascii="宋体" w:hAnsi="宋体"/>
                <w:color w:val="auto"/>
                <w:szCs w:val="21"/>
                <w:highlight w:val="none"/>
              </w:rPr>
            </w:pPr>
            <w:r>
              <w:rPr>
                <w:rFonts w:hint="eastAsia" w:ascii="宋体" w:hAnsi="宋体"/>
                <w:color w:val="auto"/>
                <w:szCs w:val="21"/>
                <w:highlight w:val="none"/>
              </w:rPr>
              <w:t>服务项目名称</w:t>
            </w:r>
          </w:p>
        </w:tc>
        <w:tc>
          <w:tcPr>
            <w:tcW w:w="1360" w:type="dxa"/>
            <w:vAlign w:val="center"/>
          </w:tcPr>
          <w:p>
            <w:pPr>
              <w:jc w:val="center"/>
              <w:rPr>
                <w:rFonts w:ascii="宋体" w:hAnsi="宋体"/>
                <w:color w:val="auto"/>
                <w:szCs w:val="21"/>
                <w:highlight w:val="none"/>
              </w:rPr>
            </w:pPr>
            <w:r>
              <w:rPr>
                <w:rFonts w:hint="eastAsia" w:ascii="宋体" w:hAnsi="宋体"/>
                <w:color w:val="auto"/>
                <w:szCs w:val="21"/>
                <w:highlight w:val="none"/>
              </w:rPr>
              <w:t>采购要求</w:t>
            </w:r>
          </w:p>
        </w:tc>
        <w:tc>
          <w:tcPr>
            <w:tcW w:w="1587" w:type="dxa"/>
            <w:vAlign w:val="center"/>
          </w:tcPr>
          <w:p>
            <w:pPr>
              <w:jc w:val="center"/>
              <w:rPr>
                <w:rFonts w:ascii="宋体" w:hAnsi="宋体"/>
                <w:color w:val="auto"/>
                <w:szCs w:val="21"/>
                <w:highlight w:val="none"/>
              </w:rPr>
            </w:pPr>
            <w:r>
              <w:rPr>
                <w:rFonts w:hint="eastAsia" w:ascii="宋体" w:hAnsi="宋体"/>
                <w:color w:val="auto"/>
                <w:szCs w:val="21"/>
                <w:highlight w:val="none"/>
              </w:rPr>
              <w:t>投标实际响应</w:t>
            </w:r>
          </w:p>
        </w:tc>
        <w:tc>
          <w:tcPr>
            <w:tcW w:w="1133" w:type="dxa"/>
            <w:vAlign w:val="center"/>
          </w:tcPr>
          <w:p>
            <w:pPr>
              <w:jc w:val="center"/>
              <w:rPr>
                <w:rFonts w:ascii="宋体" w:hAnsi="宋体"/>
                <w:color w:val="auto"/>
                <w:szCs w:val="21"/>
                <w:highlight w:val="none"/>
              </w:rPr>
            </w:pPr>
            <w:r>
              <w:rPr>
                <w:rFonts w:hint="eastAsia" w:ascii="宋体" w:hAnsi="宋体"/>
                <w:color w:val="auto"/>
                <w:szCs w:val="21"/>
                <w:highlight w:val="none"/>
              </w:rPr>
              <w:t>是否偏离</w:t>
            </w:r>
          </w:p>
        </w:tc>
        <w:tc>
          <w:tcPr>
            <w:tcW w:w="1730" w:type="dxa"/>
            <w:vAlign w:val="center"/>
          </w:tcPr>
          <w:p>
            <w:pPr>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color w:val="auto"/>
                <w:szCs w:val="21"/>
                <w:highlight w:val="none"/>
              </w:rPr>
            </w:pPr>
          </w:p>
        </w:tc>
        <w:tc>
          <w:tcPr>
            <w:tcW w:w="1620" w:type="dxa"/>
            <w:vAlign w:val="center"/>
          </w:tcPr>
          <w:p>
            <w:pPr>
              <w:jc w:val="center"/>
              <w:rPr>
                <w:rFonts w:ascii="宋体" w:hAnsi="宋体"/>
                <w:color w:val="auto"/>
                <w:szCs w:val="21"/>
                <w:highlight w:val="none"/>
              </w:rPr>
            </w:pPr>
          </w:p>
        </w:tc>
        <w:tc>
          <w:tcPr>
            <w:tcW w:w="1360" w:type="dxa"/>
            <w:vAlign w:val="center"/>
          </w:tcPr>
          <w:p>
            <w:pPr>
              <w:jc w:val="center"/>
              <w:rPr>
                <w:rFonts w:ascii="宋体" w:hAnsi="宋体"/>
                <w:color w:val="auto"/>
                <w:szCs w:val="21"/>
                <w:highlight w:val="none"/>
              </w:rPr>
            </w:pPr>
          </w:p>
        </w:tc>
        <w:tc>
          <w:tcPr>
            <w:tcW w:w="1587" w:type="dxa"/>
            <w:vAlign w:val="center"/>
          </w:tcPr>
          <w:p>
            <w:pPr>
              <w:jc w:val="center"/>
              <w:rPr>
                <w:rFonts w:ascii="宋体" w:hAnsi="宋体"/>
                <w:color w:val="auto"/>
                <w:szCs w:val="21"/>
                <w:highlight w:val="none"/>
              </w:rPr>
            </w:pPr>
          </w:p>
        </w:tc>
        <w:tc>
          <w:tcPr>
            <w:tcW w:w="1133" w:type="dxa"/>
            <w:vAlign w:val="center"/>
          </w:tcPr>
          <w:p>
            <w:pPr>
              <w:jc w:val="center"/>
              <w:rPr>
                <w:rFonts w:ascii="宋体" w:hAnsi="宋体"/>
                <w:color w:val="auto"/>
                <w:szCs w:val="21"/>
                <w:highlight w:val="none"/>
              </w:rPr>
            </w:pPr>
          </w:p>
        </w:tc>
        <w:tc>
          <w:tcPr>
            <w:tcW w:w="1730" w:type="dxa"/>
            <w:vAlign w:val="center"/>
          </w:tcPr>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投标人代表签字：</w:t>
      </w:r>
    </w:p>
    <w:p>
      <w:pPr>
        <w:rPr>
          <w:rFonts w:ascii="宋体" w:hAnsi="宋体"/>
          <w:color w:val="auto"/>
          <w:szCs w:val="21"/>
          <w:highlight w:val="none"/>
        </w:rPr>
      </w:pPr>
      <w:r>
        <w:rPr>
          <w:rFonts w:hint="eastAsia" w:ascii="宋体" w:hAnsi="宋体"/>
          <w:color w:val="auto"/>
          <w:szCs w:val="21"/>
          <w:highlight w:val="none"/>
        </w:rPr>
        <w:t>投标人盖章：</w:t>
      </w:r>
    </w:p>
    <w:p>
      <w:pPr>
        <w:rPr>
          <w:rFonts w:ascii="宋体" w:hAnsi="宋体"/>
          <w:color w:val="auto"/>
          <w:szCs w:val="21"/>
          <w:highlight w:val="none"/>
        </w:rPr>
      </w:pPr>
    </w:p>
    <w:p>
      <w:pPr>
        <w:ind w:left="718" w:hanging="718" w:hangingChars="342"/>
        <w:rPr>
          <w:rFonts w:ascii="宋体" w:hAnsi="宋体"/>
          <w:color w:val="auto"/>
          <w:szCs w:val="21"/>
          <w:highlight w:val="none"/>
        </w:rPr>
      </w:pPr>
      <w:r>
        <w:rPr>
          <w:rFonts w:hint="eastAsia" w:ascii="宋体" w:hAnsi="宋体"/>
          <w:color w:val="auto"/>
          <w:szCs w:val="21"/>
          <w:highlight w:val="none"/>
        </w:rPr>
        <w:t>注：</w:t>
      </w:r>
    </w:p>
    <w:p>
      <w:pPr>
        <w:rPr>
          <w:rFonts w:ascii="宋体" w:hAnsi="宋体"/>
          <w:color w:val="auto"/>
          <w:szCs w:val="21"/>
          <w:highlight w:val="none"/>
        </w:rPr>
      </w:pPr>
      <w:r>
        <w:rPr>
          <w:rFonts w:hint="eastAsia" w:ascii="宋体" w:hAnsi="宋体"/>
          <w:color w:val="auto"/>
          <w:szCs w:val="21"/>
          <w:highlight w:val="none"/>
        </w:rPr>
        <w:t>1、投标人应对照采购文件商务需求书中商务要求，说明已对采购文件的商务内容做出了实质性的响应。</w:t>
      </w:r>
    </w:p>
    <w:p>
      <w:pPr>
        <w:rPr>
          <w:rFonts w:ascii="宋体" w:hAnsi="宋体"/>
          <w:color w:val="auto"/>
          <w:szCs w:val="21"/>
          <w:highlight w:val="none"/>
        </w:rPr>
      </w:pPr>
      <w:r>
        <w:rPr>
          <w:rFonts w:hint="eastAsia" w:ascii="宋体" w:hAnsi="宋体"/>
          <w:color w:val="auto"/>
          <w:szCs w:val="21"/>
          <w:highlight w:val="none"/>
        </w:rPr>
        <w:t>2、</w:t>
      </w:r>
      <w:r>
        <w:rPr>
          <w:rFonts w:hint="eastAsia" w:hAnsi="宋体" w:cs="宋体"/>
          <w:color w:val="auto"/>
          <w:szCs w:val="21"/>
          <w:highlight w:val="none"/>
        </w:rPr>
        <w:t>不论出于何种原因此表未填写</w:t>
      </w:r>
      <w:r>
        <w:rPr>
          <w:rFonts w:hint="eastAsia" w:ascii="宋体" w:hAnsi="宋体"/>
          <w:color w:val="auto"/>
          <w:szCs w:val="21"/>
          <w:highlight w:val="none"/>
        </w:rPr>
        <w:t>完整</w:t>
      </w:r>
      <w:r>
        <w:rPr>
          <w:rFonts w:hint="eastAsia" w:hAnsi="宋体" w:cs="宋体"/>
          <w:color w:val="auto"/>
          <w:szCs w:val="21"/>
          <w:highlight w:val="none"/>
        </w:rPr>
        <w:t>，投标人都被认为已清楚了解采购文件“</w:t>
      </w:r>
      <w:r>
        <w:rPr>
          <w:rFonts w:hint="eastAsia" w:ascii="宋体" w:hAnsi="宋体"/>
          <w:color w:val="auto"/>
          <w:szCs w:val="21"/>
          <w:highlight w:val="none"/>
        </w:rPr>
        <w:t>商务</w:t>
      </w:r>
      <w:r>
        <w:rPr>
          <w:rFonts w:hint="eastAsia" w:hAnsi="宋体" w:cs="宋体"/>
          <w:color w:val="auto"/>
          <w:szCs w:val="21"/>
          <w:highlight w:val="none"/>
        </w:rPr>
        <w:t>需求书”的内容并对采购人所需的服务要求作全面响应，投标人必须承担完成“</w:t>
      </w:r>
      <w:r>
        <w:rPr>
          <w:rFonts w:hint="eastAsia" w:ascii="宋体" w:hAnsi="宋体"/>
          <w:color w:val="auto"/>
          <w:szCs w:val="21"/>
          <w:highlight w:val="none"/>
        </w:rPr>
        <w:t>商务</w:t>
      </w:r>
      <w:r>
        <w:rPr>
          <w:rFonts w:hint="eastAsia" w:hAnsi="宋体" w:cs="宋体"/>
          <w:color w:val="auto"/>
          <w:szCs w:val="21"/>
          <w:highlight w:val="none"/>
        </w:rPr>
        <w:t>需求书”所描述内容的义务</w:t>
      </w:r>
      <w:r>
        <w:rPr>
          <w:rFonts w:hint="eastAsia" w:ascii="宋体" w:hAnsi="宋体"/>
          <w:color w:val="auto"/>
          <w:szCs w:val="21"/>
          <w:highlight w:val="none"/>
        </w:rPr>
        <w:t>，因此对投标人投标产生负面影响的，投标人自行承担后果。</w:t>
      </w:r>
    </w:p>
    <w:p>
      <w:pPr>
        <w:rPr>
          <w:rFonts w:ascii="宋体" w:hAnsi="宋体"/>
          <w:color w:val="auto"/>
          <w:szCs w:val="21"/>
          <w:highlight w:val="none"/>
        </w:rPr>
      </w:pPr>
      <w:r>
        <w:rPr>
          <w:rFonts w:hint="eastAsia" w:ascii="宋体" w:hAnsi="宋体"/>
          <w:color w:val="auto"/>
          <w:szCs w:val="21"/>
          <w:highlight w:val="none"/>
        </w:rPr>
        <w:t>3、</w:t>
      </w:r>
      <w:r>
        <w:rPr>
          <w:rFonts w:hint="eastAsia" w:hAnsi="宋体" w:cs="宋体"/>
          <w:color w:val="auto"/>
          <w:szCs w:val="21"/>
          <w:highlight w:val="none"/>
        </w:rPr>
        <w:t>如有偏离，应在“偏离情况”栏内注明“正”、“负”或“无”，并在“说明”栏内予以说明。</w:t>
      </w:r>
    </w:p>
    <w:p>
      <w:pPr>
        <w:rPr>
          <w:rFonts w:ascii="宋体" w:hAnsi="宋体"/>
          <w:color w:val="auto"/>
          <w:szCs w:val="21"/>
          <w:highlight w:val="none"/>
        </w:rPr>
      </w:pPr>
      <w:r>
        <w:rPr>
          <w:rFonts w:hint="eastAsia" w:ascii="宋体" w:hAnsi="宋体"/>
          <w:color w:val="auto"/>
          <w:szCs w:val="21"/>
          <w:highlight w:val="none"/>
        </w:rPr>
        <w:t>4、</w:t>
      </w:r>
      <w:r>
        <w:rPr>
          <w:rFonts w:hint="eastAsia" w:hAnsi="宋体" w:cs="宋体"/>
          <w:color w:val="auto"/>
          <w:szCs w:val="21"/>
          <w:highlight w:val="none"/>
        </w:rPr>
        <w:t>如投标人差异内容较多可另附页说明。</w:t>
      </w:r>
    </w:p>
    <w:p>
      <w:pPr>
        <w:rPr>
          <w:rFonts w:ascii="宋体" w:hAnsi="宋体"/>
          <w:color w:val="auto"/>
          <w:szCs w:val="21"/>
          <w:highlight w:val="none"/>
        </w:rPr>
      </w:pPr>
      <w:r>
        <w:rPr>
          <w:rFonts w:hint="eastAsia" w:ascii="宋体" w:hAnsi="宋体"/>
          <w:color w:val="auto"/>
          <w:szCs w:val="21"/>
          <w:highlight w:val="none"/>
        </w:rPr>
        <w:t>5、</w:t>
      </w:r>
      <w:r>
        <w:rPr>
          <w:rFonts w:hint="eastAsia" w:hAnsi="宋体" w:cs="宋体"/>
          <w:color w:val="auto"/>
          <w:szCs w:val="21"/>
          <w:highlight w:val="none"/>
        </w:rPr>
        <w:t>如投标人对用户需求书商务要求的条款全部响应的，也可以在表格下面用文字总括性的说明。</w:t>
      </w:r>
    </w:p>
    <w:p>
      <w:pPr>
        <w:rPr>
          <w:rFonts w:ascii="宋体" w:hAnsi="宋体"/>
          <w:color w:val="auto"/>
          <w:szCs w:val="21"/>
          <w:highlight w:val="none"/>
        </w:rPr>
      </w:pPr>
      <w:r>
        <w:rPr>
          <w:rFonts w:hint="eastAsia" w:ascii="宋体" w:hAnsi="宋体"/>
          <w:color w:val="auto"/>
          <w:szCs w:val="21"/>
          <w:highlight w:val="none"/>
        </w:rPr>
        <w:br w:type="page"/>
      </w:r>
    </w:p>
    <w:p>
      <w:pPr>
        <w:pStyle w:val="5"/>
        <w:widowControl w:val="0"/>
        <w:overflowPunct w:val="0"/>
        <w:spacing w:line="240" w:lineRule="auto"/>
        <w:rPr>
          <w:rFonts w:ascii="宋体" w:hAnsi="宋体"/>
          <w:color w:val="auto"/>
          <w:sz w:val="30"/>
          <w:szCs w:val="30"/>
          <w:highlight w:val="none"/>
        </w:rPr>
      </w:pPr>
      <w:bookmarkStart w:id="133" w:name="_Toc23777"/>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.业绩表</w:t>
      </w:r>
      <w:bookmarkEnd w:id="133"/>
    </w:p>
    <w:p>
      <w:pPr>
        <w:jc w:val="center"/>
        <w:rPr>
          <w:rFonts w:ascii="黑体" w:eastAsia="黑体"/>
          <w:color w:val="auto"/>
          <w:sz w:val="28"/>
          <w:szCs w:val="28"/>
          <w:highlight w:val="none"/>
        </w:rPr>
      </w:pPr>
      <w:r>
        <w:rPr>
          <w:rFonts w:hint="eastAsia" w:ascii="黑体" w:eastAsia="黑体"/>
          <w:color w:val="auto"/>
          <w:sz w:val="28"/>
          <w:szCs w:val="28"/>
          <w:highlight w:val="none"/>
        </w:rPr>
        <w:t>业绩表</w:t>
      </w:r>
    </w:p>
    <w:tbl>
      <w:tblPr>
        <w:tblStyle w:val="2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序号</w:t>
            </w:r>
          </w:p>
        </w:tc>
        <w:tc>
          <w:tcPr>
            <w:tcW w:w="1705"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项目名称</w:t>
            </w:r>
          </w:p>
        </w:tc>
        <w:tc>
          <w:tcPr>
            <w:tcW w:w="1706"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项目金额</w:t>
            </w:r>
          </w:p>
        </w:tc>
        <w:tc>
          <w:tcPr>
            <w:tcW w:w="1705"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项目合同签订时间</w:t>
            </w:r>
          </w:p>
        </w:tc>
        <w:tc>
          <w:tcPr>
            <w:tcW w:w="1697" w:type="dxa"/>
            <w:vAlign w:val="center"/>
          </w:tcPr>
          <w:p>
            <w:pPr>
              <w:adjustRightInd/>
              <w:snapToGrid/>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ascii="宋体" w:hAnsi="宋体"/>
                <w:color w:val="auto"/>
                <w:szCs w:val="21"/>
                <w:highlight w:val="none"/>
              </w:rPr>
            </w:pPr>
          </w:p>
        </w:tc>
        <w:tc>
          <w:tcPr>
            <w:tcW w:w="1705" w:type="dxa"/>
            <w:vAlign w:val="center"/>
          </w:tcPr>
          <w:p>
            <w:pPr>
              <w:adjustRightInd/>
              <w:snapToGrid/>
              <w:jc w:val="center"/>
              <w:rPr>
                <w:rFonts w:ascii="宋体" w:hAnsi="宋体"/>
                <w:color w:val="auto"/>
                <w:szCs w:val="21"/>
                <w:highlight w:val="none"/>
              </w:rPr>
            </w:pPr>
          </w:p>
        </w:tc>
        <w:tc>
          <w:tcPr>
            <w:tcW w:w="1706" w:type="dxa"/>
            <w:vAlign w:val="center"/>
          </w:tcPr>
          <w:p>
            <w:pPr>
              <w:adjustRightInd/>
              <w:snapToGrid/>
              <w:jc w:val="center"/>
              <w:rPr>
                <w:rFonts w:ascii="宋体" w:hAnsi="宋体"/>
                <w:color w:val="auto"/>
                <w:szCs w:val="21"/>
                <w:highlight w:val="none"/>
              </w:rPr>
            </w:pPr>
          </w:p>
        </w:tc>
        <w:tc>
          <w:tcPr>
            <w:tcW w:w="1705" w:type="dxa"/>
            <w:vAlign w:val="center"/>
          </w:tcPr>
          <w:p>
            <w:pPr>
              <w:adjustRightInd/>
              <w:snapToGrid/>
              <w:jc w:val="center"/>
              <w:rPr>
                <w:rFonts w:ascii="宋体" w:hAnsi="宋体"/>
                <w:color w:val="auto"/>
                <w:szCs w:val="21"/>
                <w:highlight w:val="none"/>
              </w:rPr>
            </w:pPr>
          </w:p>
        </w:tc>
        <w:tc>
          <w:tcPr>
            <w:tcW w:w="1697" w:type="dxa"/>
            <w:vAlign w:val="center"/>
          </w:tcPr>
          <w:p>
            <w:pPr>
              <w:adjustRightInd/>
              <w:snapToGrid/>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706" w:type="dxa"/>
          </w:tcPr>
          <w:p>
            <w:pPr>
              <w:adjustRightInd/>
              <w:snapToGrid/>
              <w:rPr>
                <w:rFonts w:ascii="宋体" w:hAnsi="宋体"/>
                <w:color w:val="auto"/>
                <w:szCs w:val="21"/>
                <w:highlight w:val="none"/>
              </w:rPr>
            </w:pPr>
          </w:p>
        </w:tc>
        <w:tc>
          <w:tcPr>
            <w:tcW w:w="1705" w:type="dxa"/>
          </w:tcPr>
          <w:p>
            <w:pPr>
              <w:adjustRightInd/>
              <w:snapToGrid/>
              <w:rPr>
                <w:rFonts w:ascii="宋体" w:hAnsi="宋体"/>
                <w:color w:val="auto"/>
                <w:szCs w:val="21"/>
                <w:highlight w:val="none"/>
              </w:rPr>
            </w:pPr>
          </w:p>
        </w:tc>
        <w:tc>
          <w:tcPr>
            <w:tcW w:w="1697" w:type="dxa"/>
          </w:tcPr>
          <w:p>
            <w:pPr>
              <w:adjustRightInd/>
              <w:snapToGrid/>
              <w:rPr>
                <w:rFonts w:ascii="宋体" w:hAnsi="宋体"/>
                <w:color w:val="auto"/>
                <w:szCs w:val="21"/>
                <w:highlight w:val="none"/>
              </w:rPr>
            </w:pPr>
          </w:p>
        </w:tc>
      </w:tr>
    </w:tbl>
    <w:p>
      <w:pPr>
        <w:pStyle w:val="39"/>
        <w:rPr>
          <w:rFonts w:ascii="宋体" w:hAnsi="宋体"/>
          <w:color w:val="auto"/>
          <w:szCs w:val="21"/>
          <w:highlight w:val="none"/>
        </w:rPr>
      </w:pPr>
    </w:p>
    <w:p>
      <w:pPr>
        <w:pStyle w:val="39"/>
        <w:rPr>
          <w:rFonts w:ascii="宋体" w:hAnsi="宋体"/>
          <w:color w:val="auto"/>
          <w:szCs w:val="21"/>
          <w:highlight w:val="none"/>
        </w:rPr>
      </w:pPr>
      <w:r>
        <w:rPr>
          <w:rFonts w:hint="eastAsia" w:ascii="宋体" w:hAnsi="宋体"/>
          <w:color w:val="auto"/>
          <w:szCs w:val="21"/>
          <w:highlight w:val="none"/>
        </w:rPr>
        <w:t>注：</w:t>
      </w:r>
    </w:p>
    <w:p>
      <w:pPr>
        <w:pStyle w:val="39"/>
        <w:numPr>
          <w:ilvl w:val="0"/>
          <w:numId w:val="12"/>
        </w:numPr>
        <w:rPr>
          <w:rFonts w:ascii="宋体" w:hAnsi="宋体"/>
          <w:color w:val="auto"/>
          <w:szCs w:val="21"/>
          <w:highlight w:val="none"/>
        </w:rPr>
      </w:pPr>
      <w:r>
        <w:rPr>
          <w:rFonts w:hint="eastAsia" w:ascii="宋体" w:hAnsi="宋体"/>
          <w:color w:val="auto"/>
          <w:szCs w:val="21"/>
          <w:highlight w:val="none"/>
        </w:rPr>
        <w:t>该表格为参考格式，投标人可按实际情况自行制订。</w:t>
      </w:r>
    </w:p>
    <w:p>
      <w:pPr>
        <w:pStyle w:val="39"/>
        <w:numPr>
          <w:ilvl w:val="0"/>
          <w:numId w:val="12"/>
        </w:numPr>
        <w:rPr>
          <w:rFonts w:ascii="宋体" w:hAnsi="宋体"/>
          <w:color w:val="auto"/>
          <w:szCs w:val="21"/>
          <w:highlight w:val="none"/>
        </w:rPr>
      </w:pPr>
      <w:r>
        <w:rPr>
          <w:rFonts w:hint="eastAsia" w:ascii="宋体" w:hAnsi="宋体"/>
          <w:color w:val="auto"/>
          <w:szCs w:val="21"/>
          <w:highlight w:val="none"/>
        </w:rPr>
        <w:t>业绩表所列出的材料应为真实准确的，并应提供相关证明材料复印件加盖公章。请勿提供虚假、过期材料，否则将依据相关规定严肃处理。</w:t>
      </w:r>
    </w:p>
    <w:p>
      <w:pPr>
        <w:rPr>
          <w:rFonts w:ascii="宋体" w:hAnsi="宋体"/>
          <w:color w:val="auto"/>
          <w:szCs w:val="21"/>
          <w:highlight w:val="none"/>
        </w:rPr>
      </w:pPr>
      <w:r>
        <w:rPr>
          <w:rFonts w:hint="eastAsia" w:ascii="宋体" w:hAnsi="宋体"/>
          <w:color w:val="auto"/>
          <w:szCs w:val="21"/>
          <w:highlight w:val="none"/>
        </w:rPr>
        <w:br w:type="page"/>
      </w:r>
    </w:p>
    <w:p>
      <w:pPr>
        <w:pStyle w:val="9"/>
        <w:rPr>
          <w:color w:val="auto"/>
          <w:szCs w:val="21"/>
          <w:highlight w:val="none"/>
        </w:rPr>
        <w:sectPr>
          <w:headerReference r:id="rId17" w:type="first"/>
          <w:footerReference r:id="rId19" w:type="first"/>
          <w:headerReference r:id="rId15" w:type="default"/>
          <w:footerReference r:id="rId18" w:type="default"/>
          <w:headerReference r:id="rId16" w:type="even"/>
          <w:pgSz w:w="11906" w:h="16838"/>
          <w:pgMar w:top="1440" w:right="1800" w:bottom="1440" w:left="1800" w:header="708" w:footer="708" w:gutter="0"/>
          <w:cols w:space="708" w:num="1"/>
          <w:titlePg/>
          <w:docGrid w:type="lines" w:linePitch="360" w:charSpace="0"/>
        </w:sectPr>
      </w:pPr>
    </w:p>
    <w:p>
      <w:pPr>
        <w:pStyle w:val="9"/>
        <w:rPr>
          <w:color w:val="auto"/>
          <w:highlight w:val="none"/>
        </w:rPr>
      </w:pPr>
    </w:p>
    <w:p>
      <w:pPr>
        <w:pStyle w:val="3"/>
        <w:spacing w:before="0" w:after="0" w:line="360" w:lineRule="auto"/>
        <w:jc w:val="center"/>
        <w:rPr>
          <w:color w:val="auto"/>
          <w:sz w:val="72"/>
          <w:szCs w:val="72"/>
          <w:highlight w:val="none"/>
        </w:rPr>
      </w:pPr>
      <w:bookmarkStart w:id="134" w:name="_Toc4082"/>
      <w:r>
        <w:rPr>
          <w:rFonts w:hint="eastAsia"/>
          <w:color w:val="auto"/>
          <w:sz w:val="72"/>
          <w:szCs w:val="72"/>
          <w:highlight w:val="none"/>
        </w:rPr>
        <w:t>技术文件</w:t>
      </w:r>
      <w:bookmarkEnd w:id="134"/>
    </w:p>
    <w:p>
      <w:pPr>
        <w:jc w:val="center"/>
        <w:rPr>
          <w:rFonts w:ascii="黑体" w:eastAsia="黑体"/>
          <w:color w:val="auto"/>
          <w:sz w:val="72"/>
          <w:szCs w:val="72"/>
          <w:highlight w:val="none"/>
        </w:rPr>
      </w:pPr>
      <w:r>
        <w:rPr>
          <w:rFonts w:hint="eastAsia" w:ascii="黑体" w:eastAsia="黑体"/>
          <w:color w:val="auto"/>
          <w:sz w:val="72"/>
          <w:szCs w:val="72"/>
          <w:highlight w:val="none"/>
        </w:rPr>
        <w:t>（单独装订成册）</w:t>
      </w:r>
    </w:p>
    <w:p>
      <w:pPr>
        <w:rPr>
          <w:color w:val="auto"/>
          <w:highlight w:val="none"/>
        </w:rPr>
      </w:pPr>
    </w:p>
    <w:p>
      <w:pPr>
        <w:pStyle w:val="9"/>
        <w:rPr>
          <w:color w:val="auto"/>
          <w:highlight w:val="none"/>
        </w:rPr>
      </w:pPr>
    </w:p>
    <w:p>
      <w:pPr>
        <w:pStyle w:val="10"/>
        <w:ind w:firstLine="240"/>
        <w:rPr>
          <w:color w:val="auto"/>
          <w:highlight w:val="none"/>
        </w:rPr>
      </w:pPr>
    </w:p>
    <w:p>
      <w:pPr>
        <w:rPr>
          <w:rFonts w:ascii="宋体" w:hAnsi="宋体" w:cs="宋体"/>
          <w:b/>
          <w:bCs/>
          <w:color w:val="auto"/>
          <w:spacing w:val="106"/>
          <w:kern w:val="0"/>
          <w:sz w:val="32"/>
          <w:szCs w:val="32"/>
          <w:highlight w:val="none"/>
          <w:fitText w:val="1600" w:id="292250509"/>
        </w:rPr>
      </w:pPr>
      <w:r>
        <w:rPr>
          <w:rFonts w:hint="eastAsia" w:ascii="宋体" w:hAnsi="宋体" w:cs="宋体"/>
          <w:b/>
          <w:bCs/>
          <w:color w:val="auto"/>
          <w:spacing w:val="106"/>
          <w:kern w:val="0"/>
          <w:sz w:val="32"/>
          <w:szCs w:val="32"/>
          <w:highlight w:val="none"/>
          <w:fitText w:val="1600" w:id="292250509"/>
        </w:rPr>
        <w:t>项目名</w:t>
      </w:r>
      <w:r>
        <w:rPr>
          <w:rFonts w:hint="eastAsia" w:ascii="宋体" w:hAnsi="宋体" w:cs="宋体"/>
          <w:b/>
          <w:bCs/>
          <w:color w:val="auto"/>
          <w:spacing w:val="2"/>
          <w:kern w:val="0"/>
          <w:sz w:val="32"/>
          <w:szCs w:val="32"/>
          <w:highlight w:val="none"/>
          <w:fitText w:val="1600" w:id="292250509"/>
        </w:rPr>
        <w:t>称</w:t>
      </w:r>
      <w:r>
        <w:rPr>
          <w:rFonts w:hint="eastAsia" w:ascii="宋体" w:hAnsi="宋体" w:cs="宋体"/>
          <w:b/>
          <w:bCs/>
          <w:color w:val="auto"/>
          <w:spacing w:val="-6"/>
          <w:sz w:val="32"/>
          <w:szCs w:val="32"/>
          <w:highlight w:val="none"/>
        </w:rPr>
        <w:t>：</w:t>
      </w:r>
    </w:p>
    <w:p>
      <w:pPr>
        <w:rPr>
          <w:rFonts w:ascii="宋体" w:hAnsi="宋体" w:cs="宋体"/>
          <w:b/>
          <w:bCs/>
          <w:color w:val="auto"/>
          <w:spacing w:val="106"/>
          <w:kern w:val="0"/>
          <w:sz w:val="32"/>
          <w:szCs w:val="32"/>
          <w:highlight w:val="none"/>
          <w:fitText w:val="1600" w:id="292250509"/>
        </w:rPr>
      </w:pPr>
      <w:r>
        <w:rPr>
          <w:rFonts w:hint="eastAsia" w:ascii="宋体" w:hAnsi="宋体" w:cs="宋体"/>
          <w:b/>
          <w:bCs/>
          <w:color w:val="auto"/>
          <w:spacing w:val="0"/>
          <w:kern w:val="0"/>
          <w:sz w:val="32"/>
          <w:szCs w:val="32"/>
          <w:highlight w:val="none"/>
          <w:fitText w:val="1600" w:id="292250509"/>
        </w:rPr>
        <w:t>项目编号：</w:t>
      </w:r>
    </w:p>
    <w:p>
      <w:pPr>
        <w:pStyle w:val="9"/>
        <w:ind w:left="0"/>
        <w:rPr>
          <w:b/>
          <w:color w:val="auto"/>
          <w:spacing w:val="1280"/>
          <w:sz w:val="32"/>
          <w:szCs w:val="32"/>
          <w:highlight w:val="none"/>
        </w:rPr>
      </w:pPr>
      <w:r>
        <w:rPr>
          <w:b/>
          <w:color w:val="auto"/>
          <w:spacing w:val="1280"/>
          <w:kern w:val="0"/>
          <w:sz w:val="32"/>
          <w:szCs w:val="32"/>
          <w:highlight w:val="none"/>
          <w:fitText w:val="1600" w:id="292250509"/>
          <w:lang w:val="en-US" w:bidi="ar-SA"/>
        </w:rPr>
        <w:t>包</w:t>
      </w:r>
      <w:r>
        <w:rPr>
          <w:b/>
          <w:color w:val="auto"/>
          <w:spacing w:val="960"/>
          <w:kern w:val="0"/>
          <w:sz w:val="32"/>
          <w:szCs w:val="32"/>
          <w:highlight w:val="none"/>
          <w:fitText w:val="1600" w:id="1231831253"/>
          <w:lang w:val="en-US" w:bidi="ar-SA"/>
        </w:rPr>
        <w:t>组</w:t>
      </w:r>
      <w:r>
        <w:rPr>
          <w:b/>
          <w:color w:val="auto"/>
          <w:spacing w:val="0"/>
          <w:kern w:val="0"/>
          <w:sz w:val="32"/>
          <w:szCs w:val="32"/>
          <w:highlight w:val="none"/>
          <w:fitText w:val="1600" w:id="1231831253"/>
          <w:lang w:val="en-US" w:bidi="ar-SA"/>
        </w:rPr>
        <w:t>号</w:t>
      </w:r>
      <w:r>
        <w:rPr>
          <w:b/>
          <w:color w:val="auto"/>
          <w:spacing w:val="320"/>
          <w:kern w:val="0"/>
          <w:sz w:val="32"/>
          <w:szCs w:val="32"/>
          <w:highlight w:val="none"/>
          <w:fitText w:val="1600" w:id="292250509"/>
          <w:lang w:val="en-US" w:bidi="ar-SA"/>
        </w:rPr>
        <w:t>（如</w:t>
      </w:r>
      <w:r>
        <w:rPr>
          <w:b/>
          <w:color w:val="auto"/>
          <w:spacing w:val="0"/>
          <w:kern w:val="0"/>
          <w:sz w:val="32"/>
          <w:szCs w:val="32"/>
          <w:highlight w:val="none"/>
          <w:fitText w:val="1600" w:id="292250509"/>
          <w:lang w:val="en-US" w:bidi="ar-SA"/>
        </w:rPr>
        <w:t>有</w:t>
      </w:r>
      <w:r>
        <w:rPr>
          <w:b/>
          <w:color w:val="auto"/>
          <w:spacing w:val="1280"/>
          <w:kern w:val="0"/>
          <w:sz w:val="32"/>
          <w:szCs w:val="32"/>
          <w:highlight w:val="none"/>
          <w:fitText w:val="1600" w:id="1231831253"/>
          <w:lang w:val="en-US" w:bidi="ar-SA"/>
        </w:rPr>
        <w:t>）</w:t>
      </w:r>
      <w:r>
        <w:rPr>
          <w:b/>
          <w:color w:val="auto"/>
          <w:spacing w:val="106"/>
          <w:sz w:val="32"/>
          <w:szCs w:val="32"/>
          <w:highlight w:val="none"/>
          <w:lang w:val="en-US" w:bidi="ar-SA"/>
        </w:rPr>
        <w:t>：</w:t>
      </w:r>
    </w:p>
    <w:p>
      <w:pPr>
        <w:rPr>
          <w:rFonts w:ascii="宋体" w:hAnsi="宋体" w:cs="宋体"/>
          <w:b/>
          <w:color w:val="auto"/>
          <w:spacing w:val="80"/>
          <w:kern w:val="0"/>
          <w:sz w:val="32"/>
          <w:szCs w:val="32"/>
          <w:highlight w:val="none"/>
          <w:fitText w:val="1600" w:id="1764384445"/>
        </w:rPr>
      </w:pPr>
      <w:r>
        <w:rPr>
          <w:rFonts w:hint="eastAsia" w:ascii="宋体" w:hAnsi="宋体" w:cs="宋体"/>
          <w:b/>
          <w:color w:val="auto"/>
          <w:spacing w:val="320"/>
          <w:kern w:val="0"/>
          <w:sz w:val="32"/>
          <w:szCs w:val="32"/>
          <w:highlight w:val="none"/>
          <w:fitText w:val="1600" w:id="1231831253"/>
        </w:rPr>
        <w:t>投标</w:t>
      </w:r>
      <w:r>
        <w:rPr>
          <w:rFonts w:hint="eastAsia" w:ascii="宋体" w:hAnsi="宋体" w:cs="宋体"/>
          <w:b/>
          <w:color w:val="auto"/>
          <w:spacing w:val="0"/>
          <w:kern w:val="0"/>
          <w:sz w:val="32"/>
          <w:szCs w:val="32"/>
          <w:highlight w:val="none"/>
          <w:fitText w:val="1600" w:id="1231831253"/>
        </w:rPr>
        <w:t>人</w:t>
      </w:r>
      <w:r>
        <w:rPr>
          <w:rFonts w:hint="eastAsia" w:ascii="宋体" w:hAnsi="宋体" w:cs="宋体"/>
          <w:b/>
          <w:color w:val="auto"/>
          <w:spacing w:val="320"/>
          <w:kern w:val="0"/>
          <w:sz w:val="32"/>
          <w:szCs w:val="32"/>
          <w:highlight w:val="none"/>
          <w:fitText w:val="1600" w:id="1764384445"/>
        </w:rPr>
        <w:t>名称</w:t>
      </w:r>
      <w:r>
        <w:rPr>
          <w:rFonts w:hint="eastAsia" w:ascii="宋体" w:hAnsi="宋体" w:cs="宋体"/>
          <w:b/>
          <w:color w:val="auto"/>
          <w:spacing w:val="0"/>
          <w:kern w:val="0"/>
          <w:sz w:val="32"/>
          <w:szCs w:val="32"/>
          <w:highlight w:val="none"/>
          <w:fitText w:val="1600" w:id="1764384445"/>
        </w:rPr>
        <w:t>：</w:t>
      </w:r>
    </w:p>
    <w:p>
      <w:pPr>
        <w:rPr>
          <w:rFonts w:ascii="宋体" w:hAnsi="宋体" w:cs="宋体"/>
          <w:b/>
          <w:color w:val="auto"/>
          <w:spacing w:val="0"/>
          <w:kern w:val="0"/>
          <w:sz w:val="32"/>
          <w:szCs w:val="32"/>
          <w:highlight w:val="none"/>
          <w:fitText w:val="1600" w:id="1764384445"/>
        </w:rPr>
      </w:pPr>
      <w:r>
        <w:rPr>
          <w:rFonts w:hint="eastAsia" w:ascii="宋体" w:hAnsi="宋体" w:cs="宋体"/>
          <w:b/>
          <w:color w:val="auto"/>
          <w:spacing w:val="0"/>
          <w:kern w:val="0"/>
          <w:sz w:val="32"/>
          <w:szCs w:val="32"/>
          <w:highlight w:val="none"/>
          <w:fitText w:val="1600" w:id="1764384445"/>
        </w:rPr>
        <w:t>日    期：</w:t>
      </w:r>
    </w:p>
    <w:p>
      <w:pPr>
        <w:rPr>
          <w:rFonts w:ascii="宋体" w:hAnsi="宋体"/>
          <w:color w:val="auto"/>
          <w:spacing w:val="485"/>
          <w:kern w:val="0"/>
          <w:szCs w:val="21"/>
          <w:highlight w:val="none"/>
          <w:fitText w:val="1600" w:id="1764384445"/>
        </w:rPr>
      </w:pPr>
      <w:r>
        <w:rPr>
          <w:rFonts w:hint="eastAsia" w:ascii="宋体" w:hAnsi="宋体"/>
          <w:color w:val="auto"/>
          <w:spacing w:val="2"/>
          <w:kern w:val="0"/>
          <w:szCs w:val="21"/>
          <w:highlight w:val="none"/>
          <w:fitText w:val="1600" w:id="2061173831"/>
        </w:rPr>
        <w:br w:type="page"/>
      </w:r>
    </w:p>
    <w:p>
      <w:pPr>
        <w:pStyle w:val="5"/>
        <w:widowControl w:val="0"/>
        <w:overflowPunct w:val="0"/>
        <w:spacing w:line="240" w:lineRule="auto"/>
        <w:rPr>
          <w:rFonts w:ascii="宋体" w:hAnsi="宋体"/>
          <w:color w:val="auto"/>
          <w:sz w:val="21"/>
          <w:szCs w:val="21"/>
          <w:highlight w:val="none"/>
        </w:rPr>
      </w:pPr>
      <w:bookmarkStart w:id="135" w:name="_Toc5858"/>
      <w:r>
        <w:rPr>
          <w:rFonts w:hint="eastAsia" w:ascii="宋体" w:hAnsi="宋体"/>
          <w:color w:val="auto"/>
          <w:spacing w:val="0"/>
          <w:kern w:val="0"/>
          <w:sz w:val="21"/>
          <w:szCs w:val="21"/>
          <w:highlight w:val="none"/>
        </w:rPr>
        <w:t>附件1</w:t>
      </w:r>
      <w:r>
        <w:rPr>
          <w:rFonts w:hint="eastAsia" w:ascii="宋体" w:hAnsi="宋体"/>
          <w:color w:val="auto"/>
          <w:spacing w:val="0"/>
          <w:kern w:val="0"/>
          <w:sz w:val="21"/>
          <w:szCs w:val="21"/>
          <w:highlight w:val="none"/>
          <w:lang w:val="en-US" w:eastAsia="zh-CN"/>
        </w:rPr>
        <w:t>3</w:t>
      </w:r>
      <w:r>
        <w:rPr>
          <w:rFonts w:hint="eastAsia" w:ascii="宋体" w:hAnsi="宋体"/>
          <w:color w:val="auto"/>
          <w:spacing w:val="0"/>
          <w:kern w:val="0"/>
          <w:sz w:val="21"/>
          <w:szCs w:val="21"/>
          <w:highlight w:val="none"/>
        </w:rPr>
        <w:t xml:space="preserve">. </w:t>
      </w:r>
      <w:r>
        <w:rPr>
          <w:rFonts w:hint="eastAsia" w:ascii="宋体" w:hAnsi="宋体"/>
          <w:color w:val="auto"/>
          <w:sz w:val="21"/>
          <w:szCs w:val="21"/>
          <w:highlight w:val="none"/>
        </w:rPr>
        <w:t>技术规</w:t>
      </w:r>
      <w:r>
        <w:rPr>
          <w:rFonts w:hint="eastAsia" w:ascii="宋体" w:hAnsi="宋体"/>
          <w:color w:val="auto"/>
          <w:spacing w:val="0"/>
          <w:kern w:val="0"/>
          <w:sz w:val="21"/>
          <w:szCs w:val="21"/>
          <w:highlight w:val="none"/>
        </w:rPr>
        <w:t>格</w:t>
      </w:r>
      <w:r>
        <w:rPr>
          <w:rFonts w:hint="eastAsia" w:ascii="宋体" w:hAnsi="宋体"/>
          <w:color w:val="auto"/>
          <w:sz w:val="21"/>
          <w:szCs w:val="21"/>
          <w:highlight w:val="none"/>
        </w:rPr>
        <w:t>偏离表格式</w:t>
      </w:r>
      <w:bookmarkEnd w:id="135"/>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技术规格偏离表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902" w:type="dxa"/>
            <w:vAlign w:val="center"/>
          </w:tcPr>
          <w:p>
            <w:pPr>
              <w:jc w:val="center"/>
              <w:rPr>
                <w:rFonts w:ascii="宋体" w:hAnsi="宋体"/>
                <w:color w:val="auto"/>
                <w:szCs w:val="21"/>
                <w:highlight w:val="none"/>
              </w:rPr>
            </w:pPr>
            <w:r>
              <w:rPr>
                <w:rFonts w:hint="eastAsia" w:ascii="宋体" w:hAnsi="宋体"/>
                <w:color w:val="auto"/>
                <w:szCs w:val="21"/>
                <w:highlight w:val="none"/>
              </w:rPr>
              <w:t>服务项目名称</w:t>
            </w:r>
          </w:p>
        </w:tc>
        <w:tc>
          <w:tcPr>
            <w:tcW w:w="1370" w:type="dxa"/>
            <w:vAlign w:val="center"/>
          </w:tcPr>
          <w:p>
            <w:pPr>
              <w:jc w:val="center"/>
              <w:rPr>
                <w:rFonts w:ascii="宋体" w:hAnsi="宋体"/>
                <w:color w:val="auto"/>
                <w:szCs w:val="21"/>
                <w:highlight w:val="none"/>
              </w:rPr>
            </w:pPr>
            <w:r>
              <w:rPr>
                <w:rFonts w:hint="eastAsia" w:ascii="宋体" w:hAnsi="宋体"/>
                <w:color w:val="auto"/>
                <w:szCs w:val="21"/>
                <w:highlight w:val="none"/>
              </w:rPr>
              <w:t>采购要求</w:t>
            </w:r>
          </w:p>
        </w:tc>
        <w:tc>
          <w:tcPr>
            <w:tcW w:w="1629" w:type="dxa"/>
            <w:vAlign w:val="center"/>
          </w:tcPr>
          <w:p>
            <w:pPr>
              <w:jc w:val="center"/>
              <w:rPr>
                <w:rFonts w:ascii="宋体" w:hAnsi="宋体"/>
                <w:color w:val="auto"/>
                <w:szCs w:val="21"/>
                <w:highlight w:val="none"/>
              </w:rPr>
            </w:pPr>
            <w:r>
              <w:rPr>
                <w:rFonts w:hint="eastAsia" w:ascii="宋体" w:hAnsi="宋体"/>
                <w:color w:val="auto"/>
                <w:szCs w:val="21"/>
                <w:highlight w:val="none"/>
              </w:rPr>
              <w:t>投标实际响应</w:t>
            </w:r>
          </w:p>
        </w:tc>
        <w:tc>
          <w:tcPr>
            <w:tcW w:w="1239" w:type="dxa"/>
            <w:vAlign w:val="center"/>
          </w:tcPr>
          <w:p>
            <w:pPr>
              <w:jc w:val="center"/>
              <w:rPr>
                <w:rFonts w:ascii="宋体" w:hAnsi="宋体"/>
                <w:color w:val="auto"/>
                <w:szCs w:val="21"/>
                <w:highlight w:val="none"/>
              </w:rPr>
            </w:pPr>
            <w:r>
              <w:rPr>
                <w:rFonts w:hint="eastAsia" w:ascii="宋体" w:hAnsi="宋体"/>
                <w:color w:val="auto"/>
                <w:szCs w:val="21"/>
                <w:highlight w:val="none"/>
              </w:rPr>
              <w:t>是否偏离</w:t>
            </w:r>
          </w:p>
        </w:tc>
        <w:tc>
          <w:tcPr>
            <w:tcW w:w="1544" w:type="dxa"/>
            <w:vAlign w:val="center"/>
          </w:tcPr>
          <w:p>
            <w:pPr>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color w:val="auto"/>
                <w:szCs w:val="21"/>
                <w:highlight w:val="none"/>
              </w:rPr>
            </w:pPr>
          </w:p>
        </w:tc>
        <w:tc>
          <w:tcPr>
            <w:tcW w:w="1902" w:type="dxa"/>
            <w:vAlign w:val="center"/>
          </w:tcPr>
          <w:p>
            <w:pPr>
              <w:jc w:val="center"/>
              <w:rPr>
                <w:rFonts w:ascii="宋体" w:hAnsi="宋体"/>
                <w:color w:val="auto"/>
                <w:szCs w:val="21"/>
                <w:highlight w:val="none"/>
              </w:rPr>
            </w:pPr>
          </w:p>
        </w:tc>
        <w:tc>
          <w:tcPr>
            <w:tcW w:w="1370" w:type="dxa"/>
            <w:vAlign w:val="center"/>
          </w:tcPr>
          <w:p>
            <w:pPr>
              <w:jc w:val="center"/>
              <w:rPr>
                <w:rFonts w:ascii="宋体" w:hAnsi="宋体"/>
                <w:color w:val="auto"/>
                <w:szCs w:val="21"/>
                <w:highlight w:val="none"/>
              </w:rPr>
            </w:pPr>
          </w:p>
        </w:tc>
        <w:tc>
          <w:tcPr>
            <w:tcW w:w="1629" w:type="dxa"/>
            <w:vAlign w:val="center"/>
          </w:tcPr>
          <w:p>
            <w:pPr>
              <w:jc w:val="center"/>
              <w:rPr>
                <w:rFonts w:ascii="宋体" w:hAnsi="宋体"/>
                <w:color w:val="auto"/>
                <w:szCs w:val="21"/>
                <w:highlight w:val="none"/>
              </w:rPr>
            </w:pPr>
          </w:p>
        </w:tc>
        <w:tc>
          <w:tcPr>
            <w:tcW w:w="1239" w:type="dxa"/>
            <w:vAlign w:val="center"/>
          </w:tcPr>
          <w:p>
            <w:pPr>
              <w:jc w:val="center"/>
              <w:rPr>
                <w:rFonts w:ascii="宋体" w:hAnsi="宋体"/>
                <w:color w:val="auto"/>
                <w:szCs w:val="21"/>
                <w:highlight w:val="none"/>
              </w:rPr>
            </w:pPr>
          </w:p>
        </w:tc>
        <w:tc>
          <w:tcPr>
            <w:tcW w:w="1544" w:type="dxa"/>
            <w:vAlign w:val="center"/>
          </w:tcPr>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投标人代表签字：</w:t>
      </w:r>
    </w:p>
    <w:p>
      <w:pPr>
        <w:rPr>
          <w:rFonts w:ascii="宋体" w:hAnsi="宋体"/>
          <w:color w:val="auto"/>
          <w:szCs w:val="21"/>
          <w:highlight w:val="none"/>
        </w:rPr>
      </w:pPr>
      <w:r>
        <w:rPr>
          <w:rFonts w:hint="eastAsia" w:ascii="宋体" w:hAnsi="宋体"/>
          <w:color w:val="auto"/>
          <w:szCs w:val="21"/>
          <w:highlight w:val="none"/>
        </w:rPr>
        <w:t>投标人盖章：</w:t>
      </w:r>
    </w:p>
    <w:p>
      <w:pPr>
        <w:ind w:firstLine="178" w:firstLineChars="85"/>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w:t>
      </w:r>
    </w:p>
    <w:p>
      <w:pPr>
        <w:rPr>
          <w:rFonts w:ascii="宋体" w:hAnsi="宋体"/>
          <w:color w:val="auto"/>
          <w:szCs w:val="21"/>
          <w:highlight w:val="none"/>
        </w:rPr>
      </w:pPr>
      <w:r>
        <w:rPr>
          <w:rFonts w:hint="eastAsia" w:ascii="宋体" w:hAnsi="宋体"/>
          <w:color w:val="auto"/>
          <w:szCs w:val="21"/>
          <w:highlight w:val="none"/>
        </w:rPr>
        <w:t>1、投标人应对照采购文件技术需求书中技术规格，说明所提供服务已对采购文件的技术规格做出了实质性的响应，并申明与技术规格条文的偏差和例外。特别对有具体参数要求的指标，投标人必须提供所投设备的具体参数值。</w:t>
      </w:r>
    </w:p>
    <w:p>
      <w:pPr>
        <w:rPr>
          <w:rFonts w:ascii="宋体" w:hAnsi="宋体"/>
          <w:color w:val="auto"/>
          <w:szCs w:val="21"/>
          <w:highlight w:val="none"/>
        </w:rPr>
      </w:pPr>
      <w:r>
        <w:rPr>
          <w:rFonts w:hint="eastAsia" w:ascii="宋体" w:hAnsi="宋体"/>
          <w:color w:val="auto"/>
          <w:szCs w:val="21"/>
          <w:highlight w:val="none"/>
        </w:rPr>
        <w:t>2、</w:t>
      </w:r>
      <w:r>
        <w:rPr>
          <w:rFonts w:hint="eastAsia" w:hAnsi="宋体" w:cs="宋体"/>
          <w:color w:val="auto"/>
          <w:szCs w:val="21"/>
          <w:highlight w:val="none"/>
        </w:rPr>
        <w:t>不论出于何种原因此表未填写</w:t>
      </w:r>
      <w:r>
        <w:rPr>
          <w:rFonts w:hint="eastAsia" w:ascii="宋体" w:hAnsi="宋体"/>
          <w:color w:val="auto"/>
          <w:szCs w:val="21"/>
          <w:highlight w:val="none"/>
        </w:rPr>
        <w:t>完整</w:t>
      </w:r>
      <w:r>
        <w:rPr>
          <w:rFonts w:hint="eastAsia" w:hAnsi="宋体" w:cs="宋体"/>
          <w:color w:val="auto"/>
          <w:szCs w:val="21"/>
          <w:highlight w:val="none"/>
        </w:rPr>
        <w:t>，投标人都被认为已清楚了解采购文件“技术需求书”的内容并对采购人所需的服务要求作全面响应，投标人必须承担完成“技术需求书”所描述内容的义务</w:t>
      </w:r>
      <w:r>
        <w:rPr>
          <w:rFonts w:hint="eastAsia" w:ascii="宋体" w:hAnsi="宋体"/>
          <w:color w:val="auto"/>
          <w:szCs w:val="21"/>
          <w:highlight w:val="none"/>
        </w:rPr>
        <w:t>，因此对投标人投标产生负面影响的，投标人自行承担后果。</w:t>
      </w:r>
    </w:p>
    <w:p>
      <w:pPr>
        <w:rPr>
          <w:rFonts w:ascii="宋体" w:hAnsi="宋体"/>
          <w:color w:val="auto"/>
          <w:szCs w:val="21"/>
          <w:highlight w:val="none"/>
        </w:rPr>
      </w:pPr>
      <w:r>
        <w:rPr>
          <w:rFonts w:hint="eastAsia" w:ascii="宋体" w:hAnsi="宋体"/>
          <w:color w:val="auto"/>
          <w:szCs w:val="21"/>
          <w:highlight w:val="none"/>
        </w:rPr>
        <w:t>3、</w:t>
      </w:r>
      <w:r>
        <w:rPr>
          <w:rFonts w:hint="eastAsia" w:hAnsi="宋体" w:cs="宋体"/>
          <w:color w:val="auto"/>
          <w:szCs w:val="21"/>
          <w:highlight w:val="none"/>
        </w:rPr>
        <w:t>如有偏离，应在“偏离情况”栏内注明“正”、“负”或“无”，并在“说明”栏内予以说明。</w:t>
      </w:r>
    </w:p>
    <w:p>
      <w:pPr>
        <w:rPr>
          <w:rFonts w:ascii="宋体" w:hAnsi="宋体"/>
          <w:color w:val="auto"/>
          <w:szCs w:val="21"/>
          <w:highlight w:val="none"/>
        </w:rPr>
      </w:pPr>
      <w:r>
        <w:rPr>
          <w:rFonts w:hint="eastAsia" w:ascii="宋体" w:hAnsi="宋体"/>
          <w:color w:val="auto"/>
          <w:szCs w:val="21"/>
          <w:highlight w:val="none"/>
        </w:rPr>
        <w:t>4、</w:t>
      </w:r>
      <w:r>
        <w:rPr>
          <w:rFonts w:hint="eastAsia" w:hAnsi="宋体" w:cs="宋体"/>
          <w:color w:val="auto"/>
          <w:szCs w:val="21"/>
          <w:highlight w:val="none"/>
        </w:rPr>
        <w:t>如投标人差异内容较多可另附页说明。</w:t>
      </w:r>
    </w:p>
    <w:p>
      <w:pPr>
        <w:rPr>
          <w:rFonts w:ascii="宋体" w:hAnsi="宋体"/>
          <w:color w:val="auto"/>
          <w:szCs w:val="21"/>
          <w:highlight w:val="none"/>
        </w:rPr>
      </w:pPr>
      <w:r>
        <w:rPr>
          <w:rFonts w:hint="eastAsia" w:ascii="宋体" w:hAnsi="宋体"/>
          <w:color w:val="auto"/>
          <w:szCs w:val="21"/>
          <w:highlight w:val="none"/>
        </w:rPr>
        <w:t>5、</w:t>
      </w:r>
      <w:r>
        <w:rPr>
          <w:rFonts w:hint="eastAsia" w:hAnsi="宋体" w:cs="宋体"/>
          <w:color w:val="auto"/>
          <w:szCs w:val="21"/>
          <w:highlight w:val="none"/>
        </w:rPr>
        <w:t>如投标人对用户需求书商务要求的条款全部响应的，也可以在表格下面用文字总括性的说明。</w:t>
      </w:r>
    </w:p>
    <w:p>
      <w:pPr>
        <w:rPr>
          <w:rFonts w:ascii="宋体" w:hAnsi="宋体"/>
          <w:color w:val="auto"/>
          <w:szCs w:val="21"/>
          <w:highlight w:val="none"/>
        </w:rPr>
      </w:pPr>
    </w:p>
    <w:p>
      <w:pPr>
        <w:adjustRightInd/>
        <w:snapToGrid/>
        <w:spacing w:line="276" w:lineRule="auto"/>
        <w:rPr>
          <w:color w:val="auto"/>
          <w:highlight w:val="none"/>
        </w:rPr>
      </w:pPr>
    </w:p>
    <w:p>
      <w:pPr>
        <w:rPr>
          <w:rFonts w:ascii="宋体" w:hAnsi="宋体"/>
          <w:color w:val="auto"/>
          <w:szCs w:val="21"/>
          <w:highlight w:val="none"/>
        </w:rPr>
      </w:pPr>
      <w:bookmarkStart w:id="136" w:name="_Toc17691"/>
      <w:r>
        <w:rPr>
          <w:rFonts w:hint="eastAsia" w:ascii="宋体" w:hAnsi="宋体"/>
          <w:color w:val="auto"/>
          <w:szCs w:val="21"/>
          <w:highlight w:val="none"/>
        </w:rPr>
        <w:br w:type="page"/>
      </w:r>
    </w:p>
    <w:bookmarkEnd w:id="136"/>
    <w:p>
      <w:pPr>
        <w:pStyle w:val="5"/>
        <w:widowControl w:val="0"/>
        <w:overflowPunct w:val="0"/>
        <w:spacing w:line="240" w:lineRule="auto"/>
        <w:rPr>
          <w:rFonts w:ascii="宋体" w:hAnsi="宋体"/>
          <w:color w:val="auto"/>
          <w:sz w:val="21"/>
          <w:szCs w:val="21"/>
          <w:highlight w:val="none"/>
        </w:rPr>
      </w:pPr>
      <w:bookmarkStart w:id="137" w:name="_Toc24086"/>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.项目实施方案格式</w:t>
      </w:r>
      <w:bookmarkEnd w:id="137"/>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项目实施方案</w:t>
      </w:r>
    </w:p>
    <w:p>
      <w:pPr>
        <w:jc w:val="center"/>
        <w:rPr>
          <w:rFonts w:ascii="黑体" w:eastAsia="黑体"/>
          <w:color w:val="auto"/>
          <w:sz w:val="32"/>
          <w:szCs w:val="32"/>
          <w:highlight w:val="none"/>
        </w:rPr>
      </w:pPr>
    </w:p>
    <w:p>
      <w:pPr>
        <w:ind w:left="718" w:leftChars="200" w:hanging="298" w:hangingChars="142"/>
        <w:rPr>
          <w:rFonts w:ascii="宋体" w:hAnsi="宋体"/>
          <w:color w:val="auto"/>
          <w:szCs w:val="21"/>
          <w:highlight w:val="none"/>
        </w:rPr>
      </w:pPr>
      <w:r>
        <w:rPr>
          <w:rFonts w:hint="eastAsia" w:ascii="宋体" w:hAnsi="宋体"/>
          <w:color w:val="auto"/>
          <w:szCs w:val="21"/>
          <w:highlight w:val="none"/>
        </w:rPr>
        <w:t>1、为完成本项目投标人临时投入的设备</w:t>
      </w:r>
    </w:p>
    <w:p>
      <w:pPr>
        <w:ind w:left="718" w:leftChars="200" w:hanging="298" w:hangingChars="142"/>
        <w:rPr>
          <w:rFonts w:ascii="宋体" w:hAnsi="宋体"/>
          <w:color w:val="auto"/>
          <w:szCs w:val="21"/>
          <w:highlight w:val="none"/>
        </w:rPr>
      </w:pPr>
      <w:r>
        <w:rPr>
          <w:rFonts w:hint="eastAsia" w:ascii="宋体" w:hAnsi="宋体"/>
          <w:color w:val="auto"/>
          <w:szCs w:val="21"/>
          <w:highlight w:val="none"/>
        </w:rPr>
        <w:t>2、为完成本项目投标人投入的人员以及具体工作安排</w:t>
      </w:r>
    </w:p>
    <w:p>
      <w:pPr>
        <w:ind w:left="718" w:leftChars="200" w:hanging="298" w:hangingChars="142"/>
        <w:rPr>
          <w:rFonts w:ascii="宋体" w:hAnsi="宋体"/>
          <w:color w:val="auto"/>
          <w:szCs w:val="21"/>
          <w:highlight w:val="none"/>
        </w:rPr>
      </w:pPr>
      <w:r>
        <w:rPr>
          <w:rFonts w:hint="eastAsia" w:ascii="宋体" w:hAnsi="宋体"/>
          <w:color w:val="auto"/>
          <w:szCs w:val="21"/>
          <w:highlight w:val="none"/>
        </w:rPr>
        <w:t>3、投标人为本项目制定的具体项目实施方案与项目实施流程</w:t>
      </w:r>
    </w:p>
    <w:p>
      <w:pPr>
        <w:ind w:left="718" w:leftChars="200" w:hanging="298" w:hangingChars="142"/>
        <w:rPr>
          <w:rFonts w:ascii="宋体" w:hAnsi="宋体"/>
          <w:color w:val="auto"/>
          <w:szCs w:val="21"/>
          <w:highlight w:val="none"/>
        </w:rPr>
      </w:pPr>
      <w:r>
        <w:rPr>
          <w:rFonts w:hint="eastAsia" w:ascii="宋体" w:hAnsi="宋体"/>
          <w:color w:val="auto"/>
          <w:szCs w:val="21"/>
          <w:highlight w:val="none"/>
        </w:rPr>
        <w:t>4、服务方案</w:t>
      </w:r>
    </w:p>
    <w:p>
      <w:pPr>
        <w:ind w:left="718" w:leftChars="200" w:hanging="298" w:hangingChars="142"/>
        <w:rPr>
          <w:rFonts w:ascii="宋体" w:hAnsi="宋体"/>
          <w:color w:val="auto"/>
          <w:szCs w:val="21"/>
          <w:highlight w:val="none"/>
        </w:rPr>
      </w:pPr>
      <w:r>
        <w:rPr>
          <w:rFonts w:hint="eastAsia" w:ascii="宋体" w:hAnsi="宋体"/>
          <w:color w:val="auto"/>
          <w:szCs w:val="21"/>
          <w:highlight w:val="none"/>
        </w:rPr>
        <w:t>5、..........</w:t>
      </w:r>
    </w:p>
    <w:p>
      <w:pPr>
        <w:ind w:left="718" w:leftChars="200" w:hanging="298" w:hangingChars="142"/>
        <w:rPr>
          <w:rFonts w:ascii="宋体" w:hAnsi="宋体" w:cs="Times New Roman"/>
          <w:color w:val="auto"/>
          <w:szCs w:val="21"/>
          <w:highlight w:val="none"/>
        </w:rPr>
      </w:pPr>
      <w:r>
        <w:rPr>
          <w:rFonts w:hint="eastAsia" w:ascii="宋体" w:hAnsi="宋体"/>
          <w:color w:val="auto"/>
          <w:szCs w:val="21"/>
          <w:highlight w:val="none"/>
        </w:rPr>
        <w:t>自行编写。</w:t>
      </w:r>
    </w:p>
    <w:p>
      <w:pPr>
        <w:ind w:left="718" w:leftChars="200" w:hanging="298" w:hangingChars="142"/>
        <w:rPr>
          <w:rFonts w:ascii="宋体" w:hAnsi="宋体"/>
          <w:color w:val="auto"/>
          <w:szCs w:val="21"/>
          <w:highlight w:val="none"/>
        </w:rPr>
      </w:pPr>
    </w:p>
    <w:p>
      <w:pPr>
        <w:ind w:left="718" w:leftChars="200" w:hanging="298" w:hangingChars="142"/>
        <w:rPr>
          <w:rFonts w:ascii="宋体" w:hAnsi="宋体"/>
          <w:color w:val="auto"/>
          <w:szCs w:val="21"/>
          <w:highlight w:val="none"/>
        </w:rPr>
      </w:pPr>
    </w:p>
    <w:p>
      <w:pPr>
        <w:ind w:left="718" w:leftChars="200" w:hanging="298" w:hangingChars="142"/>
        <w:rPr>
          <w:rFonts w:ascii="宋体" w:hAnsi="宋体"/>
          <w:color w:val="auto"/>
          <w:szCs w:val="21"/>
          <w:highlight w:val="none"/>
        </w:rPr>
      </w:pPr>
      <w:r>
        <w:rPr>
          <w:rFonts w:hint="eastAsia" w:ascii="宋体" w:hAnsi="宋体"/>
          <w:color w:val="auto"/>
          <w:szCs w:val="21"/>
          <w:highlight w:val="none"/>
        </w:rPr>
        <w:br w:type="page"/>
      </w:r>
    </w:p>
    <w:p>
      <w:pPr>
        <w:pStyle w:val="5"/>
        <w:widowControl w:val="0"/>
        <w:overflowPunct w:val="0"/>
        <w:spacing w:line="240" w:lineRule="auto"/>
        <w:rPr>
          <w:rFonts w:ascii="宋体" w:hAnsi="宋体"/>
          <w:color w:val="auto"/>
          <w:sz w:val="21"/>
          <w:szCs w:val="21"/>
          <w:highlight w:val="none"/>
        </w:rPr>
      </w:pPr>
      <w:bookmarkStart w:id="138" w:name="_Toc32544"/>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.实施本项目的有关人员资料表格式</w:t>
      </w:r>
      <w:bookmarkEnd w:id="138"/>
    </w:p>
    <w:p>
      <w:pPr>
        <w:jc w:val="center"/>
        <w:rPr>
          <w:rFonts w:ascii="宋体" w:hAnsi="宋体"/>
          <w:color w:val="auto"/>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实施本项目的有关人员资料表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702"/>
        <w:gridCol w:w="1861"/>
        <w:gridCol w:w="702"/>
        <w:gridCol w:w="702"/>
        <w:gridCol w:w="1164"/>
        <w:gridCol w:w="818"/>
        <w:gridCol w:w="116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1092" w:type="pct"/>
            <w:vAlign w:val="center"/>
          </w:tcPr>
          <w:p>
            <w:pPr>
              <w:jc w:val="center"/>
              <w:rPr>
                <w:rFonts w:ascii="宋体" w:hAnsi="宋体"/>
                <w:color w:val="auto"/>
                <w:szCs w:val="21"/>
                <w:highlight w:val="none"/>
              </w:rPr>
            </w:pPr>
            <w:r>
              <w:rPr>
                <w:rFonts w:hint="eastAsia" w:ascii="宋体" w:hAnsi="宋体"/>
                <w:color w:val="auto"/>
                <w:szCs w:val="21"/>
                <w:highlight w:val="none"/>
              </w:rPr>
              <w:t>本项目拟任岗位</w:t>
            </w:r>
          </w:p>
        </w:tc>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性别</w:t>
            </w:r>
          </w:p>
        </w:tc>
        <w:tc>
          <w:tcPr>
            <w:tcW w:w="412" w:type="pct"/>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683" w:type="pct"/>
            <w:vAlign w:val="center"/>
          </w:tcPr>
          <w:p>
            <w:pPr>
              <w:jc w:val="center"/>
              <w:rPr>
                <w:rFonts w:ascii="宋体" w:hAnsi="宋体"/>
                <w:color w:val="auto"/>
                <w:szCs w:val="21"/>
                <w:highlight w:val="none"/>
              </w:rPr>
            </w:pPr>
            <w:r>
              <w:rPr>
                <w:rFonts w:hint="eastAsia" w:ascii="宋体" w:hAnsi="宋体"/>
                <w:color w:val="auto"/>
                <w:szCs w:val="21"/>
                <w:highlight w:val="none"/>
              </w:rPr>
              <w:t>技术职称</w:t>
            </w:r>
          </w:p>
        </w:tc>
        <w:tc>
          <w:tcPr>
            <w:tcW w:w="480" w:type="pct"/>
            <w:vAlign w:val="center"/>
          </w:tcPr>
          <w:p>
            <w:pPr>
              <w:jc w:val="center"/>
              <w:rPr>
                <w:rFonts w:ascii="宋体" w:hAnsi="宋体"/>
                <w:color w:val="auto"/>
                <w:szCs w:val="21"/>
                <w:highlight w:val="none"/>
              </w:rPr>
            </w:pPr>
            <w:r>
              <w:rPr>
                <w:rFonts w:hint="eastAsia" w:ascii="宋体" w:hAnsi="宋体"/>
                <w:color w:val="auto"/>
                <w:szCs w:val="21"/>
                <w:highlight w:val="none"/>
              </w:rPr>
              <w:t>专 业</w:t>
            </w:r>
          </w:p>
        </w:tc>
        <w:tc>
          <w:tcPr>
            <w:tcW w:w="683" w:type="pct"/>
            <w:vAlign w:val="center"/>
          </w:tcPr>
          <w:p>
            <w:pPr>
              <w:jc w:val="center"/>
              <w:rPr>
                <w:rFonts w:ascii="宋体" w:hAnsi="宋体"/>
                <w:color w:val="auto"/>
                <w:szCs w:val="21"/>
                <w:highlight w:val="none"/>
              </w:rPr>
            </w:pPr>
            <w:r>
              <w:rPr>
                <w:rFonts w:hint="eastAsia" w:ascii="宋体" w:hAnsi="宋体"/>
                <w:color w:val="auto"/>
                <w:szCs w:val="21"/>
                <w:highlight w:val="none"/>
              </w:rPr>
              <w:t>资质证书</w:t>
            </w:r>
          </w:p>
        </w:tc>
        <w:tc>
          <w:tcPr>
            <w:tcW w:w="412" w:type="pct"/>
            <w:tcBorders>
              <w:right w:val="single" w:color="auto" w:sz="6" w:space="0"/>
            </w:tcBorders>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109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412"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80" w:type="pct"/>
            <w:vAlign w:val="center"/>
          </w:tcPr>
          <w:p>
            <w:pPr>
              <w:spacing w:line="288" w:lineRule="auto"/>
              <w:jc w:val="center"/>
              <w:rPr>
                <w:rFonts w:ascii="宋体" w:hAnsi="宋体"/>
                <w:color w:val="auto"/>
                <w:szCs w:val="21"/>
                <w:highlight w:val="none"/>
              </w:rPr>
            </w:pPr>
          </w:p>
        </w:tc>
        <w:tc>
          <w:tcPr>
            <w:tcW w:w="683" w:type="pct"/>
            <w:vAlign w:val="center"/>
          </w:tcPr>
          <w:p>
            <w:pPr>
              <w:spacing w:line="288" w:lineRule="auto"/>
              <w:jc w:val="center"/>
              <w:rPr>
                <w:rFonts w:ascii="宋体" w:hAnsi="宋体"/>
                <w:color w:val="auto"/>
                <w:szCs w:val="21"/>
                <w:highlight w:val="none"/>
              </w:rPr>
            </w:pPr>
          </w:p>
        </w:tc>
        <w:tc>
          <w:tcPr>
            <w:tcW w:w="412" w:type="pct"/>
            <w:tcBorders>
              <w:right w:val="single" w:color="auto" w:sz="6" w:space="0"/>
            </w:tcBorders>
            <w:vAlign w:val="center"/>
          </w:tcPr>
          <w:p>
            <w:pPr>
              <w:spacing w:line="288" w:lineRule="auto"/>
              <w:jc w:val="center"/>
              <w:rPr>
                <w:rFonts w:ascii="宋体" w:hAnsi="宋体"/>
                <w:color w:val="auto"/>
                <w:szCs w:val="21"/>
                <w:highlight w:val="none"/>
              </w:rPr>
            </w:pPr>
          </w:p>
        </w:tc>
      </w:tr>
    </w:tbl>
    <w:p>
      <w:pPr>
        <w:ind w:firstLine="178" w:firstLineChars="85"/>
        <w:rPr>
          <w:rFonts w:ascii="宋体" w:hAnsi="宋体"/>
          <w:color w:val="auto"/>
          <w:szCs w:val="21"/>
          <w:highlight w:val="none"/>
        </w:rPr>
      </w:pPr>
    </w:p>
    <w:p>
      <w:pPr>
        <w:ind w:firstLine="178" w:firstLineChars="85"/>
        <w:rPr>
          <w:rFonts w:ascii="宋体" w:hAnsi="宋体"/>
          <w:color w:val="auto"/>
          <w:szCs w:val="21"/>
          <w:highlight w:val="none"/>
        </w:rPr>
      </w:pPr>
      <w:r>
        <w:rPr>
          <w:rFonts w:hint="eastAsia" w:ascii="宋体" w:hAnsi="宋体"/>
          <w:color w:val="auto"/>
          <w:szCs w:val="21"/>
          <w:highlight w:val="none"/>
        </w:rPr>
        <w:t>附有关证明文件（复印件加盖公章）</w:t>
      </w:r>
    </w:p>
    <w:p>
      <w:pPr>
        <w:ind w:firstLine="178" w:firstLineChars="85"/>
        <w:rPr>
          <w:rFonts w:ascii="宋体" w:hAnsi="宋体"/>
          <w:color w:val="auto"/>
          <w:szCs w:val="21"/>
          <w:highlight w:val="none"/>
        </w:rPr>
      </w:pPr>
      <w:r>
        <w:rPr>
          <w:rFonts w:hint="eastAsia" w:ascii="宋体" w:hAnsi="宋体"/>
          <w:color w:val="auto"/>
          <w:szCs w:val="21"/>
          <w:highlight w:val="none"/>
        </w:rPr>
        <w:t>投标人代表签字：</w:t>
      </w:r>
    </w:p>
    <w:p>
      <w:pPr>
        <w:ind w:firstLine="178" w:firstLineChars="85"/>
        <w:rPr>
          <w:rFonts w:ascii="宋体" w:hAnsi="宋体"/>
          <w:color w:val="auto"/>
          <w:szCs w:val="21"/>
          <w:highlight w:val="none"/>
        </w:rPr>
      </w:pPr>
      <w:r>
        <w:rPr>
          <w:rFonts w:hint="eastAsia" w:ascii="宋体" w:hAnsi="宋体"/>
          <w:color w:val="auto"/>
          <w:szCs w:val="21"/>
          <w:highlight w:val="none"/>
        </w:rPr>
        <w:t>投标人盖章：</w:t>
      </w:r>
    </w:p>
    <w:p>
      <w:pPr>
        <w:rPr>
          <w:rFonts w:ascii="宋体" w:hAnsi="宋体"/>
          <w:color w:val="auto"/>
          <w:szCs w:val="21"/>
          <w:highlight w:val="none"/>
        </w:rPr>
      </w:pPr>
      <w:r>
        <w:rPr>
          <w:rFonts w:hint="eastAsia" w:ascii="宋体" w:hAnsi="宋体"/>
          <w:color w:val="auto"/>
          <w:szCs w:val="21"/>
          <w:highlight w:val="none"/>
        </w:rPr>
        <w:t>注：</w:t>
      </w:r>
    </w:p>
    <w:p>
      <w:pPr>
        <w:pStyle w:val="39"/>
        <w:numPr>
          <w:ilvl w:val="0"/>
          <w:numId w:val="13"/>
        </w:numPr>
        <w:ind w:firstLineChars="0"/>
        <w:rPr>
          <w:rFonts w:ascii="宋体" w:hAnsi="宋体"/>
          <w:color w:val="auto"/>
          <w:szCs w:val="21"/>
          <w:highlight w:val="none"/>
        </w:rPr>
      </w:pPr>
      <w:r>
        <w:rPr>
          <w:rFonts w:hint="eastAsia" w:ascii="宋体" w:hAnsi="宋体"/>
          <w:color w:val="auto"/>
          <w:szCs w:val="21"/>
          <w:highlight w:val="none"/>
        </w:rPr>
        <w:t>投标人可按项目的实际需要提供本表格。</w:t>
      </w:r>
    </w:p>
    <w:p>
      <w:pPr>
        <w:pStyle w:val="39"/>
        <w:numPr>
          <w:ilvl w:val="0"/>
          <w:numId w:val="13"/>
        </w:numPr>
        <w:ind w:firstLineChars="0"/>
        <w:rPr>
          <w:rFonts w:ascii="宋体" w:hAnsi="宋体" w:cs="Times New Roman"/>
          <w:color w:val="auto"/>
          <w:szCs w:val="21"/>
          <w:highlight w:val="none"/>
        </w:rPr>
      </w:pPr>
      <w:r>
        <w:rPr>
          <w:rFonts w:hint="eastAsia" w:ascii="宋体" w:hAnsi="宋体"/>
          <w:color w:val="auto"/>
          <w:szCs w:val="21"/>
          <w:highlight w:val="none"/>
        </w:rPr>
        <w:t>该表格为参考格式，投标人可按实际情况自行制订。</w:t>
      </w:r>
    </w:p>
    <w:p>
      <w:pPr>
        <w:rPr>
          <w:rFonts w:ascii="宋体" w:hAnsi="宋体" w:cs="Times New Roman"/>
          <w:color w:val="auto"/>
          <w:szCs w:val="21"/>
          <w:highlight w:val="none"/>
        </w:rPr>
      </w:pPr>
      <w:r>
        <w:rPr>
          <w:rFonts w:hint="eastAsia" w:ascii="宋体" w:hAnsi="宋体"/>
          <w:color w:val="auto"/>
          <w:szCs w:val="21"/>
          <w:highlight w:val="none"/>
        </w:rPr>
        <w:t>3、投标人若未提供或未填写完整则视为完全响应采购文件的人员要求，因此对投标人投标产生负面影响的，投标人自行承担后果。</w:t>
      </w:r>
    </w:p>
    <w:p>
      <w:pPr>
        <w:pStyle w:val="39"/>
        <w:numPr>
          <w:ilvl w:val="0"/>
          <w:numId w:val="13"/>
        </w:numPr>
        <w:ind w:firstLineChars="0"/>
        <w:rPr>
          <w:rFonts w:ascii="宋体" w:hAnsi="宋体" w:cs="Times New Roman"/>
          <w:color w:val="auto"/>
          <w:szCs w:val="21"/>
          <w:highlight w:val="none"/>
        </w:rPr>
      </w:pPr>
      <w:r>
        <w:rPr>
          <w:rFonts w:hint="eastAsia" w:ascii="宋体" w:hAnsi="宋体"/>
          <w:color w:val="auto"/>
          <w:szCs w:val="21"/>
          <w:highlight w:val="none"/>
        </w:rPr>
        <w:br w:type="page"/>
      </w:r>
    </w:p>
    <w:p>
      <w:pPr>
        <w:pStyle w:val="5"/>
        <w:widowControl w:val="0"/>
        <w:overflowPunct w:val="0"/>
        <w:spacing w:line="240" w:lineRule="auto"/>
        <w:rPr>
          <w:color w:val="auto"/>
          <w:highlight w:val="none"/>
        </w:rPr>
      </w:pPr>
      <w:bookmarkStart w:id="139" w:name="_Toc22526"/>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.投标保证金汇入情况说明格式</w:t>
      </w:r>
      <w:bookmarkEnd w:id="139"/>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投标保证金汇入情况说明</w:t>
      </w:r>
    </w:p>
    <w:p>
      <w:pPr>
        <w:spacing w:line="480" w:lineRule="auto"/>
        <w:rPr>
          <w:rFonts w:ascii="宋体" w:hAnsi="宋体"/>
          <w:color w:val="auto"/>
          <w:szCs w:val="21"/>
          <w:highlight w:val="none"/>
        </w:rPr>
      </w:pPr>
      <w:r>
        <w:rPr>
          <w:rFonts w:hint="eastAsia" w:ascii="宋体" w:hAnsi="宋体"/>
          <w:color w:val="auto"/>
          <w:szCs w:val="21"/>
          <w:highlight w:val="none"/>
        </w:rPr>
        <w:t>致：x</w:t>
      </w:r>
      <w:r>
        <w:rPr>
          <w:rFonts w:ascii="宋体" w:hAnsi="宋体"/>
          <w:color w:val="auto"/>
          <w:szCs w:val="21"/>
          <w:highlight w:val="none"/>
        </w:rPr>
        <w:t>x</w:t>
      </w:r>
      <w:r>
        <w:rPr>
          <w:rFonts w:hint="eastAsia" w:ascii="宋体" w:hAnsi="宋体"/>
          <w:color w:val="auto"/>
          <w:szCs w:val="21"/>
          <w:highlight w:val="none"/>
          <w:lang w:eastAsia="zh-CN"/>
        </w:rPr>
        <w:t>东莞市新东元环保投资有限公司</w:t>
      </w:r>
      <w:r>
        <w:rPr>
          <w:rFonts w:hint="eastAsia" w:ascii="宋体" w:hAnsi="宋体"/>
          <w:color w:val="auto"/>
          <w:szCs w:val="21"/>
          <w:highlight w:val="none"/>
        </w:rPr>
        <w:t>：</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本单位已按</w:t>
      </w:r>
      <w:r>
        <w:rPr>
          <w:rFonts w:hint="eastAsia" w:ascii="宋体" w:hAnsi="宋体"/>
          <w:color w:val="auto"/>
          <w:szCs w:val="21"/>
          <w:highlight w:val="none"/>
          <w:u w:val="single"/>
        </w:rPr>
        <w:t xml:space="preserve">         </w:t>
      </w:r>
      <w:r>
        <w:rPr>
          <w:rFonts w:hint="eastAsia" w:ascii="宋体" w:hAnsi="宋体"/>
          <w:color w:val="auto"/>
          <w:szCs w:val="21"/>
          <w:highlight w:val="none"/>
        </w:rPr>
        <w:t>项目（采购项目编号：）的采购文件要求，于年月日前以</w:t>
      </w:r>
      <w:r>
        <w:rPr>
          <w:rFonts w:hint="eastAsia" w:ascii="宋体" w:hAnsi="宋体"/>
          <w:color w:val="auto"/>
          <w:szCs w:val="21"/>
          <w:highlight w:val="none"/>
          <w:u w:val="single"/>
        </w:rPr>
        <w:t xml:space="preserve">           （付款形式）</w:t>
      </w:r>
      <w:r>
        <w:rPr>
          <w:rFonts w:hint="eastAsia" w:ascii="宋体" w:hAnsi="宋体"/>
          <w:color w:val="auto"/>
          <w:szCs w:val="21"/>
          <w:highlight w:val="none"/>
        </w:rPr>
        <w:t>方式汇入指定帐户（帐户名称：</w:t>
      </w:r>
      <w:r>
        <w:rPr>
          <w:rFonts w:hint="eastAsia" w:ascii="宋体" w:hAnsi="宋体"/>
          <w:color w:val="auto"/>
          <w:szCs w:val="21"/>
          <w:highlight w:val="none"/>
          <w:u w:val="single"/>
        </w:rPr>
        <w:t xml:space="preserve">       </w:t>
      </w:r>
      <w:r>
        <w:rPr>
          <w:rFonts w:hint="eastAsia" w:ascii="宋体" w:hAnsi="宋体"/>
          <w:color w:val="auto"/>
          <w:szCs w:val="21"/>
          <w:highlight w:val="none"/>
        </w:rPr>
        <w:t>，帐号：</w:t>
      </w:r>
      <w:r>
        <w:rPr>
          <w:rFonts w:hint="eastAsia" w:ascii="宋体" w:hAnsi="宋体"/>
          <w:color w:val="auto"/>
          <w:szCs w:val="21"/>
          <w:highlight w:val="none"/>
          <w:u w:val="single"/>
        </w:rPr>
        <w:t xml:space="preserve">       </w:t>
      </w: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本单位投标保证金的汇款情况：（详见附件－投标保证金进帐单）</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汇出时间：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汇款金额：（大写）人民币</w:t>
      </w:r>
      <w:r>
        <w:rPr>
          <w:rFonts w:hint="eastAsia" w:ascii="宋体" w:hAnsi="宋体"/>
          <w:color w:val="auto"/>
          <w:szCs w:val="21"/>
          <w:highlight w:val="none"/>
          <w:u w:val="single"/>
        </w:rPr>
        <w:t xml:space="preserve">       </w:t>
      </w:r>
      <w:r>
        <w:rPr>
          <w:rFonts w:hint="eastAsia" w:ascii="宋体" w:hAnsi="宋体"/>
          <w:color w:val="auto"/>
          <w:szCs w:val="21"/>
          <w:highlight w:val="none"/>
        </w:rPr>
        <w:t>元（小写：￥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汇款帐户名称：</w:t>
      </w:r>
      <w:r>
        <w:rPr>
          <w:rFonts w:hint="eastAsia" w:ascii="宋体" w:hAnsi="宋体"/>
          <w:color w:val="auto"/>
          <w:szCs w:val="21"/>
          <w:highlight w:val="none"/>
          <w:u w:val="single"/>
        </w:rPr>
        <w:t xml:space="preserve">  （必须是投标时使用的帐户名）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帐        号：</w:t>
      </w:r>
      <w:r>
        <w:rPr>
          <w:rFonts w:hint="eastAsia" w:ascii="宋体" w:hAnsi="宋体"/>
          <w:color w:val="auto"/>
          <w:szCs w:val="21"/>
          <w:highlight w:val="none"/>
          <w:u w:val="single"/>
        </w:rPr>
        <w:t xml:space="preserve">  （必须是投标时使用的帐号）        </w:t>
      </w:r>
    </w:p>
    <w:p>
      <w:pPr>
        <w:spacing w:line="480" w:lineRule="auto"/>
        <w:ind w:firstLine="420" w:firstLineChars="200"/>
        <w:rPr>
          <w:rFonts w:ascii="宋体" w:hAnsi="宋体"/>
          <w:color w:val="auto"/>
          <w:szCs w:val="21"/>
          <w:highlight w:val="none"/>
          <w:u w:val="single"/>
        </w:rPr>
      </w:pPr>
      <w:r>
        <w:rPr>
          <w:rFonts w:hint="eastAsia" w:ascii="宋体" w:hAnsi="宋体"/>
          <w:color w:val="auto"/>
          <w:szCs w:val="21"/>
          <w:highlight w:val="none"/>
        </w:rPr>
        <w:t>开 户  银 行：</w:t>
      </w:r>
      <w:r>
        <w:rPr>
          <w:rFonts w:hint="eastAsia" w:ascii="宋体" w:hAnsi="宋体"/>
          <w:color w:val="auto"/>
          <w:szCs w:val="21"/>
          <w:highlight w:val="none"/>
          <w:u w:val="single"/>
        </w:rPr>
        <w:t xml:space="preserve">  （  XX 银行 XX 分行 XX 支行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本单位谨承诺上述资料是正确、真实的，如因上述证明与事实不符导致的一切损失，本单位保证承担赔偿等一切法律责任。</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投标保证金退回时，请按上述资料退回。</w:t>
      </w:r>
    </w:p>
    <w:p>
      <w:pPr>
        <w:spacing w:line="480" w:lineRule="auto"/>
        <w:ind w:right="844" w:rightChars="402"/>
        <w:jc w:val="right"/>
        <w:rPr>
          <w:rFonts w:ascii="宋体" w:hAnsi="宋体"/>
          <w:color w:val="auto"/>
          <w:szCs w:val="21"/>
          <w:highlight w:val="none"/>
        </w:rPr>
      </w:pPr>
      <w:r>
        <w:rPr>
          <w:rFonts w:hint="eastAsia" w:ascii="宋体" w:hAnsi="宋体"/>
          <w:color w:val="auto"/>
          <w:szCs w:val="21"/>
          <w:highlight w:val="none"/>
        </w:rPr>
        <w:t>（单位公章）</w:t>
      </w:r>
    </w:p>
    <w:p>
      <w:pPr>
        <w:spacing w:line="480" w:lineRule="auto"/>
        <w:ind w:right="628" w:rightChars="299"/>
        <w:jc w:val="right"/>
        <w:rPr>
          <w:rFonts w:ascii="宋体" w:hAnsi="宋体"/>
          <w:color w:val="auto"/>
          <w:szCs w:val="21"/>
          <w:highlight w:val="none"/>
        </w:rPr>
      </w:pPr>
      <w:r>
        <w:rPr>
          <w:rFonts w:hint="eastAsia" w:ascii="宋体" w:hAnsi="宋体"/>
          <w:color w:val="auto"/>
          <w:szCs w:val="21"/>
          <w:highlight w:val="none"/>
        </w:rPr>
        <w:t>年 月 日</w:t>
      </w:r>
    </w:p>
    <w:p>
      <w:pPr>
        <w:spacing w:line="480" w:lineRule="auto"/>
        <w:rPr>
          <w:rFonts w:ascii="宋体" w:hAnsi="宋体"/>
          <w:color w:val="auto"/>
          <w:szCs w:val="21"/>
          <w:highlight w:val="none"/>
        </w:rPr>
      </w:pPr>
      <w:r>
        <w:rPr>
          <w:rFonts w:hint="eastAsia" w:ascii="宋体" w:hAnsi="宋体"/>
          <w:color w:val="auto"/>
          <w:szCs w:val="21"/>
          <w:highlight w:val="none"/>
        </w:rPr>
        <w:t>单位名称：</w:t>
      </w:r>
    </w:p>
    <w:p>
      <w:pPr>
        <w:spacing w:line="480" w:lineRule="auto"/>
        <w:rPr>
          <w:rFonts w:ascii="宋体" w:hAnsi="宋体"/>
          <w:color w:val="auto"/>
          <w:szCs w:val="21"/>
          <w:highlight w:val="none"/>
        </w:rPr>
      </w:pPr>
      <w:r>
        <w:rPr>
          <w:rFonts w:hint="eastAsia" w:ascii="宋体" w:hAnsi="宋体"/>
          <w:color w:val="auto"/>
          <w:szCs w:val="21"/>
          <w:highlight w:val="none"/>
        </w:rPr>
        <w:t>单位地址：</w:t>
      </w:r>
    </w:p>
    <w:p>
      <w:pPr>
        <w:spacing w:line="480" w:lineRule="auto"/>
        <w:rPr>
          <w:rFonts w:ascii="宋体" w:hAnsi="宋体"/>
          <w:color w:val="auto"/>
          <w:szCs w:val="21"/>
          <w:highlight w:val="none"/>
        </w:rPr>
      </w:pPr>
      <w:r>
        <w:rPr>
          <w:rFonts w:hint="eastAsia" w:ascii="宋体" w:hAnsi="宋体"/>
          <w:color w:val="auto"/>
          <w:szCs w:val="21"/>
          <w:highlight w:val="none"/>
        </w:rPr>
        <w:t>联系人：</w:t>
      </w:r>
    </w:p>
    <w:p>
      <w:pPr>
        <w:spacing w:line="480" w:lineRule="auto"/>
        <w:rPr>
          <w:rFonts w:ascii="宋体" w:hAnsi="宋体"/>
          <w:color w:val="auto"/>
          <w:szCs w:val="21"/>
          <w:highlight w:val="none"/>
        </w:rPr>
      </w:pPr>
      <w:r>
        <w:rPr>
          <w:rFonts w:hint="eastAsia" w:ascii="宋体" w:hAnsi="宋体"/>
          <w:color w:val="auto"/>
          <w:szCs w:val="21"/>
          <w:highlight w:val="none"/>
        </w:rPr>
        <w:t>单位电话： 联系人手机：</w:t>
      </w:r>
    </w:p>
    <w:p>
      <w:pPr>
        <w:rPr>
          <w:rFonts w:ascii="宋体" w:hAnsi="宋体"/>
          <w:color w:val="auto"/>
          <w:szCs w:val="21"/>
          <w:highlight w:val="none"/>
        </w:rPr>
      </w:pP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br w:type="page"/>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附：我方投标保证金汇款凭证</w:t>
      </w:r>
    </w:p>
    <w:tbl>
      <w:tblPr>
        <w:tblStyle w:val="28"/>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jc w:val="center"/>
              <w:rPr>
                <w:rFonts w:ascii="宋体" w:hAnsi="宋体"/>
                <w:color w:val="auto"/>
                <w:szCs w:val="21"/>
                <w:highlight w:val="none"/>
              </w:rPr>
            </w:pPr>
            <w:r>
              <w:rPr>
                <w:rFonts w:hint="eastAsia" w:ascii="宋体" w:hAnsi="宋体"/>
                <w:color w:val="auto"/>
                <w:szCs w:val="21"/>
                <w:highlight w:val="none"/>
              </w:rPr>
              <w:t>（粘贴汇款单或转账</w:t>
            </w:r>
            <w:r>
              <w:rPr>
                <w:rFonts w:ascii="宋体" w:hAnsi="宋体"/>
                <w:color w:val="auto"/>
                <w:szCs w:val="21"/>
                <w:highlight w:val="none"/>
              </w:rPr>
              <w:t>凭证</w:t>
            </w:r>
            <w:r>
              <w:rPr>
                <w:rFonts w:hint="eastAsia" w:ascii="宋体" w:hAnsi="宋体"/>
                <w:color w:val="auto"/>
                <w:szCs w:val="21"/>
                <w:highlight w:val="none"/>
              </w:rPr>
              <w:t>复印件，并在骑缝上加盖投标人公章，或是直接把转账</w:t>
            </w:r>
            <w:r>
              <w:rPr>
                <w:rFonts w:ascii="宋体" w:hAnsi="宋体"/>
                <w:color w:val="auto"/>
                <w:szCs w:val="21"/>
                <w:highlight w:val="none"/>
              </w:rPr>
              <w:t>凭证</w:t>
            </w:r>
            <w:r>
              <w:rPr>
                <w:rFonts w:hint="eastAsia" w:ascii="宋体" w:hAnsi="宋体"/>
                <w:color w:val="auto"/>
                <w:szCs w:val="21"/>
                <w:highlight w:val="none"/>
              </w:rPr>
              <w:t>复印到此张纸上）</w:t>
            </w:r>
          </w:p>
        </w:tc>
      </w:tr>
    </w:tbl>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注：此表既要装订在投标文件中，又要按投标人须知的规定与开标一览表、投标保证金汇款底单复印件及授权委托书一同密封装入唱标信封，唱标信封单独提交。</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pStyle w:val="5"/>
        <w:numPr>
          <w:ilvl w:val="255"/>
          <w:numId w:val="0"/>
        </w:numPr>
        <w:tabs>
          <w:tab w:val="left" w:pos="720"/>
          <w:tab w:val="left" w:pos="3840"/>
        </w:tabs>
        <w:ind w:left="0"/>
        <w:jc w:val="both"/>
        <w:rPr>
          <w:rFonts w:ascii="宋体" w:hAnsi="宋体"/>
          <w:color w:val="auto"/>
          <w:sz w:val="21"/>
          <w:szCs w:val="21"/>
          <w:highlight w:val="none"/>
        </w:rPr>
      </w:pPr>
      <w:bookmarkStart w:id="140" w:name="_Toc31140"/>
      <w:bookmarkStart w:id="141" w:name="_Toc29855"/>
      <w:bookmarkStart w:id="142" w:name="_Toc17028"/>
      <w:bookmarkStart w:id="143" w:name="_Toc14605"/>
      <w:bookmarkStart w:id="144" w:name="_Toc28623"/>
      <w:bookmarkStart w:id="145" w:name="_Toc2144"/>
      <w:bookmarkStart w:id="146" w:name="_Toc25861"/>
      <w:bookmarkStart w:id="147" w:name="_Toc18296"/>
      <w:bookmarkStart w:id="148" w:name="_Toc4866"/>
      <w:bookmarkStart w:id="149" w:name="_Toc19947"/>
      <w:bookmarkStart w:id="150" w:name="_Toc1562"/>
      <w:r>
        <w:rPr>
          <w:rFonts w:hint="eastAsia" w:ascii="宋体" w:hAnsi="宋体"/>
          <w:color w:val="auto"/>
          <w:sz w:val="21"/>
          <w:szCs w:val="21"/>
          <w:highlight w:val="none"/>
        </w:rPr>
        <w:t>附件1</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.不可撤销履约保函</w:t>
      </w:r>
      <w:bookmarkEnd w:id="140"/>
      <w:bookmarkEnd w:id="141"/>
      <w:bookmarkEnd w:id="142"/>
      <w:bookmarkEnd w:id="143"/>
      <w:bookmarkEnd w:id="144"/>
      <w:bookmarkEnd w:id="145"/>
      <w:bookmarkEnd w:id="146"/>
      <w:bookmarkEnd w:id="147"/>
      <w:bookmarkEnd w:id="148"/>
      <w:bookmarkEnd w:id="149"/>
      <w:bookmarkEnd w:id="150"/>
    </w:p>
    <w:p>
      <w:pPr>
        <w:jc w:val="center"/>
        <w:rPr>
          <w:rFonts w:ascii="宋体" w:hAnsi="宋体"/>
          <w:color w:val="auto"/>
          <w:highlight w:val="none"/>
        </w:rPr>
      </w:pPr>
      <w:r>
        <w:rPr>
          <w:rFonts w:hint="eastAsia" w:ascii="宋体" w:hAnsi="宋体"/>
          <w:color w:val="auto"/>
          <w:highlight w:val="none"/>
        </w:rPr>
        <w:t>银行编号：</w:t>
      </w:r>
    </w:p>
    <w:p>
      <w:pPr>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 xml:space="preserve">                        </w:t>
      </w:r>
      <w:r>
        <w:rPr>
          <w:rFonts w:hint="eastAsia" w:ascii="宋体" w:hAnsi="宋体"/>
          <w:color w:val="auto"/>
          <w:highlight w:val="none"/>
        </w:rPr>
        <w:t>（</w:t>
      </w:r>
      <w:r>
        <w:rPr>
          <w:rFonts w:hint="eastAsia"/>
          <w:color w:val="auto"/>
          <w:highlight w:val="none"/>
        </w:rPr>
        <w:t>甲方</w:t>
      </w:r>
      <w:r>
        <w:rPr>
          <w:rFonts w:hint="eastAsia" w:ascii="宋体" w:hAnsi="宋体"/>
          <w:color w:val="auto"/>
          <w:highlight w:val="none"/>
        </w:rPr>
        <w:t>）</w:t>
      </w:r>
    </w:p>
    <w:p>
      <w:pPr>
        <w:ind w:firstLine="420" w:firstLineChars="200"/>
        <w:rPr>
          <w:rFonts w:ascii="宋体" w:hAnsi="宋体"/>
          <w:color w:val="auto"/>
          <w:highlight w:val="none"/>
        </w:rPr>
      </w:pPr>
      <w:r>
        <w:rPr>
          <w:rFonts w:hint="eastAsia" w:ascii="宋体" w:hAnsi="宋体"/>
          <w:color w:val="auto"/>
          <w:highlight w:val="none"/>
        </w:rPr>
        <w:t>鉴于</w:t>
      </w:r>
      <w:r>
        <w:rPr>
          <w:rFonts w:hint="eastAsia" w:ascii="宋体" w:hAnsi="宋体"/>
          <w:color w:val="auto"/>
          <w:highlight w:val="none"/>
          <w:u w:val="single"/>
        </w:rPr>
        <w:t xml:space="preserve">         （地址：          ，下称 “乙方” ）</w:t>
      </w:r>
      <w:r>
        <w:rPr>
          <w:rFonts w:hint="eastAsia" w:ascii="宋体" w:hAnsi="宋体"/>
          <w:color w:val="auto"/>
          <w:highlight w:val="none"/>
        </w:rPr>
        <w:t>已保证按</w:t>
      </w:r>
      <w:r>
        <w:rPr>
          <w:rFonts w:hint="eastAsia" w:ascii="宋体" w:hAnsi="宋体"/>
          <w:color w:val="auto"/>
          <w:highlight w:val="none"/>
          <w:u w:val="single"/>
        </w:rPr>
        <w:t xml:space="preserve">        承包合同书（合同编号：    ）</w:t>
      </w:r>
      <w:r>
        <w:rPr>
          <w:rFonts w:hint="eastAsia" w:ascii="宋体" w:hAnsi="宋体"/>
          <w:color w:val="auto"/>
          <w:highlight w:val="none"/>
        </w:rPr>
        <w:t>中规定的义务履行合同。</w:t>
      </w:r>
    </w:p>
    <w:p>
      <w:pPr>
        <w:ind w:firstLine="420" w:firstLineChars="200"/>
        <w:rPr>
          <w:rFonts w:ascii="宋体" w:hAnsi="宋体"/>
          <w:color w:val="auto"/>
          <w:highlight w:val="none"/>
        </w:rPr>
      </w:pPr>
      <w:r>
        <w:rPr>
          <w:rFonts w:hint="eastAsia" w:ascii="宋体" w:hAnsi="宋体"/>
          <w:color w:val="auto"/>
          <w:highlight w:val="none"/>
        </w:rPr>
        <w:t>根据上述合同约定，乙方应向</w:t>
      </w:r>
      <w:r>
        <w:rPr>
          <w:rFonts w:hint="eastAsia"/>
          <w:color w:val="auto"/>
          <w:highlight w:val="none"/>
        </w:rPr>
        <w:t>甲方</w:t>
      </w:r>
      <w:r>
        <w:rPr>
          <w:rFonts w:hint="eastAsia" w:ascii="宋体" w:hAnsi="宋体"/>
          <w:color w:val="auto"/>
          <w:highlight w:val="none"/>
        </w:rPr>
        <w:t>提供一份金额为合同总价的10%即</w:t>
      </w:r>
      <w:r>
        <w:rPr>
          <w:rFonts w:hint="eastAsia" w:ascii="宋体" w:hAnsi="宋体"/>
          <w:color w:val="auto"/>
          <w:highlight w:val="none"/>
          <w:u w:val="single"/>
        </w:rPr>
        <w:t>人民币      （RMB    元）</w:t>
      </w:r>
      <w:r>
        <w:rPr>
          <w:rFonts w:hint="eastAsia" w:ascii="宋体" w:hAnsi="宋体"/>
          <w:color w:val="auto"/>
          <w:highlight w:val="none"/>
        </w:rPr>
        <w:t>的</w:t>
      </w:r>
      <w:r>
        <w:rPr>
          <w:rFonts w:hint="eastAsia" w:ascii="宋体" w:hAnsi="宋体"/>
          <w:bCs/>
          <w:color w:val="auto"/>
          <w:highlight w:val="none"/>
        </w:rPr>
        <w:t>不可撤销</w:t>
      </w:r>
      <w:r>
        <w:rPr>
          <w:rFonts w:hint="eastAsia" w:ascii="宋体" w:hAnsi="宋体"/>
          <w:color w:val="auto"/>
          <w:highlight w:val="none"/>
        </w:rPr>
        <w:t>银行履约保函，作为乙方履行上述合同的担保。</w:t>
      </w:r>
    </w:p>
    <w:p>
      <w:pPr>
        <w:ind w:firstLine="420" w:firstLineChars="200"/>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 xml:space="preserve">            （银行名称）</w:t>
      </w:r>
      <w:r>
        <w:rPr>
          <w:rFonts w:hint="eastAsia" w:ascii="宋体" w:hAnsi="宋体"/>
          <w:color w:val="auto"/>
          <w:highlight w:val="none"/>
        </w:rPr>
        <w:t>，受乙方的委托，不仅作为连带责任保证人而且作为主要的责任人，无条件和不可撤销地同意在</w:t>
      </w:r>
      <w:r>
        <w:rPr>
          <w:rFonts w:hint="eastAsia"/>
          <w:color w:val="auto"/>
          <w:highlight w:val="none"/>
        </w:rPr>
        <w:t>甲方</w:t>
      </w:r>
      <w:r>
        <w:rPr>
          <w:rFonts w:hint="eastAsia" w:ascii="宋体" w:hAnsi="宋体"/>
          <w:color w:val="auto"/>
          <w:highlight w:val="none"/>
        </w:rPr>
        <w:t>提出因乙方没有履行上述合同规定，而要求扣划保证金的书面要求后，7个工作日内为</w:t>
      </w:r>
      <w:r>
        <w:rPr>
          <w:rFonts w:hint="eastAsia"/>
          <w:color w:val="auto"/>
          <w:highlight w:val="none"/>
        </w:rPr>
        <w:t>甲方</w:t>
      </w:r>
      <w:r>
        <w:rPr>
          <w:rFonts w:hint="eastAsia" w:ascii="宋体" w:hAnsi="宋体"/>
          <w:color w:val="auto"/>
          <w:highlight w:val="none"/>
        </w:rPr>
        <w:t>扣划金额不超过</w:t>
      </w:r>
      <w:r>
        <w:rPr>
          <w:rFonts w:hint="eastAsia" w:ascii="宋体" w:hAnsi="宋体"/>
          <w:color w:val="auto"/>
          <w:highlight w:val="none"/>
          <w:u w:val="single"/>
        </w:rPr>
        <w:t>人民币          （RMB       元）</w:t>
      </w:r>
      <w:r>
        <w:rPr>
          <w:rFonts w:hint="eastAsia" w:ascii="宋体" w:hAnsi="宋体"/>
          <w:color w:val="auto"/>
          <w:highlight w:val="none"/>
        </w:rPr>
        <w:t>的保证金。</w:t>
      </w:r>
    </w:p>
    <w:p>
      <w:pPr>
        <w:ind w:firstLine="420" w:firstLineChars="200"/>
        <w:rPr>
          <w:color w:val="auto"/>
          <w:highlight w:val="none"/>
        </w:rPr>
      </w:pPr>
      <w:r>
        <w:rPr>
          <w:rFonts w:hint="eastAsia" w:ascii="宋体" w:hAnsi="宋体"/>
          <w:color w:val="auto"/>
          <w:highlight w:val="none"/>
        </w:rPr>
        <w:t>我</w:t>
      </w:r>
      <w:r>
        <w:rPr>
          <w:rFonts w:hint="eastAsia"/>
          <w:color w:val="auto"/>
          <w:highlight w:val="none"/>
        </w:rPr>
        <w:t>方还同意，任何甲方与乙方之间可能对合同条款的修改、规范或其他合同文件的变动补充，都不能免除我方按本保函所承担的责任。因此，有关上述变动、补充和修改无须通知我方。</w:t>
      </w:r>
    </w:p>
    <w:p>
      <w:pPr>
        <w:ind w:firstLine="420" w:firstLineChars="200"/>
        <w:rPr>
          <w:color w:val="auto"/>
          <w:highlight w:val="none"/>
        </w:rPr>
      </w:pPr>
      <w:r>
        <w:rPr>
          <w:rFonts w:hint="eastAsia"/>
          <w:color w:val="auto"/>
          <w:highlight w:val="none"/>
        </w:rPr>
        <w:t>本保函从上述合同签订之日起至项目服务期结束验收合格并完成结算后，双方签字之日起7天内保持有效。</w:t>
      </w:r>
    </w:p>
    <w:p>
      <w:pPr>
        <w:ind w:firstLine="2824" w:firstLineChars="1345"/>
        <w:rPr>
          <w:rFonts w:ascii="宋体" w:hAnsi="宋体"/>
          <w:color w:val="auto"/>
          <w:highlight w:val="none"/>
        </w:rPr>
      </w:pPr>
    </w:p>
    <w:p>
      <w:pPr>
        <w:ind w:firstLine="5040" w:firstLineChars="2400"/>
        <w:rPr>
          <w:rFonts w:ascii="宋体" w:hAnsi="宋体"/>
          <w:color w:val="auto"/>
          <w:highlight w:val="none"/>
        </w:rPr>
      </w:pPr>
      <w:r>
        <w:rPr>
          <w:rFonts w:hint="eastAsia" w:ascii="宋体" w:hAnsi="宋体"/>
          <w:color w:val="auto"/>
          <w:highlight w:val="none"/>
        </w:rPr>
        <w:t>保证人：（盖章）</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负责人：（签字）</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u w:val="single"/>
        </w:rPr>
        <w:t xml:space="preserve">                               </w:t>
      </w:r>
      <w:r>
        <w:rPr>
          <w:rFonts w:hint="eastAsia" w:ascii="宋体" w:hAnsi="宋体"/>
          <w:color w:val="auto"/>
          <w:highlight w:val="none"/>
        </w:rPr>
        <w:t xml:space="preserve">   </w:t>
      </w:r>
    </w:p>
    <w:p>
      <w:pPr>
        <w:ind w:firstLine="5040" w:firstLineChars="2400"/>
        <w:rPr>
          <w:rFonts w:ascii="宋体" w:hAnsi="宋体"/>
          <w:color w:val="auto"/>
          <w:highlight w:val="none"/>
        </w:rPr>
      </w:pPr>
      <w:r>
        <w:rPr>
          <w:rFonts w:hint="eastAsia" w:ascii="宋体" w:hAnsi="宋体"/>
          <w:color w:val="auto"/>
          <w:highlight w:val="none"/>
        </w:rPr>
        <w:t>联系电话：</w:t>
      </w:r>
      <w:r>
        <w:rPr>
          <w:rFonts w:hint="eastAsia" w:ascii="宋体" w:hAnsi="宋体"/>
          <w:color w:val="auto"/>
          <w:highlight w:val="none"/>
          <w:u w:val="single"/>
        </w:rPr>
        <w:t xml:space="preserve">                             </w:t>
      </w:r>
    </w:p>
    <w:p>
      <w:pPr>
        <w:ind w:firstLine="5040" w:firstLineChars="24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p>
    <w:p>
      <w:pPr>
        <w:pStyle w:val="12"/>
        <w:rPr>
          <w:color w:val="auto"/>
          <w:szCs w:val="24"/>
          <w:highlight w:val="none"/>
        </w:rPr>
      </w:pPr>
      <w:r>
        <w:rPr>
          <w:rFonts w:hint="eastAsia"/>
          <w:color w:val="auto"/>
          <w:szCs w:val="24"/>
          <w:highlight w:val="none"/>
        </w:rPr>
        <w:t>说明：投标人在投标时不需提交正式保函，在投标文件中盖投标人公章确认保函格式即可，乙方</w:t>
      </w:r>
      <w:r>
        <w:rPr>
          <w:rFonts w:hint="eastAsia"/>
          <w:color w:val="auto"/>
          <w:highlight w:val="none"/>
        </w:rPr>
        <w:t>在签订合同时</w:t>
      </w:r>
      <w:r>
        <w:rPr>
          <w:rFonts w:hint="eastAsia"/>
          <w:color w:val="auto"/>
          <w:szCs w:val="24"/>
          <w:highlight w:val="none"/>
        </w:rPr>
        <w:t>提交正式保函。</w:t>
      </w:r>
    </w:p>
    <w:p>
      <w:pPr>
        <w:rPr>
          <w:rFonts w:ascii="宋体" w:hAnsi="宋体"/>
          <w:color w:val="auto"/>
          <w:szCs w:val="21"/>
          <w:highlight w:val="none"/>
        </w:rPr>
      </w:pPr>
    </w:p>
    <w:p>
      <w:pPr>
        <w:rPr>
          <w:rFonts w:ascii="宋体" w:hAnsi="宋体"/>
          <w:color w:val="auto"/>
          <w:szCs w:val="21"/>
          <w:highlight w:val="none"/>
        </w:rPr>
        <w:sectPr>
          <w:pgSz w:w="11906" w:h="16838"/>
          <w:pgMar w:top="1440" w:right="1800" w:bottom="1440" w:left="1800" w:header="708" w:footer="708" w:gutter="0"/>
          <w:cols w:space="708" w:num="1"/>
          <w:titlePg/>
          <w:docGrid w:type="lines" w:linePitch="360" w:charSpace="0"/>
        </w:sectPr>
      </w:pPr>
    </w:p>
    <w:p>
      <w:pPr>
        <w:pStyle w:val="5"/>
        <w:numPr>
          <w:ilvl w:val="255"/>
          <w:numId w:val="0"/>
        </w:numPr>
        <w:tabs>
          <w:tab w:val="left" w:pos="720"/>
          <w:tab w:val="left" w:pos="3840"/>
        </w:tabs>
        <w:ind w:left="0"/>
        <w:jc w:val="both"/>
        <w:rPr>
          <w:rFonts w:ascii="宋体" w:hAnsi="宋体"/>
          <w:color w:val="auto"/>
          <w:sz w:val="21"/>
          <w:szCs w:val="21"/>
          <w:highlight w:val="none"/>
        </w:rPr>
      </w:pPr>
      <w:bookmarkStart w:id="151" w:name="_Toc1313"/>
      <w:bookmarkStart w:id="152" w:name="_Toc12128"/>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18</w:t>
      </w:r>
      <w:r>
        <w:rPr>
          <w:rFonts w:hint="eastAsia" w:ascii="宋体" w:hAnsi="宋体"/>
          <w:color w:val="auto"/>
          <w:sz w:val="21"/>
          <w:szCs w:val="21"/>
          <w:highlight w:val="none"/>
        </w:rPr>
        <w:t>.预付款保函</w:t>
      </w:r>
      <w:bookmarkEnd w:id="151"/>
      <w:r>
        <w:rPr>
          <w:rFonts w:hint="eastAsia" w:ascii="宋体" w:hAnsi="宋体"/>
          <w:color w:val="auto"/>
          <w:sz w:val="21"/>
          <w:szCs w:val="21"/>
          <w:highlight w:val="none"/>
        </w:rPr>
        <w:t>（适用于预付款支付）</w:t>
      </w:r>
      <w:bookmarkEnd w:id="152"/>
    </w:p>
    <w:p>
      <w:pPr>
        <w:pStyle w:val="12"/>
        <w:rPr>
          <w:color w:val="auto"/>
          <w:szCs w:val="24"/>
          <w:highlight w:val="none"/>
        </w:rPr>
      </w:pPr>
    </w:p>
    <w:p>
      <w:pPr>
        <w:jc w:val="center"/>
        <w:rPr>
          <w:rFonts w:ascii="黑体" w:eastAsia="黑体"/>
          <w:color w:val="auto"/>
          <w:sz w:val="28"/>
          <w:szCs w:val="28"/>
          <w:highlight w:val="none"/>
        </w:rPr>
      </w:pPr>
      <w:bookmarkStart w:id="153" w:name="_Toc6877"/>
      <w:bookmarkStart w:id="154" w:name="_Toc31418"/>
      <w:bookmarkStart w:id="155" w:name="_Toc7374"/>
      <w:bookmarkStart w:id="156" w:name="_Toc10315"/>
      <w:bookmarkStart w:id="157" w:name="_Toc27545"/>
      <w:bookmarkStart w:id="158" w:name="_Toc25494"/>
      <w:bookmarkStart w:id="159" w:name="_Toc10719"/>
      <w:bookmarkStart w:id="160" w:name="_Toc3295"/>
      <w:bookmarkStart w:id="161" w:name="_Toc20669"/>
      <w:bookmarkStart w:id="162" w:name="_Toc29728"/>
      <w:bookmarkStart w:id="163" w:name="_Toc29054"/>
      <w:bookmarkStart w:id="164" w:name="_Toc1039"/>
      <w:r>
        <w:rPr>
          <w:rFonts w:hint="eastAsia" w:ascii="黑体" w:eastAsia="黑体"/>
          <w:color w:val="auto"/>
          <w:sz w:val="28"/>
          <w:szCs w:val="28"/>
          <w:highlight w:val="none"/>
        </w:rPr>
        <w:t>不可撤销预付款保函</w:t>
      </w:r>
      <w:bookmarkEnd w:id="153"/>
      <w:bookmarkEnd w:id="154"/>
      <w:bookmarkEnd w:id="155"/>
      <w:bookmarkEnd w:id="156"/>
      <w:bookmarkEnd w:id="157"/>
      <w:bookmarkEnd w:id="158"/>
      <w:bookmarkEnd w:id="159"/>
      <w:bookmarkEnd w:id="160"/>
      <w:bookmarkEnd w:id="161"/>
      <w:bookmarkEnd w:id="162"/>
      <w:bookmarkEnd w:id="163"/>
      <w:bookmarkEnd w:id="164"/>
    </w:p>
    <w:p>
      <w:pPr>
        <w:ind w:firstLine="6300"/>
        <w:rPr>
          <w:color w:val="auto"/>
          <w:szCs w:val="21"/>
          <w:highlight w:val="none"/>
          <w:u w:val="single"/>
        </w:rPr>
      </w:pPr>
      <w:r>
        <w:rPr>
          <w:rFonts w:hint="eastAsia"/>
          <w:color w:val="auto"/>
          <w:szCs w:val="21"/>
          <w:highlight w:val="none"/>
        </w:rPr>
        <w:t>银行编号：</w:t>
      </w:r>
      <w:r>
        <w:rPr>
          <w:rFonts w:hint="eastAsia"/>
          <w:color w:val="auto"/>
          <w:szCs w:val="21"/>
          <w:highlight w:val="none"/>
          <w:u w:val="single"/>
        </w:rPr>
        <w:t xml:space="preserve">             </w:t>
      </w:r>
    </w:p>
    <w:p>
      <w:pPr>
        <w:ind w:firstLine="6300"/>
        <w:rPr>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（下称“采购人”）</w:t>
      </w:r>
    </w:p>
    <w:p>
      <w:pPr>
        <w:ind w:firstLine="437"/>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4"/>
          <w:highlight w:val="none"/>
          <w:u w:val="single"/>
        </w:rPr>
        <w:t>（地址：          ，下称 “中标人” ）</w:t>
      </w:r>
      <w:r>
        <w:rPr>
          <w:rFonts w:hint="eastAsia" w:ascii="宋体" w:hAnsi="宋体"/>
          <w:color w:val="auto"/>
          <w:szCs w:val="21"/>
          <w:highlight w:val="none"/>
        </w:rPr>
        <w:t>，已保证按</w:t>
      </w:r>
      <w:r>
        <w:rPr>
          <w:rFonts w:hint="eastAsia" w:ascii="宋体" w:hAnsi="宋体"/>
          <w:color w:val="auto"/>
          <w:szCs w:val="21"/>
          <w:highlight w:val="none"/>
          <w:u w:val="single"/>
        </w:rPr>
        <w:t xml:space="preserve">          承包合同书（合同编号：    ）</w:t>
      </w:r>
      <w:r>
        <w:rPr>
          <w:rFonts w:hint="eastAsia" w:ascii="宋体" w:hAnsi="宋体"/>
          <w:color w:val="auto"/>
          <w:szCs w:val="21"/>
          <w:highlight w:val="none"/>
        </w:rPr>
        <w:t>中规定的义务履行合同。</w:t>
      </w:r>
    </w:p>
    <w:p>
      <w:pPr>
        <w:ind w:firstLine="437"/>
        <w:rPr>
          <w:rFonts w:ascii="宋体" w:hAnsi="宋体"/>
          <w:color w:val="auto"/>
          <w:szCs w:val="21"/>
          <w:highlight w:val="none"/>
        </w:rPr>
      </w:pPr>
      <w:r>
        <w:rPr>
          <w:rFonts w:hint="eastAsia" w:ascii="宋体" w:hAnsi="宋体"/>
          <w:color w:val="auto"/>
          <w:szCs w:val="24"/>
          <w:highlight w:val="none"/>
        </w:rPr>
        <w:t>根据上述合同（</w:t>
      </w:r>
      <w:r>
        <w:rPr>
          <w:rFonts w:hint="eastAsia" w:ascii="宋体" w:hAnsi="宋体"/>
          <w:color w:val="auto"/>
          <w:szCs w:val="24"/>
          <w:highlight w:val="none"/>
          <w:lang w:eastAsia="zh-CN"/>
        </w:rPr>
        <w:t>采购文件</w:t>
      </w:r>
      <w:r>
        <w:rPr>
          <w:rFonts w:hint="eastAsia" w:ascii="宋体" w:hAnsi="宋体"/>
          <w:color w:val="auto"/>
          <w:szCs w:val="24"/>
          <w:highlight w:val="none"/>
        </w:rPr>
        <w:t>）规定，中标人应向采购人提供一份金额为合同总价的</w:t>
      </w:r>
      <w:r>
        <w:rPr>
          <w:rFonts w:hint="eastAsia" w:ascii="宋体" w:hAnsi="宋体"/>
          <w:color w:val="auto"/>
          <w:szCs w:val="24"/>
          <w:highlight w:val="none"/>
          <w:u w:val="single"/>
        </w:rPr>
        <w:t xml:space="preserve">   </w:t>
      </w:r>
      <w:r>
        <w:rPr>
          <w:rFonts w:hint="eastAsia" w:ascii="宋体" w:hAnsi="宋体"/>
          <w:color w:val="auto"/>
          <w:szCs w:val="24"/>
          <w:highlight w:val="none"/>
        </w:rPr>
        <w:t>% 即人民币</w:t>
      </w:r>
      <w:r>
        <w:rPr>
          <w:rFonts w:hint="eastAsia" w:ascii="宋体" w:hAnsi="宋体"/>
          <w:color w:val="auto"/>
          <w:szCs w:val="21"/>
          <w:highlight w:val="none"/>
          <w:u w:val="single"/>
        </w:rPr>
        <w:t xml:space="preserve">      （RMB      元）</w:t>
      </w:r>
      <w:r>
        <w:rPr>
          <w:rFonts w:hint="eastAsia" w:ascii="宋体" w:hAnsi="宋体"/>
          <w:color w:val="auto"/>
          <w:szCs w:val="21"/>
          <w:highlight w:val="none"/>
        </w:rPr>
        <w:t>的不可撤销银行预付款保函，以保证中标人履行合同的相关条款。</w:t>
      </w:r>
    </w:p>
    <w:p>
      <w:pPr>
        <w:ind w:firstLine="437"/>
        <w:rPr>
          <w:rFonts w:ascii="宋体" w:hAnsi="宋体"/>
          <w:color w:val="auto"/>
          <w:szCs w:val="21"/>
          <w:highlight w:val="none"/>
        </w:rPr>
      </w:pPr>
      <w:r>
        <w:rPr>
          <w:rFonts w:hint="eastAsia" w:ascii="宋体" w:hAnsi="宋体"/>
          <w:color w:val="auto"/>
          <w:szCs w:val="21"/>
          <w:highlight w:val="none"/>
        </w:rPr>
        <w:t>我方</w:t>
      </w:r>
      <w:r>
        <w:rPr>
          <w:rFonts w:hint="eastAsia" w:ascii="宋体" w:hAnsi="宋体"/>
          <w:color w:val="auto"/>
          <w:szCs w:val="21"/>
          <w:highlight w:val="none"/>
          <w:u w:val="single"/>
        </w:rPr>
        <w:t xml:space="preserve">  （银行名称）  </w:t>
      </w:r>
      <w:r>
        <w:rPr>
          <w:rFonts w:hint="eastAsia" w:ascii="宋体" w:hAnsi="宋体"/>
          <w:color w:val="auto"/>
          <w:szCs w:val="21"/>
          <w:highlight w:val="none"/>
        </w:rPr>
        <w:t>，受中标人的委托，作为连带责任保证人，无条件和不可撤销地同意在采购人提出因中标人没有履行上述合同规定，而要求收回上述金额内任何付款的书面要求后，于7个工作日内为采购人予以支付并保证到达采购人账户，以保证在中标人没有履行或部分履行合同条款的责任时，采购人可以向中标人收回全部或部分预付款。</w:t>
      </w:r>
    </w:p>
    <w:p>
      <w:pPr>
        <w:ind w:firstLine="437"/>
        <w:rPr>
          <w:rFonts w:ascii="宋体" w:hAnsi="宋体"/>
          <w:color w:val="auto"/>
          <w:szCs w:val="21"/>
          <w:highlight w:val="none"/>
        </w:rPr>
      </w:pPr>
      <w:r>
        <w:rPr>
          <w:rFonts w:hint="eastAsia" w:ascii="宋体" w:hAnsi="宋体"/>
          <w:color w:val="auto"/>
          <w:szCs w:val="21"/>
          <w:highlight w:val="none"/>
        </w:rPr>
        <w:t>我方还同意，任何采购人与中标人之间可能对合同条款的修改、规范或其他合同文件的变动补充，都不能免除我方按本保函所承担的责任。因此，有关上述变动、补充和修改无须通知我方。</w:t>
      </w:r>
    </w:p>
    <w:p>
      <w:pPr>
        <w:ind w:firstLine="437"/>
        <w:rPr>
          <w:rFonts w:ascii="宋体" w:hAnsi="宋体"/>
          <w:color w:val="auto"/>
          <w:szCs w:val="21"/>
          <w:highlight w:val="none"/>
        </w:rPr>
      </w:pPr>
      <w:r>
        <w:rPr>
          <w:rFonts w:hint="eastAsia" w:ascii="宋体" w:hAnsi="宋体"/>
          <w:color w:val="auto"/>
          <w:szCs w:val="21"/>
          <w:highlight w:val="none"/>
        </w:rPr>
        <w:t>本保函有效期从保函开立之日起至采购人向中标人抵扣完所有预付款之日止。</w:t>
      </w:r>
    </w:p>
    <w:p>
      <w:pPr>
        <w:rPr>
          <w:rFonts w:ascii="宋体" w:hAnsi="宋体"/>
          <w:color w:val="auto"/>
          <w:szCs w:val="21"/>
          <w:highlight w:val="none"/>
        </w:rPr>
      </w:pPr>
    </w:p>
    <w:p>
      <w:pPr>
        <w:ind w:firstLine="437"/>
        <w:rPr>
          <w:rFonts w:ascii="宋体" w:hAnsi="宋体"/>
          <w:color w:val="auto"/>
          <w:szCs w:val="21"/>
          <w:highlight w:val="none"/>
        </w:rPr>
      </w:pPr>
    </w:p>
    <w:p>
      <w:pPr>
        <w:ind w:firstLine="4860"/>
        <w:rPr>
          <w:rFonts w:ascii="宋体" w:hAnsi="宋体"/>
          <w:color w:val="auto"/>
          <w:szCs w:val="21"/>
          <w:highlight w:val="none"/>
        </w:rPr>
      </w:pPr>
      <w:r>
        <w:rPr>
          <w:rFonts w:hint="eastAsia" w:ascii="宋体" w:hAnsi="宋体"/>
          <w:color w:val="auto"/>
          <w:szCs w:val="21"/>
          <w:highlight w:val="none"/>
        </w:rPr>
        <w:t>保证人：（公章）</w:t>
      </w:r>
      <w:r>
        <w:rPr>
          <w:rFonts w:hint="eastAsia" w:ascii="宋体" w:hAnsi="宋体"/>
          <w:color w:val="auto"/>
          <w:szCs w:val="21"/>
          <w:highlight w:val="none"/>
          <w:u w:val="single"/>
        </w:rPr>
        <w:t xml:space="preserve">                     </w:t>
      </w:r>
    </w:p>
    <w:p>
      <w:pPr>
        <w:ind w:firstLine="4860"/>
        <w:rPr>
          <w:rFonts w:ascii="宋体" w:hAnsi="宋体"/>
          <w:color w:val="auto"/>
          <w:szCs w:val="21"/>
          <w:highlight w:val="none"/>
          <w:u w:val="single"/>
        </w:rPr>
      </w:pPr>
      <w:r>
        <w:rPr>
          <w:rFonts w:hint="eastAsia" w:ascii="宋体" w:hAnsi="宋体"/>
          <w:color w:val="auto"/>
          <w:szCs w:val="21"/>
          <w:highlight w:val="none"/>
        </w:rPr>
        <w:t>负责人：（签字）</w:t>
      </w:r>
      <w:r>
        <w:rPr>
          <w:rFonts w:hint="eastAsia" w:ascii="宋体" w:hAnsi="宋体"/>
          <w:color w:val="auto"/>
          <w:szCs w:val="21"/>
          <w:highlight w:val="none"/>
          <w:u w:val="single"/>
        </w:rPr>
        <w:t xml:space="preserve">                     </w:t>
      </w:r>
    </w:p>
    <w:p>
      <w:pPr>
        <w:ind w:firstLine="4860"/>
        <w:rPr>
          <w:rFonts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p>
    <w:p>
      <w:pPr>
        <w:ind w:firstLine="4860"/>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ind w:firstLine="4860"/>
        <w:rPr>
          <w:rFonts w:ascii="宋体" w:hAnsi="宋体"/>
          <w:color w:val="auto"/>
          <w:szCs w:val="21"/>
          <w:highlight w:val="none"/>
          <w:u w:val="singl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p>
    <w:p>
      <w:pPr>
        <w:pStyle w:val="12"/>
        <w:rPr>
          <w:color w:val="auto"/>
          <w:szCs w:val="21"/>
          <w:highlight w:val="none"/>
        </w:rPr>
      </w:pPr>
    </w:p>
    <w:p>
      <w:pPr>
        <w:pStyle w:val="12"/>
        <w:rPr>
          <w:color w:val="auto"/>
          <w:szCs w:val="21"/>
          <w:highlight w:val="none"/>
        </w:rPr>
      </w:pPr>
    </w:p>
    <w:p>
      <w:pPr>
        <w:ind w:firstLine="413" w:firstLineChars="196"/>
        <w:rPr>
          <w:rFonts w:ascii="宋体" w:hAnsi="宋体"/>
          <w:b/>
          <w:color w:val="auto"/>
          <w:szCs w:val="21"/>
          <w:highlight w:val="none"/>
        </w:rPr>
      </w:pPr>
      <w:r>
        <w:rPr>
          <w:rFonts w:hint="eastAsia" w:ascii="宋体" w:hAnsi="宋体"/>
          <w:b/>
          <w:color w:val="auto"/>
          <w:szCs w:val="21"/>
          <w:highlight w:val="none"/>
        </w:rPr>
        <w:t>说明：投标人在投标文件中盖投标人公章确认保函内容即可，如中标再由银行出具保函。</w:t>
      </w:r>
    </w:p>
    <w:p>
      <w:pPr>
        <w:rPr>
          <w:rFonts w:ascii="宋体" w:hAnsi="宋体"/>
          <w:color w:val="auto"/>
          <w:szCs w:val="21"/>
          <w:highlight w:val="none"/>
        </w:rPr>
        <w:sectPr>
          <w:pgSz w:w="11906" w:h="16838"/>
          <w:pgMar w:top="1440" w:right="1800" w:bottom="1440" w:left="1800" w:header="708" w:footer="708" w:gutter="0"/>
          <w:cols w:space="708" w:num="1"/>
          <w:titlePg/>
          <w:docGrid w:type="lines" w:linePitch="360" w:charSpace="0"/>
        </w:sectPr>
      </w:pPr>
    </w:p>
    <w:p>
      <w:pPr>
        <w:jc w:val="center"/>
        <w:outlineLvl w:val="1"/>
        <w:rPr>
          <w:rFonts w:eastAsia="黑体"/>
          <w:color w:val="auto"/>
          <w:sz w:val="72"/>
          <w:szCs w:val="72"/>
          <w:highlight w:val="none"/>
        </w:rPr>
      </w:pPr>
      <w:bookmarkStart w:id="165" w:name="_Toc8150"/>
      <w:r>
        <w:rPr>
          <w:rFonts w:hint="eastAsia" w:eastAsia="黑体"/>
          <w:color w:val="auto"/>
          <w:sz w:val="72"/>
          <w:szCs w:val="72"/>
          <w:highlight w:val="none"/>
        </w:rPr>
        <w:t>唱标信封</w:t>
      </w:r>
      <w:bookmarkEnd w:id="165"/>
    </w:p>
    <w:p>
      <w:pPr>
        <w:jc w:val="center"/>
        <w:rPr>
          <w:rFonts w:ascii="黑体" w:eastAsia="黑体"/>
          <w:color w:val="auto"/>
          <w:sz w:val="52"/>
          <w:szCs w:val="52"/>
          <w:highlight w:val="none"/>
        </w:rPr>
      </w:pPr>
      <w:r>
        <w:rPr>
          <w:rFonts w:hint="eastAsia" w:ascii="黑体" w:eastAsia="黑体"/>
          <w:color w:val="auto"/>
          <w:sz w:val="52"/>
          <w:szCs w:val="52"/>
          <w:highlight w:val="none"/>
        </w:rPr>
        <w:t>（单独装订成册，单独封装）</w:t>
      </w:r>
    </w:p>
    <w:p>
      <w:pPr>
        <w:rPr>
          <w:color w:val="auto"/>
          <w:highlight w:val="none"/>
        </w:rPr>
      </w:pPr>
    </w:p>
    <w:p>
      <w:pPr>
        <w:pStyle w:val="9"/>
        <w:rPr>
          <w:color w:val="auto"/>
          <w:highlight w:val="none"/>
        </w:rPr>
      </w:pPr>
    </w:p>
    <w:p>
      <w:pPr>
        <w:pStyle w:val="10"/>
        <w:ind w:firstLine="240"/>
        <w:rPr>
          <w:color w:val="auto"/>
          <w:highlight w:val="none"/>
        </w:rPr>
      </w:pPr>
    </w:p>
    <w:p>
      <w:pPr>
        <w:pStyle w:val="10"/>
        <w:ind w:firstLine="240"/>
        <w:rPr>
          <w:color w:val="auto"/>
          <w:highlight w:val="none"/>
        </w:rPr>
      </w:pPr>
    </w:p>
    <w:p>
      <w:pPr>
        <w:rPr>
          <w:rFonts w:ascii="宋体" w:hAnsi="宋体" w:cs="宋体"/>
          <w:b/>
          <w:color w:val="auto"/>
          <w:spacing w:val="-6"/>
          <w:sz w:val="32"/>
          <w:szCs w:val="32"/>
          <w:highlight w:val="none"/>
        </w:rPr>
      </w:pPr>
      <w:r>
        <w:rPr>
          <w:rFonts w:hint="eastAsia" w:ascii="宋体" w:hAnsi="宋体" w:cs="宋体"/>
          <w:b/>
          <w:color w:val="auto"/>
          <w:spacing w:val="106"/>
          <w:sz w:val="32"/>
          <w:szCs w:val="32"/>
          <w:highlight w:val="none"/>
        </w:rPr>
        <w:t>项目名</w:t>
      </w:r>
      <w:r>
        <w:rPr>
          <w:rFonts w:hint="eastAsia" w:ascii="宋体" w:hAnsi="宋体" w:cs="宋体"/>
          <w:b/>
          <w:color w:val="auto"/>
          <w:spacing w:val="2"/>
          <w:sz w:val="32"/>
          <w:szCs w:val="32"/>
          <w:highlight w:val="none"/>
        </w:rPr>
        <w:t>称</w:t>
      </w:r>
      <w:r>
        <w:rPr>
          <w:rFonts w:hint="eastAsia" w:ascii="宋体" w:hAnsi="宋体" w:cs="宋体"/>
          <w:b/>
          <w:color w:val="auto"/>
          <w:spacing w:val="-6"/>
          <w:sz w:val="32"/>
          <w:szCs w:val="32"/>
          <w:highlight w:val="none"/>
        </w:rPr>
        <w:t>：</w:t>
      </w:r>
    </w:p>
    <w:p>
      <w:pPr>
        <w:rPr>
          <w:rFonts w:ascii="宋体" w:hAnsi="宋体" w:cs="宋体"/>
          <w:b/>
          <w:color w:val="auto"/>
          <w:sz w:val="32"/>
          <w:szCs w:val="32"/>
          <w:highlight w:val="none"/>
        </w:rPr>
      </w:pPr>
      <w:r>
        <w:rPr>
          <w:rFonts w:hint="eastAsia" w:ascii="宋体" w:hAnsi="宋体" w:cs="宋体"/>
          <w:b/>
          <w:color w:val="auto"/>
          <w:spacing w:val="106"/>
          <w:sz w:val="32"/>
          <w:szCs w:val="32"/>
          <w:highlight w:val="none"/>
        </w:rPr>
        <w:t>项目编</w:t>
      </w:r>
      <w:r>
        <w:rPr>
          <w:rFonts w:hint="eastAsia" w:ascii="宋体" w:hAnsi="宋体" w:cs="宋体"/>
          <w:b/>
          <w:color w:val="auto"/>
          <w:spacing w:val="2"/>
          <w:sz w:val="32"/>
          <w:szCs w:val="32"/>
          <w:highlight w:val="none"/>
        </w:rPr>
        <w:t>号</w:t>
      </w:r>
      <w:r>
        <w:rPr>
          <w:rFonts w:hint="eastAsia" w:ascii="宋体" w:hAnsi="宋体" w:cs="宋体"/>
          <w:b/>
          <w:color w:val="auto"/>
          <w:sz w:val="32"/>
          <w:szCs w:val="32"/>
          <w:highlight w:val="none"/>
        </w:rPr>
        <w:t>：</w:t>
      </w:r>
    </w:p>
    <w:p>
      <w:pPr>
        <w:pStyle w:val="9"/>
        <w:ind w:left="0"/>
        <w:rPr>
          <w:b/>
          <w:color w:val="auto"/>
          <w:spacing w:val="106"/>
          <w:sz w:val="32"/>
          <w:szCs w:val="32"/>
          <w:highlight w:val="none"/>
          <w:lang w:val="en-US" w:bidi="ar-SA"/>
        </w:rPr>
      </w:pPr>
      <w:r>
        <w:rPr>
          <w:rFonts w:hint="eastAsia"/>
          <w:b/>
          <w:color w:val="auto"/>
          <w:spacing w:val="106"/>
          <w:sz w:val="32"/>
          <w:szCs w:val="32"/>
          <w:highlight w:val="none"/>
          <w:lang w:val="en-US" w:bidi="ar-SA"/>
        </w:rPr>
        <w:t>包组号（如有）：</w:t>
      </w:r>
    </w:p>
    <w:p>
      <w:pPr>
        <w:rPr>
          <w:rFonts w:ascii="宋体" w:hAnsi="宋体" w:cs="宋体"/>
          <w:b/>
          <w:color w:val="auto"/>
          <w:sz w:val="32"/>
          <w:szCs w:val="32"/>
          <w:highlight w:val="none"/>
        </w:rPr>
      </w:pPr>
      <w:r>
        <w:rPr>
          <w:rFonts w:hint="eastAsia" w:ascii="宋体" w:hAnsi="宋体" w:cs="宋体"/>
          <w:b/>
          <w:color w:val="auto"/>
          <w:sz w:val="32"/>
          <w:szCs w:val="32"/>
          <w:highlight w:val="none"/>
        </w:rPr>
        <w:t>投标人名称：</w:t>
      </w:r>
    </w:p>
    <w:p>
      <w:pPr>
        <w:rPr>
          <w:rFonts w:ascii="宋体" w:hAnsi="宋体" w:cs="宋体"/>
          <w:b/>
          <w:color w:val="auto"/>
          <w:sz w:val="32"/>
          <w:szCs w:val="32"/>
          <w:highlight w:val="none"/>
        </w:rPr>
      </w:pPr>
      <w:r>
        <w:rPr>
          <w:rFonts w:hint="eastAsia" w:ascii="宋体" w:hAnsi="宋体" w:cs="宋体"/>
          <w:b/>
          <w:color w:val="auto"/>
          <w:spacing w:val="64"/>
          <w:sz w:val="32"/>
          <w:szCs w:val="32"/>
          <w:highlight w:val="none"/>
        </w:rPr>
        <w:t xml:space="preserve">日    </w:t>
      </w:r>
      <w:r>
        <w:rPr>
          <w:rFonts w:hint="eastAsia" w:ascii="宋体" w:hAnsi="宋体" w:cs="宋体"/>
          <w:b/>
          <w:color w:val="auto"/>
          <w:sz w:val="32"/>
          <w:szCs w:val="32"/>
          <w:highlight w:val="none"/>
        </w:rPr>
        <w:t>期：</w:t>
      </w:r>
    </w:p>
    <w:p>
      <w:pPr>
        <w:rPr>
          <w:rFonts w:ascii="宋体" w:hAnsi="宋体"/>
          <w:color w:val="auto"/>
          <w:szCs w:val="21"/>
          <w:highlight w:val="none"/>
        </w:rPr>
      </w:pPr>
      <w:r>
        <w:rPr>
          <w:rFonts w:hint="eastAsia" w:ascii="宋体" w:hAnsi="宋体"/>
          <w:color w:val="auto"/>
          <w:szCs w:val="21"/>
          <w:highlight w:val="none"/>
        </w:rPr>
        <w:br w:type="page"/>
      </w:r>
    </w:p>
    <w:p>
      <w:pPr>
        <w:outlineLvl w:val="1"/>
        <w:rPr>
          <w:color w:val="auto"/>
          <w:sz w:val="72"/>
          <w:szCs w:val="72"/>
          <w:highlight w:val="none"/>
        </w:rPr>
        <w:sectPr>
          <w:pgSz w:w="11906" w:h="16838"/>
          <w:pgMar w:top="1440" w:right="1800" w:bottom="1440" w:left="1800" w:header="708" w:footer="708" w:gutter="0"/>
          <w:cols w:space="708" w:num="1"/>
          <w:titlePg/>
          <w:docGrid w:type="lines" w:linePitch="360" w:charSpace="0"/>
        </w:sectPr>
      </w:pPr>
    </w:p>
    <w:p>
      <w:pPr>
        <w:pStyle w:val="5"/>
        <w:numPr>
          <w:ilvl w:val="255"/>
          <w:numId w:val="0"/>
        </w:numPr>
        <w:tabs>
          <w:tab w:val="left" w:pos="720"/>
          <w:tab w:val="left" w:pos="3840"/>
        </w:tabs>
        <w:jc w:val="both"/>
        <w:rPr>
          <w:rFonts w:ascii="宋体" w:hAnsi="宋体"/>
          <w:color w:val="auto"/>
          <w:sz w:val="21"/>
          <w:szCs w:val="21"/>
          <w:highlight w:val="none"/>
        </w:rPr>
      </w:pPr>
      <w:bookmarkStart w:id="167" w:name="_GoBack"/>
      <w:bookmarkEnd w:id="167"/>
      <w:bookmarkStart w:id="166" w:name="_Toc13414"/>
      <w:r>
        <w:rPr>
          <w:rFonts w:hint="eastAsia" w:ascii="宋体" w:hAnsi="宋体"/>
          <w:color w:val="auto"/>
          <w:sz w:val="21"/>
          <w:szCs w:val="21"/>
          <w:highlight w:val="none"/>
        </w:rPr>
        <w:t>附件</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.唱标信封内装（内容务必与投标文件正本一致）</w:t>
      </w:r>
      <w:bookmarkEnd w:id="166"/>
    </w:p>
    <w:p>
      <w:pPr>
        <w:numPr>
          <w:ilvl w:val="0"/>
          <w:numId w:val="14"/>
        </w:numPr>
        <w:ind w:firstLineChars="200"/>
        <w:rPr>
          <w:rFonts w:hAnsi="宋体"/>
          <w:color w:val="auto"/>
          <w:szCs w:val="21"/>
          <w:highlight w:val="none"/>
        </w:rPr>
      </w:pPr>
      <w:r>
        <w:rPr>
          <w:rFonts w:hint="eastAsia" w:hAnsi="宋体"/>
          <w:color w:val="auto"/>
          <w:szCs w:val="21"/>
          <w:highlight w:val="none"/>
        </w:rPr>
        <w:t>开标一览表加盖公章；</w:t>
      </w:r>
    </w:p>
    <w:p>
      <w:pPr>
        <w:numPr>
          <w:ilvl w:val="0"/>
          <w:numId w:val="14"/>
        </w:numPr>
        <w:ind w:firstLineChars="200"/>
        <w:rPr>
          <w:rFonts w:hAnsi="宋体"/>
          <w:color w:val="auto"/>
          <w:szCs w:val="21"/>
          <w:highlight w:val="none"/>
        </w:rPr>
      </w:pPr>
      <w:r>
        <w:rPr>
          <w:rFonts w:hint="eastAsia" w:hAnsi="宋体"/>
          <w:color w:val="auto"/>
          <w:szCs w:val="21"/>
          <w:highlight w:val="none"/>
        </w:rPr>
        <w:t>法定代表人证明书加盖公章；</w:t>
      </w:r>
    </w:p>
    <w:p>
      <w:pPr>
        <w:numPr>
          <w:ilvl w:val="0"/>
          <w:numId w:val="14"/>
        </w:numPr>
        <w:ind w:firstLineChars="200"/>
        <w:rPr>
          <w:rFonts w:hAnsi="宋体"/>
          <w:color w:val="auto"/>
          <w:szCs w:val="21"/>
          <w:highlight w:val="none"/>
        </w:rPr>
      </w:pPr>
      <w:r>
        <w:rPr>
          <w:rFonts w:hint="eastAsia" w:hAnsi="宋体"/>
          <w:color w:val="auto"/>
          <w:szCs w:val="21"/>
          <w:highlight w:val="none"/>
        </w:rPr>
        <w:t>法定代表人授权委托书加盖公章（法定代表人投标的除外）；</w:t>
      </w:r>
    </w:p>
    <w:p>
      <w:pPr>
        <w:numPr>
          <w:ilvl w:val="0"/>
          <w:numId w:val="14"/>
        </w:numPr>
        <w:ind w:firstLineChars="200"/>
        <w:rPr>
          <w:rFonts w:hAnsi="宋体"/>
          <w:color w:val="auto"/>
          <w:szCs w:val="21"/>
          <w:highlight w:val="none"/>
        </w:rPr>
      </w:pPr>
      <w:r>
        <w:rPr>
          <w:rFonts w:hint="eastAsia" w:hAnsi="宋体"/>
          <w:color w:val="auto"/>
          <w:szCs w:val="21"/>
          <w:highlight w:val="none"/>
        </w:rPr>
        <w:t>投标保证金汇入情况说明（含银行汇款凭证）或投标保函加盖公章；</w:t>
      </w:r>
    </w:p>
    <w:p>
      <w:pPr>
        <w:numPr>
          <w:ilvl w:val="0"/>
          <w:numId w:val="14"/>
        </w:numPr>
        <w:ind w:firstLineChars="200"/>
        <w:rPr>
          <w:rFonts w:hAnsi="宋体"/>
          <w:color w:val="auto"/>
          <w:szCs w:val="21"/>
          <w:highlight w:val="none"/>
        </w:rPr>
      </w:pPr>
      <w:r>
        <w:rPr>
          <w:rFonts w:hint="eastAsia" w:hAnsi="宋体"/>
          <w:color w:val="auto"/>
          <w:szCs w:val="21"/>
          <w:highlight w:val="none"/>
        </w:rPr>
        <w:t>投标文件电子文件（U盘，须含盖章版PDF投标文件和WORD版投标文件各一版，文字采用WORD文档，计算表格采用 EXCEL文档。）</w:t>
      </w:r>
    </w:p>
    <w:p>
      <w:pPr>
        <w:rPr>
          <w:rFonts w:ascii="宋体" w:hAnsi="宋体" w:cs="宋体"/>
          <w:color w:val="auto"/>
          <w:szCs w:val="21"/>
          <w:highlight w:val="none"/>
        </w:rPr>
      </w:pPr>
    </w:p>
    <w:sectPr>
      <w:pgSz w:w="11906" w:h="16838"/>
      <w:pgMar w:top="1440" w:right="1800" w:bottom="1440" w:left="1800" w:header="708" w:footer="708" w:gutter="0"/>
      <w:cols w:space="708"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635</wp:posOffset>
              </wp:positionV>
              <wp:extent cx="286385" cy="14795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05pt;height:11.65pt;width:22.55pt;mso-position-horizontal:center;mso-position-horizontal-relative:margin;mso-wrap-style:none;z-index:251663360;mso-width-relative:page;mso-height-relative:page;" filled="f" stroked="f" coordsize="21600,21600" o:gfxdata="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Y7u00QAAAAMBAAAPAAAAAAAAAAEAIAAAACIA&#10;AABkcnMvZG93bnJldi54bWxQSwECFAAUAAAACACHTuJAMPUeaRACAAAQBAAADgAAAAAAAAABACAA&#10;AAAgAQAAZHJzL2Uyb0RvYy54bWxQSwUGAAAAAAYABgBZAQAAogU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r>
                      <w:rPr>
                        <w:rFonts w:hint="eastAsia"/>
                        <w:sz w:val="18"/>
                      </w:rPr>
                      <w:t>页</w:t>
                    </w:r>
                  </w:p>
                </w:txbxContent>
              </v:textbox>
            </v:shape>
          </w:pict>
        </mc:Fallback>
      </mc:AlternateContent>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autoSpaceDE w:val="0"/>
      <w:autoSpaceDN w:val="0"/>
      <w:adjustRightInd w:val="0"/>
      <w:snapToGrid w:val="0"/>
      <w:jc w:val="left"/>
      <w:textAlignment w:val="baseline"/>
      <w:rPr>
        <w:rFonts w:ascii="宋体"/>
        <w:sz w:val="18"/>
      </w:rPr>
    </w:pPr>
    <w:r>
      <w:rPr>
        <w:rFonts w:ascii="宋体"/>
        <w:sz w:val="18"/>
      </w:rPr>
      <w:fldChar w:fldCharType="begin"/>
    </w:r>
    <w:r>
      <w:rPr>
        <w:rFonts w:ascii="Tahoma" w:hAnsi="Tahoma"/>
        <w:sz w:val="24"/>
      </w:rPr>
      <w:instrText xml:space="preserve">PAGE  </w:instrText>
    </w:r>
    <w:r>
      <w:rPr>
        <w:rFonts w:ascii="宋体"/>
        <w:sz w:val="18"/>
      </w:rPr>
      <w:fldChar w:fldCharType="end"/>
    </w:r>
  </w:p>
  <w:p>
    <w:pPr>
      <w:tabs>
        <w:tab w:val="center" w:pos="4153"/>
        <w:tab w:val="right" w:pos="8306"/>
      </w:tabs>
      <w:autoSpaceDE w:val="0"/>
      <w:autoSpaceDN w:val="0"/>
      <w:adjustRightInd w:val="0"/>
      <w:snapToGrid w:val="0"/>
      <w:ind w:right="360"/>
      <w:jc w:val="left"/>
      <w:textAlignment w:val="baseline"/>
      <w:rPr>
        <w:rFonts w:ascii="宋体"/>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21"/>
      </w:rPr>
      <w:pict>
        <v:shape id="_x0000_s4110" o:spid="_x0000_s4110" o:spt="136" type="#_x0000_t136" style="position:absolute;left:0pt;margin-left:-127.65pt;margin-top:325.5pt;height:43.15pt;width:646.4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shape="t" fitpath="t" trim="t" xscale="f" string="东莞市新东元环保投资有限公司  2023-9-18" style="font-family:微软雅黑;font-size:36pt;v-same-letter-heights:f;v-text-align:center;"/>
        </v:shape>
      </w:pic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286385" cy="14795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05pt;height:11.65pt;width:22.55pt;mso-position-horizontal:center;mso-position-horizontal-relative:margin;mso-wrap-style:none;z-index:251661312;mso-width-relative:page;mso-height-relative:page;" filled="f" stroked="f" coordsize="21600,21600" o:gfxdata="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ju7TRAAAAAwEAAA8AAAAAAAAAAQAgAAAAIgAA&#10;AGRycy9kb3ducmV2LnhtbFBLAQIUABQAAAAIAIdO4kC1CdJuDwIAABAEAAAOAAAAAAAAAAEAIAAA&#10;ACABAABkcnMvZTJvRG9jLnhtbFBLBQYAAAAABgAGAFkBAACh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r>
                      <w:rPr>
                        <w:rFonts w:hint="eastAsia"/>
                        <w:sz w:val="18"/>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839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088390" cy="1828800"/>
                      </a:xfrm>
                      <a:prstGeom prst="rect">
                        <a:avLst/>
                      </a:prstGeom>
                      <a:noFill/>
                      <a:ln>
                        <a:noFill/>
                      </a:ln>
                    </wps:spPr>
                    <wps:txbx>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6" o:spid="_x0000_s1026" o:spt="202" type="#_x0000_t202" style="position:absolute;left:0pt;margin-top:0pt;height:144pt;width:85.7pt;mso-position-horizontal:center;mso-position-horizontal-relative:margin;z-index:251659264;mso-width-relative:page;mso-height-relative:page;" filled="f" stroked="f" coordsize="21600,21600" o:gfxdata="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sfqk0wAAAAUBAAAPAAAAAAAAAAEAIAAAACIAAABkcnMvZG93bnJl&#10;di54bWxQSwECFAAUAAAACACHTuJARcufEMkBAACQAwAADgAAAAAAAAABACAAAAAiAQAAZHJzL2Uy&#10;b0RvYy54bWxQSwUGAAAAAAYABgBZAQAAXQUAAAAA&#10;">
              <v:fill on="f" focussize="0,0"/>
              <v:stroke on="f"/>
              <v:imagedata o:title=""/>
              <o:lock v:ext="edit" aspectratio="f"/>
              <v:textbox inset="0mm,0mm,0mm,0mm" style="mso-fit-shape-to-text:t;">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062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150620" cy="1828800"/>
                      </a:xfrm>
                      <a:prstGeom prst="rect">
                        <a:avLst/>
                      </a:prstGeom>
                      <a:noFill/>
                      <a:ln>
                        <a:noFill/>
                      </a:ln>
                    </wps:spPr>
                    <wps:txbx>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5" o:spid="_x0000_s1026" o:spt="202" type="#_x0000_t202" style="position:absolute;left:0pt;margin-top:0pt;height:144pt;width:90.6pt;mso-position-horizontal:center;mso-position-horizontal-relative:margin;z-index:251660288;mso-width-relative:page;mso-height-relative:page;" filled="f" stroked="f" coordsize="21600,21600" o:gfxdata="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YIEizSAAAABQEAAA8AAAAAAAAAAQAgAAAAIgAAAGRycy9kb3ducmV2&#10;LnhtbFBLAQIUABQAAAAIAIdO4kB4R5WwyQEAAJADAAAOAAAAAAAAAAEAIAAAACEBAABkcnMvZTJv&#10;RG9jLnhtbFBLBQYAAAAABgAGAFkBAABcBQAAAAA=&#10;">
              <v:fill on="f" focussize="0,0"/>
              <v:stroke on="f"/>
              <v:imagedata o:title=""/>
              <o:lock v:ext="edit" aspectratio="f"/>
              <v:textbox inset="0mm,0mm,0mm,0mm" style="mso-fit-shape-to-text:t;">
                <w:txbxContent>
                  <w:p>
                    <w:pPr>
                      <w:pStyle w:val="1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208496" o:spid="_x0000_s4104" o:spt="136" type="#_x0000_t136" style="position:absolute;left:0pt;height:43.15pt;width:646.4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path="t" trim="t" xscale="f" string="东莞市新东元环保投资有限公司  2023-9-18"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PowerPlusWaterMarkObject267954" o:spid="_x0000_s4106" o:spt="136" type="#_x0000_t136" style="position:absolute;left:0pt;height:43.15pt;width:646.4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path="t" trim="t" xscale="f" string="东莞市新东元环保投资有限公司  2023-9-18" style="font-family:微软雅黑;font-size:36pt;v-same-letter-heights:f;v-text-align:center;"/>
        </v:shape>
      </w:pic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autoSpaceDE w:val="0"/>
      <w:autoSpaceDN w:val="0"/>
      <w:adjustRightInd w:val="0"/>
      <w:snapToGrid w:val="0"/>
      <w:jc w:val="center"/>
      <w:textAlignment w:val="baseline"/>
      <w:rPr>
        <w:rFonts w:ascii="宋体"/>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sz w:val="18"/>
      </w:rPr>
      <w:pict>
        <v:shape id="PowerPlusWaterMarkObject314548" o:spid="_x0000_s4108" o:spt="136" type="#_x0000_t136" style="position:absolute;left:0pt;height:43.15pt;width:646.4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path="t" trim="t" xscale="f" string="东莞市新东元环保投资有限公司  2023-9-18" style="font-family:微软雅黑;font-size:3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50704" o:spid="_x0000_s4109" o:spt="136" type="#_x0000_t136" style="position:absolute;left:0pt;height:43.15pt;width:646.4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path="t" trim="t" xscale="f" string="东莞市新东元环保投资有限公司  2023-9-18"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55E15"/>
    <w:multiLevelType w:val="singleLevel"/>
    <w:tmpl w:val="C9555E15"/>
    <w:lvl w:ilvl="0" w:tentative="0">
      <w:start w:val="1"/>
      <w:numFmt w:val="decimal"/>
      <w:lvlText w:val="(%1)"/>
      <w:lvlJc w:val="left"/>
      <w:pPr>
        <w:ind w:left="425" w:hanging="425"/>
      </w:pPr>
      <w:rPr>
        <w:rFonts w:hint="default"/>
      </w:rPr>
    </w:lvl>
  </w:abstractNum>
  <w:abstractNum w:abstractNumId="1">
    <w:nsid w:val="CC23954B"/>
    <w:multiLevelType w:val="multilevel"/>
    <w:tmpl w:val="CC23954B"/>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EF4A274B"/>
    <w:multiLevelType w:val="singleLevel"/>
    <w:tmpl w:val="EF4A274B"/>
    <w:lvl w:ilvl="0" w:tentative="0">
      <w:start w:val="1"/>
      <w:numFmt w:val="decimal"/>
      <w:suff w:val="nothing"/>
      <w:lvlText w:val="(%1)"/>
      <w:lvlJc w:val="left"/>
      <w:pPr>
        <w:ind w:left="0" w:firstLine="397"/>
      </w:pPr>
      <w:rPr>
        <w:rFonts w:hint="default"/>
      </w:rPr>
    </w:lvl>
  </w:abstractNum>
  <w:abstractNum w:abstractNumId="5">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0D2348B"/>
    <w:multiLevelType w:val="singleLevel"/>
    <w:tmpl w:val="20D2348B"/>
    <w:lvl w:ilvl="0" w:tentative="0">
      <w:start w:val="1"/>
      <w:numFmt w:val="chineseCounting"/>
      <w:suff w:val="nothing"/>
      <w:lvlText w:val="（%1）"/>
      <w:lvlJc w:val="left"/>
      <w:rPr>
        <w:rFonts w:hint="eastAsia"/>
      </w:rPr>
    </w:lvl>
  </w:abstractNum>
  <w:abstractNum w:abstractNumId="7">
    <w:nsid w:val="27F49B4B"/>
    <w:multiLevelType w:val="multilevel"/>
    <w:tmpl w:val="27F49B4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566" w:hanging="566"/>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3F88662E"/>
    <w:multiLevelType w:val="singleLevel"/>
    <w:tmpl w:val="3F88662E"/>
    <w:lvl w:ilvl="0" w:tentative="0">
      <w:start w:val="1"/>
      <w:numFmt w:val="decimal"/>
      <w:suff w:val="space"/>
      <w:lvlText w:val="%1)"/>
      <w:lvlJc w:val="left"/>
    </w:lvl>
  </w:abstractNum>
  <w:abstractNum w:abstractNumId="9">
    <w:nsid w:val="434D312A"/>
    <w:multiLevelType w:val="multilevel"/>
    <w:tmpl w:val="434D312A"/>
    <w:lvl w:ilvl="0" w:tentative="0">
      <w:start w:val="1"/>
      <w:numFmt w:val="chineseCountingThousand"/>
      <w:pStyle w:val="85"/>
      <w:lvlText w:val="%1"/>
      <w:lvlJc w:val="left"/>
      <w:pPr>
        <w:tabs>
          <w:tab w:val="left" w:pos="3572"/>
        </w:tabs>
        <w:ind w:left="1134" w:hanging="624"/>
      </w:pPr>
      <w:rPr>
        <w:rFonts w:hint="eastAsia"/>
        <w:sz w:val="30"/>
        <w:szCs w:val="30"/>
      </w:rPr>
    </w:lvl>
    <w:lvl w:ilvl="1" w:tentative="0">
      <w:start w:val="1"/>
      <w:numFmt w:val="decimal"/>
      <w:lvlText w:val="%2、"/>
      <w:lvlJc w:val="left"/>
      <w:pPr>
        <w:tabs>
          <w:tab w:val="left" w:pos="1305"/>
        </w:tabs>
        <w:ind w:left="1305" w:hanging="360"/>
      </w:pPr>
      <w:rPr>
        <w:rFonts w:hint="eastAsia"/>
      </w:rPr>
    </w:lvl>
    <w:lvl w:ilvl="2" w:tentative="0">
      <w:start w:val="1"/>
      <w:numFmt w:val="lowerRoman"/>
      <w:lvlText w:val="%3."/>
      <w:lvlJc w:val="right"/>
      <w:pPr>
        <w:tabs>
          <w:tab w:val="left" w:pos="1785"/>
        </w:tabs>
        <w:ind w:left="1785" w:hanging="420"/>
      </w:pPr>
      <w:rPr>
        <w:rFonts w:hint="eastAsia"/>
      </w:rPr>
    </w:lvl>
    <w:lvl w:ilvl="3" w:tentative="0">
      <w:start w:val="1"/>
      <w:numFmt w:val="decimal"/>
      <w:lvlText w:val="%4."/>
      <w:lvlJc w:val="left"/>
      <w:pPr>
        <w:tabs>
          <w:tab w:val="left" w:pos="2205"/>
        </w:tabs>
        <w:ind w:left="2205" w:hanging="420"/>
      </w:pPr>
      <w:rPr>
        <w:rFonts w:hint="eastAsia"/>
      </w:rPr>
    </w:lvl>
    <w:lvl w:ilvl="4" w:tentative="0">
      <w:start w:val="1"/>
      <w:numFmt w:val="lowerLetter"/>
      <w:lvlText w:val="%5)"/>
      <w:lvlJc w:val="left"/>
      <w:pPr>
        <w:tabs>
          <w:tab w:val="left" w:pos="2625"/>
        </w:tabs>
        <w:ind w:left="2625" w:hanging="420"/>
      </w:pPr>
      <w:rPr>
        <w:rFonts w:hint="eastAsia"/>
      </w:rPr>
    </w:lvl>
    <w:lvl w:ilvl="5" w:tentative="0">
      <w:start w:val="1"/>
      <w:numFmt w:val="lowerRoman"/>
      <w:lvlText w:val="%6."/>
      <w:lvlJc w:val="right"/>
      <w:pPr>
        <w:tabs>
          <w:tab w:val="left" w:pos="3045"/>
        </w:tabs>
        <w:ind w:left="3045" w:hanging="420"/>
      </w:pPr>
      <w:rPr>
        <w:rFonts w:hint="eastAsia"/>
      </w:rPr>
    </w:lvl>
    <w:lvl w:ilvl="6" w:tentative="0">
      <w:start w:val="1"/>
      <w:numFmt w:val="decimal"/>
      <w:lvlText w:val="%7."/>
      <w:lvlJc w:val="left"/>
      <w:pPr>
        <w:tabs>
          <w:tab w:val="left" w:pos="3465"/>
        </w:tabs>
        <w:ind w:left="3465" w:hanging="420"/>
      </w:pPr>
      <w:rPr>
        <w:rFonts w:hint="eastAsia"/>
      </w:rPr>
    </w:lvl>
    <w:lvl w:ilvl="7" w:tentative="0">
      <w:start w:val="1"/>
      <w:numFmt w:val="lowerLetter"/>
      <w:lvlText w:val="%8)"/>
      <w:lvlJc w:val="left"/>
      <w:pPr>
        <w:tabs>
          <w:tab w:val="left" w:pos="3885"/>
        </w:tabs>
        <w:ind w:left="3885" w:hanging="420"/>
      </w:pPr>
      <w:rPr>
        <w:rFonts w:hint="eastAsia"/>
      </w:rPr>
    </w:lvl>
    <w:lvl w:ilvl="8" w:tentative="0">
      <w:start w:val="1"/>
      <w:numFmt w:val="lowerRoman"/>
      <w:lvlText w:val="%9."/>
      <w:lvlJc w:val="right"/>
      <w:pPr>
        <w:tabs>
          <w:tab w:val="left" w:pos="4305"/>
        </w:tabs>
        <w:ind w:left="4305" w:hanging="420"/>
      </w:pPr>
      <w:rPr>
        <w:rFonts w:hint="eastAsia"/>
      </w:rPr>
    </w:lvl>
  </w:abstractNum>
  <w:abstractNum w:abstractNumId="10">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C5D728"/>
    <w:multiLevelType w:val="singleLevel"/>
    <w:tmpl w:val="59C5D728"/>
    <w:lvl w:ilvl="0" w:tentative="0">
      <w:start w:val="1"/>
      <w:numFmt w:val="chineseCounting"/>
      <w:suff w:val="nothing"/>
      <w:lvlText w:val="%1、"/>
      <w:lvlJc w:val="left"/>
      <w:pPr>
        <w:ind w:left="0" w:firstLine="420"/>
      </w:pPr>
      <w:rPr>
        <w:rFonts w:hint="eastAsia"/>
      </w:r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9"/>
  </w:num>
  <w:num w:numId="2">
    <w:abstractNumId w:val="10"/>
  </w:num>
  <w:num w:numId="3">
    <w:abstractNumId w:val="7"/>
  </w:num>
  <w:num w:numId="4">
    <w:abstractNumId w:val="1"/>
  </w:num>
  <w:num w:numId="5">
    <w:abstractNumId w:val="13"/>
  </w:num>
  <w:num w:numId="6">
    <w:abstractNumId w:val="8"/>
  </w:num>
  <w:num w:numId="7">
    <w:abstractNumId w:val="0"/>
  </w:num>
  <w:num w:numId="8">
    <w:abstractNumId w:val="4"/>
  </w:num>
  <w:num w:numId="9">
    <w:abstractNumId w:val="2"/>
  </w:num>
  <w:num w:numId="10">
    <w:abstractNumId w:val="5"/>
  </w:num>
  <w:num w:numId="11">
    <w:abstractNumId w:val="6"/>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3YTZkMjQ4NjU1MTA5NDY2YjFkNjFmOWVkZjMxOWMifQ=="/>
  </w:docVars>
  <w:rsids>
    <w:rsidRoot w:val="00172A27"/>
    <w:rsid w:val="00005A66"/>
    <w:rsid w:val="00006462"/>
    <w:rsid w:val="000300E4"/>
    <w:rsid w:val="0003307E"/>
    <w:rsid w:val="000336BA"/>
    <w:rsid w:val="000359A1"/>
    <w:rsid w:val="0005185D"/>
    <w:rsid w:val="00067748"/>
    <w:rsid w:val="0007500F"/>
    <w:rsid w:val="0008282E"/>
    <w:rsid w:val="00084F6D"/>
    <w:rsid w:val="00093A13"/>
    <w:rsid w:val="000A363F"/>
    <w:rsid w:val="000A42A8"/>
    <w:rsid w:val="000A5063"/>
    <w:rsid w:val="000A5DBD"/>
    <w:rsid w:val="000C4524"/>
    <w:rsid w:val="000D44A6"/>
    <w:rsid w:val="000E2CB7"/>
    <w:rsid w:val="000F0E98"/>
    <w:rsid w:val="001049A5"/>
    <w:rsid w:val="001120E0"/>
    <w:rsid w:val="00121ADA"/>
    <w:rsid w:val="001242F3"/>
    <w:rsid w:val="001332BB"/>
    <w:rsid w:val="00134CAD"/>
    <w:rsid w:val="001368B7"/>
    <w:rsid w:val="0013730B"/>
    <w:rsid w:val="00137853"/>
    <w:rsid w:val="00137E1C"/>
    <w:rsid w:val="00147012"/>
    <w:rsid w:val="00172A27"/>
    <w:rsid w:val="00173126"/>
    <w:rsid w:val="00173905"/>
    <w:rsid w:val="00173E04"/>
    <w:rsid w:val="00175D29"/>
    <w:rsid w:val="001833A1"/>
    <w:rsid w:val="001844F4"/>
    <w:rsid w:val="00185039"/>
    <w:rsid w:val="001852D7"/>
    <w:rsid w:val="001934B1"/>
    <w:rsid w:val="00193CF2"/>
    <w:rsid w:val="001A06D8"/>
    <w:rsid w:val="001A2D42"/>
    <w:rsid w:val="001A2EF7"/>
    <w:rsid w:val="001B1F14"/>
    <w:rsid w:val="001B41CF"/>
    <w:rsid w:val="001B5860"/>
    <w:rsid w:val="001C1135"/>
    <w:rsid w:val="001C15AE"/>
    <w:rsid w:val="001C4661"/>
    <w:rsid w:val="001C5689"/>
    <w:rsid w:val="001C6E4B"/>
    <w:rsid w:val="001F0070"/>
    <w:rsid w:val="001F4B02"/>
    <w:rsid w:val="001F6BC7"/>
    <w:rsid w:val="002065A7"/>
    <w:rsid w:val="0021149E"/>
    <w:rsid w:val="00213021"/>
    <w:rsid w:val="00216BE9"/>
    <w:rsid w:val="0022503E"/>
    <w:rsid w:val="00225BB4"/>
    <w:rsid w:val="00226313"/>
    <w:rsid w:val="002358D2"/>
    <w:rsid w:val="00240F5F"/>
    <w:rsid w:val="00247224"/>
    <w:rsid w:val="00247AE0"/>
    <w:rsid w:val="00260AC1"/>
    <w:rsid w:val="0026312D"/>
    <w:rsid w:val="0027078E"/>
    <w:rsid w:val="0028395F"/>
    <w:rsid w:val="00284156"/>
    <w:rsid w:val="00285643"/>
    <w:rsid w:val="002867A1"/>
    <w:rsid w:val="002901F8"/>
    <w:rsid w:val="002920A4"/>
    <w:rsid w:val="002B4087"/>
    <w:rsid w:val="002B5F6C"/>
    <w:rsid w:val="002C6C78"/>
    <w:rsid w:val="002D1594"/>
    <w:rsid w:val="002D3F9C"/>
    <w:rsid w:val="002D503C"/>
    <w:rsid w:val="002D7E27"/>
    <w:rsid w:val="002E17E5"/>
    <w:rsid w:val="002E6B7E"/>
    <w:rsid w:val="002F0FC9"/>
    <w:rsid w:val="0030669E"/>
    <w:rsid w:val="003101A3"/>
    <w:rsid w:val="00320CEA"/>
    <w:rsid w:val="00323B43"/>
    <w:rsid w:val="00326831"/>
    <w:rsid w:val="003274CE"/>
    <w:rsid w:val="003361E9"/>
    <w:rsid w:val="003430F6"/>
    <w:rsid w:val="00353842"/>
    <w:rsid w:val="00353DFB"/>
    <w:rsid w:val="0035595E"/>
    <w:rsid w:val="00360C24"/>
    <w:rsid w:val="003717F5"/>
    <w:rsid w:val="0038564C"/>
    <w:rsid w:val="00387CE4"/>
    <w:rsid w:val="00393B1D"/>
    <w:rsid w:val="003A1D97"/>
    <w:rsid w:val="003C18EB"/>
    <w:rsid w:val="003C1E4E"/>
    <w:rsid w:val="003C32D3"/>
    <w:rsid w:val="003C3B19"/>
    <w:rsid w:val="003C412B"/>
    <w:rsid w:val="003C415C"/>
    <w:rsid w:val="003D36FB"/>
    <w:rsid w:val="003D37D8"/>
    <w:rsid w:val="003E0802"/>
    <w:rsid w:val="003E18E7"/>
    <w:rsid w:val="003E2B8C"/>
    <w:rsid w:val="003F46B4"/>
    <w:rsid w:val="003F4822"/>
    <w:rsid w:val="00401C64"/>
    <w:rsid w:val="00401CC0"/>
    <w:rsid w:val="00410AB5"/>
    <w:rsid w:val="00410F11"/>
    <w:rsid w:val="00411067"/>
    <w:rsid w:val="004203B9"/>
    <w:rsid w:val="004322A2"/>
    <w:rsid w:val="004358AB"/>
    <w:rsid w:val="00451EB4"/>
    <w:rsid w:val="00460B31"/>
    <w:rsid w:val="00462105"/>
    <w:rsid w:val="00463ACB"/>
    <w:rsid w:val="00475A80"/>
    <w:rsid w:val="00490B9E"/>
    <w:rsid w:val="00497577"/>
    <w:rsid w:val="004A05D7"/>
    <w:rsid w:val="004A154E"/>
    <w:rsid w:val="004A2B28"/>
    <w:rsid w:val="004A69F1"/>
    <w:rsid w:val="004B3550"/>
    <w:rsid w:val="004B3F06"/>
    <w:rsid w:val="004C7FD6"/>
    <w:rsid w:val="004D08C0"/>
    <w:rsid w:val="004D1669"/>
    <w:rsid w:val="004D22B3"/>
    <w:rsid w:val="004D51A2"/>
    <w:rsid w:val="004D5AFB"/>
    <w:rsid w:val="004E04FD"/>
    <w:rsid w:val="004E3E1F"/>
    <w:rsid w:val="004F1BB7"/>
    <w:rsid w:val="0050759C"/>
    <w:rsid w:val="00510827"/>
    <w:rsid w:val="00511DEA"/>
    <w:rsid w:val="005267F1"/>
    <w:rsid w:val="005269A9"/>
    <w:rsid w:val="00532034"/>
    <w:rsid w:val="00545D9A"/>
    <w:rsid w:val="00546A42"/>
    <w:rsid w:val="0055408D"/>
    <w:rsid w:val="0057492D"/>
    <w:rsid w:val="0058523E"/>
    <w:rsid w:val="00590819"/>
    <w:rsid w:val="00593D68"/>
    <w:rsid w:val="005A208B"/>
    <w:rsid w:val="005A555E"/>
    <w:rsid w:val="005A7612"/>
    <w:rsid w:val="005B58A6"/>
    <w:rsid w:val="005C57E1"/>
    <w:rsid w:val="005C702E"/>
    <w:rsid w:val="005D01B8"/>
    <w:rsid w:val="005D066B"/>
    <w:rsid w:val="005D1D00"/>
    <w:rsid w:val="005D2D85"/>
    <w:rsid w:val="005F20A4"/>
    <w:rsid w:val="005F4EAE"/>
    <w:rsid w:val="005F573A"/>
    <w:rsid w:val="005F660B"/>
    <w:rsid w:val="005F7EB1"/>
    <w:rsid w:val="00604B81"/>
    <w:rsid w:val="0061246F"/>
    <w:rsid w:val="00613151"/>
    <w:rsid w:val="00613417"/>
    <w:rsid w:val="00613B25"/>
    <w:rsid w:val="0061545F"/>
    <w:rsid w:val="006175DE"/>
    <w:rsid w:val="006215AC"/>
    <w:rsid w:val="00621821"/>
    <w:rsid w:val="00622362"/>
    <w:rsid w:val="00622497"/>
    <w:rsid w:val="006276AD"/>
    <w:rsid w:val="006378D4"/>
    <w:rsid w:val="00641E8C"/>
    <w:rsid w:val="0064416A"/>
    <w:rsid w:val="006476E3"/>
    <w:rsid w:val="00650DDC"/>
    <w:rsid w:val="00652983"/>
    <w:rsid w:val="0065365D"/>
    <w:rsid w:val="006546D0"/>
    <w:rsid w:val="006576FD"/>
    <w:rsid w:val="00664F6B"/>
    <w:rsid w:val="006731D2"/>
    <w:rsid w:val="00680EB0"/>
    <w:rsid w:val="00682986"/>
    <w:rsid w:val="0068501E"/>
    <w:rsid w:val="00691701"/>
    <w:rsid w:val="00691AE0"/>
    <w:rsid w:val="0069491E"/>
    <w:rsid w:val="006A5604"/>
    <w:rsid w:val="006A75B0"/>
    <w:rsid w:val="006B004E"/>
    <w:rsid w:val="006B3E6C"/>
    <w:rsid w:val="006B4832"/>
    <w:rsid w:val="006B7878"/>
    <w:rsid w:val="006C14BD"/>
    <w:rsid w:val="006C28E5"/>
    <w:rsid w:val="006C67A9"/>
    <w:rsid w:val="006D393E"/>
    <w:rsid w:val="006D43C5"/>
    <w:rsid w:val="006D4AD8"/>
    <w:rsid w:val="006E0B58"/>
    <w:rsid w:val="006E0C4B"/>
    <w:rsid w:val="00704F7B"/>
    <w:rsid w:val="007110BA"/>
    <w:rsid w:val="00711465"/>
    <w:rsid w:val="00716E96"/>
    <w:rsid w:val="00723B11"/>
    <w:rsid w:val="007343A7"/>
    <w:rsid w:val="00734BB2"/>
    <w:rsid w:val="0075028E"/>
    <w:rsid w:val="007528A6"/>
    <w:rsid w:val="007608B9"/>
    <w:rsid w:val="007724B4"/>
    <w:rsid w:val="0077462B"/>
    <w:rsid w:val="007902ED"/>
    <w:rsid w:val="007916E7"/>
    <w:rsid w:val="00797C5D"/>
    <w:rsid w:val="00797D2F"/>
    <w:rsid w:val="007A34B9"/>
    <w:rsid w:val="007A3EF1"/>
    <w:rsid w:val="007A4DB3"/>
    <w:rsid w:val="007A6F47"/>
    <w:rsid w:val="007A7779"/>
    <w:rsid w:val="007C4F46"/>
    <w:rsid w:val="007C7297"/>
    <w:rsid w:val="007D1B4F"/>
    <w:rsid w:val="007D2F9E"/>
    <w:rsid w:val="007D3175"/>
    <w:rsid w:val="007D48BF"/>
    <w:rsid w:val="007D5C45"/>
    <w:rsid w:val="007E2543"/>
    <w:rsid w:val="007E4A26"/>
    <w:rsid w:val="007E7A17"/>
    <w:rsid w:val="007F01B0"/>
    <w:rsid w:val="007F2CD8"/>
    <w:rsid w:val="007F4DC5"/>
    <w:rsid w:val="00806380"/>
    <w:rsid w:val="0081104F"/>
    <w:rsid w:val="0081319A"/>
    <w:rsid w:val="00822299"/>
    <w:rsid w:val="0083486A"/>
    <w:rsid w:val="00837E35"/>
    <w:rsid w:val="00841378"/>
    <w:rsid w:val="00842B87"/>
    <w:rsid w:val="00845BEB"/>
    <w:rsid w:val="008472E6"/>
    <w:rsid w:val="008518B4"/>
    <w:rsid w:val="00853463"/>
    <w:rsid w:val="008548BD"/>
    <w:rsid w:val="00857709"/>
    <w:rsid w:val="0086026F"/>
    <w:rsid w:val="008640F5"/>
    <w:rsid w:val="0087704E"/>
    <w:rsid w:val="008907DA"/>
    <w:rsid w:val="008A0587"/>
    <w:rsid w:val="008A7273"/>
    <w:rsid w:val="008B55B9"/>
    <w:rsid w:val="008B7726"/>
    <w:rsid w:val="008C05BA"/>
    <w:rsid w:val="008D429E"/>
    <w:rsid w:val="008D5A10"/>
    <w:rsid w:val="008E319F"/>
    <w:rsid w:val="008E619C"/>
    <w:rsid w:val="008F6E0E"/>
    <w:rsid w:val="00906F49"/>
    <w:rsid w:val="00907417"/>
    <w:rsid w:val="00914604"/>
    <w:rsid w:val="00916A34"/>
    <w:rsid w:val="0092092D"/>
    <w:rsid w:val="00923533"/>
    <w:rsid w:val="00930A38"/>
    <w:rsid w:val="00934170"/>
    <w:rsid w:val="00942948"/>
    <w:rsid w:val="009474B5"/>
    <w:rsid w:val="00953E98"/>
    <w:rsid w:val="00960F22"/>
    <w:rsid w:val="00972D86"/>
    <w:rsid w:val="009736BF"/>
    <w:rsid w:val="0097392B"/>
    <w:rsid w:val="00976066"/>
    <w:rsid w:val="00980A66"/>
    <w:rsid w:val="009904F7"/>
    <w:rsid w:val="009910F6"/>
    <w:rsid w:val="009A07B1"/>
    <w:rsid w:val="009A6B4A"/>
    <w:rsid w:val="009A7058"/>
    <w:rsid w:val="009C19DE"/>
    <w:rsid w:val="009C23A6"/>
    <w:rsid w:val="009C5206"/>
    <w:rsid w:val="009C6AD9"/>
    <w:rsid w:val="009E398C"/>
    <w:rsid w:val="009E6F05"/>
    <w:rsid w:val="009F644E"/>
    <w:rsid w:val="009F6A05"/>
    <w:rsid w:val="00A01BE2"/>
    <w:rsid w:val="00A10906"/>
    <w:rsid w:val="00A12E66"/>
    <w:rsid w:val="00A13E78"/>
    <w:rsid w:val="00A14EEF"/>
    <w:rsid w:val="00A23304"/>
    <w:rsid w:val="00A25809"/>
    <w:rsid w:val="00A275C2"/>
    <w:rsid w:val="00A3295D"/>
    <w:rsid w:val="00A353F9"/>
    <w:rsid w:val="00A4012F"/>
    <w:rsid w:val="00A4190E"/>
    <w:rsid w:val="00A42E91"/>
    <w:rsid w:val="00A50383"/>
    <w:rsid w:val="00A61230"/>
    <w:rsid w:val="00A668C8"/>
    <w:rsid w:val="00A74ED3"/>
    <w:rsid w:val="00A75C51"/>
    <w:rsid w:val="00A813C5"/>
    <w:rsid w:val="00A824E6"/>
    <w:rsid w:val="00A858DC"/>
    <w:rsid w:val="00A94D14"/>
    <w:rsid w:val="00A96ED2"/>
    <w:rsid w:val="00AA0EAD"/>
    <w:rsid w:val="00AB19CE"/>
    <w:rsid w:val="00AB3969"/>
    <w:rsid w:val="00AC0E7A"/>
    <w:rsid w:val="00AC187B"/>
    <w:rsid w:val="00AE310E"/>
    <w:rsid w:val="00AE4FC5"/>
    <w:rsid w:val="00AF1B1B"/>
    <w:rsid w:val="00AF5F1F"/>
    <w:rsid w:val="00B027A4"/>
    <w:rsid w:val="00B04202"/>
    <w:rsid w:val="00B236B3"/>
    <w:rsid w:val="00B26806"/>
    <w:rsid w:val="00B31B24"/>
    <w:rsid w:val="00B4287F"/>
    <w:rsid w:val="00B4315F"/>
    <w:rsid w:val="00B43306"/>
    <w:rsid w:val="00B60DAB"/>
    <w:rsid w:val="00B61CB1"/>
    <w:rsid w:val="00B63189"/>
    <w:rsid w:val="00B67B5C"/>
    <w:rsid w:val="00B7194E"/>
    <w:rsid w:val="00B73575"/>
    <w:rsid w:val="00B7380A"/>
    <w:rsid w:val="00B763B0"/>
    <w:rsid w:val="00B76BE6"/>
    <w:rsid w:val="00B91005"/>
    <w:rsid w:val="00B92951"/>
    <w:rsid w:val="00B93045"/>
    <w:rsid w:val="00B93169"/>
    <w:rsid w:val="00B950B6"/>
    <w:rsid w:val="00BA4130"/>
    <w:rsid w:val="00BB2CAF"/>
    <w:rsid w:val="00BB79B5"/>
    <w:rsid w:val="00BC0E6D"/>
    <w:rsid w:val="00BC3E74"/>
    <w:rsid w:val="00BD630F"/>
    <w:rsid w:val="00BD7C1B"/>
    <w:rsid w:val="00BE0825"/>
    <w:rsid w:val="00BE2EE6"/>
    <w:rsid w:val="00BF17FD"/>
    <w:rsid w:val="00BF2820"/>
    <w:rsid w:val="00BF41D4"/>
    <w:rsid w:val="00BF5AFB"/>
    <w:rsid w:val="00C16734"/>
    <w:rsid w:val="00C17B47"/>
    <w:rsid w:val="00C2046D"/>
    <w:rsid w:val="00C25C77"/>
    <w:rsid w:val="00C303E7"/>
    <w:rsid w:val="00C319C2"/>
    <w:rsid w:val="00C53CE5"/>
    <w:rsid w:val="00C612F8"/>
    <w:rsid w:val="00C62E44"/>
    <w:rsid w:val="00C63BD8"/>
    <w:rsid w:val="00C65954"/>
    <w:rsid w:val="00C7126B"/>
    <w:rsid w:val="00C72C24"/>
    <w:rsid w:val="00C73468"/>
    <w:rsid w:val="00C74986"/>
    <w:rsid w:val="00C80EC4"/>
    <w:rsid w:val="00C8568E"/>
    <w:rsid w:val="00CA2D67"/>
    <w:rsid w:val="00CA32B5"/>
    <w:rsid w:val="00CB57AD"/>
    <w:rsid w:val="00CC009D"/>
    <w:rsid w:val="00CC584A"/>
    <w:rsid w:val="00CC5E4E"/>
    <w:rsid w:val="00CD0EAB"/>
    <w:rsid w:val="00CD7E8F"/>
    <w:rsid w:val="00CE2AF3"/>
    <w:rsid w:val="00CE621D"/>
    <w:rsid w:val="00CE66E8"/>
    <w:rsid w:val="00D05388"/>
    <w:rsid w:val="00D114CD"/>
    <w:rsid w:val="00D14476"/>
    <w:rsid w:val="00D232FF"/>
    <w:rsid w:val="00D279AA"/>
    <w:rsid w:val="00D31215"/>
    <w:rsid w:val="00D34544"/>
    <w:rsid w:val="00D34841"/>
    <w:rsid w:val="00D4444E"/>
    <w:rsid w:val="00D44A97"/>
    <w:rsid w:val="00D45C0C"/>
    <w:rsid w:val="00D508A5"/>
    <w:rsid w:val="00D5104B"/>
    <w:rsid w:val="00D555D8"/>
    <w:rsid w:val="00D60778"/>
    <w:rsid w:val="00D63EB2"/>
    <w:rsid w:val="00D64D28"/>
    <w:rsid w:val="00D6604D"/>
    <w:rsid w:val="00D677F1"/>
    <w:rsid w:val="00D74601"/>
    <w:rsid w:val="00D83E46"/>
    <w:rsid w:val="00D847B6"/>
    <w:rsid w:val="00D93958"/>
    <w:rsid w:val="00D951D3"/>
    <w:rsid w:val="00DA1DB9"/>
    <w:rsid w:val="00DA6169"/>
    <w:rsid w:val="00DA7B28"/>
    <w:rsid w:val="00DB5480"/>
    <w:rsid w:val="00DB6317"/>
    <w:rsid w:val="00DC2FC5"/>
    <w:rsid w:val="00DC5AD9"/>
    <w:rsid w:val="00DC691F"/>
    <w:rsid w:val="00DD02DE"/>
    <w:rsid w:val="00DD07B7"/>
    <w:rsid w:val="00DD113C"/>
    <w:rsid w:val="00DD324C"/>
    <w:rsid w:val="00DE0BEB"/>
    <w:rsid w:val="00DE4856"/>
    <w:rsid w:val="00DF485B"/>
    <w:rsid w:val="00DF6877"/>
    <w:rsid w:val="00E0295D"/>
    <w:rsid w:val="00E042BC"/>
    <w:rsid w:val="00E132FE"/>
    <w:rsid w:val="00E21B77"/>
    <w:rsid w:val="00E23352"/>
    <w:rsid w:val="00E40CAD"/>
    <w:rsid w:val="00E40DC7"/>
    <w:rsid w:val="00E4215F"/>
    <w:rsid w:val="00E61D2E"/>
    <w:rsid w:val="00E62B7F"/>
    <w:rsid w:val="00E7066D"/>
    <w:rsid w:val="00E726BC"/>
    <w:rsid w:val="00E72821"/>
    <w:rsid w:val="00E75C82"/>
    <w:rsid w:val="00E81DDC"/>
    <w:rsid w:val="00E81F67"/>
    <w:rsid w:val="00E83400"/>
    <w:rsid w:val="00E83650"/>
    <w:rsid w:val="00E83A31"/>
    <w:rsid w:val="00E93BF5"/>
    <w:rsid w:val="00E97CC0"/>
    <w:rsid w:val="00EA22B8"/>
    <w:rsid w:val="00EA2524"/>
    <w:rsid w:val="00EA33E7"/>
    <w:rsid w:val="00EC092D"/>
    <w:rsid w:val="00EC0DF8"/>
    <w:rsid w:val="00ED378B"/>
    <w:rsid w:val="00ED6D58"/>
    <w:rsid w:val="00EE08F9"/>
    <w:rsid w:val="00EE70B3"/>
    <w:rsid w:val="00EF24AA"/>
    <w:rsid w:val="00EF728A"/>
    <w:rsid w:val="00EF7D0D"/>
    <w:rsid w:val="00F00FF7"/>
    <w:rsid w:val="00F02093"/>
    <w:rsid w:val="00F068E3"/>
    <w:rsid w:val="00F10B5F"/>
    <w:rsid w:val="00F218C1"/>
    <w:rsid w:val="00F321EB"/>
    <w:rsid w:val="00F32B00"/>
    <w:rsid w:val="00F346CF"/>
    <w:rsid w:val="00F3610C"/>
    <w:rsid w:val="00F36839"/>
    <w:rsid w:val="00F52A5F"/>
    <w:rsid w:val="00F55954"/>
    <w:rsid w:val="00F57308"/>
    <w:rsid w:val="00F61962"/>
    <w:rsid w:val="00F62865"/>
    <w:rsid w:val="00F64022"/>
    <w:rsid w:val="00F64660"/>
    <w:rsid w:val="00F74FF3"/>
    <w:rsid w:val="00F97062"/>
    <w:rsid w:val="00F9745D"/>
    <w:rsid w:val="00FA07A9"/>
    <w:rsid w:val="00FA54B2"/>
    <w:rsid w:val="00FC1C43"/>
    <w:rsid w:val="00FC529F"/>
    <w:rsid w:val="00FC7B53"/>
    <w:rsid w:val="00FD48CC"/>
    <w:rsid w:val="00FE0C02"/>
    <w:rsid w:val="00FE62D1"/>
    <w:rsid w:val="00FE7B94"/>
    <w:rsid w:val="00FF0736"/>
    <w:rsid w:val="00FF2515"/>
    <w:rsid w:val="00FF26BF"/>
    <w:rsid w:val="010908A7"/>
    <w:rsid w:val="013C51B0"/>
    <w:rsid w:val="01525581"/>
    <w:rsid w:val="016412A2"/>
    <w:rsid w:val="01651C23"/>
    <w:rsid w:val="018023CE"/>
    <w:rsid w:val="01881AD6"/>
    <w:rsid w:val="019127B6"/>
    <w:rsid w:val="01B71A01"/>
    <w:rsid w:val="01DC03CE"/>
    <w:rsid w:val="01E36F4E"/>
    <w:rsid w:val="020C3478"/>
    <w:rsid w:val="023C5F15"/>
    <w:rsid w:val="023F3FA2"/>
    <w:rsid w:val="028B6D36"/>
    <w:rsid w:val="02985CD5"/>
    <w:rsid w:val="02A741FD"/>
    <w:rsid w:val="02C16E5D"/>
    <w:rsid w:val="02D964CF"/>
    <w:rsid w:val="02DE5ECF"/>
    <w:rsid w:val="02E74073"/>
    <w:rsid w:val="02F713C2"/>
    <w:rsid w:val="0367744E"/>
    <w:rsid w:val="03707410"/>
    <w:rsid w:val="0388071F"/>
    <w:rsid w:val="039240A3"/>
    <w:rsid w:val="03A0770F"/>
    <w:rsid w:val="03A448B8"/>
    <w:rsid w:val="03C01631"/>
    <w:rsid w:val="03C656A9"/>
    <w:rsid w:val="03F33148"/>
    <w:rsid w:val="042F3419"/>
    <w:rsid w:val="044566F3"/>
    <w:rsid w:val="044841D6"/>
    <w:rsid w:val="047B4012"/>
    <w:rsid w:val="047F2DDF"/>
    <w:rsid w:val="04815FBF"/>
    <w:rsid w:val="04822497"/>
    <w:rsid w:val="04974587"/>
    <w:rsid w:val="04DF1036"/>
    <w:rsid w:val="05651D4E"/>
    <w:rsid w:val="0599183C"/>
    <w:rsid w:val="05A97DEC"/>
    <w:rsid w:val="05B23978"/>
    <w:rsid w:val="05C81981"/>
    <w:rsid w:val="05D83A48"/>
    <w:rsid w:val="060C3203"/>
    <w:rsid w:val="065A6D82"/>
    <w:rsid w:val="06602A96"/>
    <w:rsid w:val="069B4E4A"/>
    <w:rsid w:val="06BC41F2"/>
    <w:rsid w:val="06F415CC"/>
    <w:rsid w:val="070E26CD"/>
    <w:rsid w:val="07197D08"/>
    <w:rsid w:val="071E5C55"/>
    <w:rsid w:val="075C1FE5"/>
    <w:rsid w:val="0765443F"/>
    <w:rsid w:val="076B4CB0"/>
    <w:rsid w:val="077005AB"/>
    <w:rsid w:val="078F4581"/>
    <w:rsid w:val="07BF027F"/>
    <w:rsid w:val="08031A31"/>
    <w:rsid w:val="08420CAE"/>
    <w:rsid w:val="08574B3D"/>
    <w:rsid w:val="08E0126D"/>
    <w:rsid w:val="08E352B9"/>
    <w:rsid w:val="09061A75"/>
    <w:rsid w:val="09182241"/>
    <w:rsid w:val="095F1030"/>
    <w:rsid w:val="09855177"/>
    <w:rsid w:val="09EE5125"/>
    <w:rsid w:val="0A2522FD"/>
    <w:rsid w:val="0A327478"/>
    <w:rsid w:val="0A462748"/>
    <w:rsid w:val="0A4D0C81"/>
    <w:rsid w:val="0A723E95"/>
    <w:rsid w:val="0A733243"/>
    <w:rsid w:val="0A846743"/>
    <w:rsid w:val="0A873F23"/>
    <w:rsid w:val="0AA534D5"/>
    <w:rsid w:val="0AA650EB"/>
    <w:rsid w:val="0AA7129C"/>
    <w:rsid w:val="0AE26205"/>
    <w:rsid w:val="0AF47339"/>
    <w:rsid w:val="0AF96976"/>
    <w:rsid w:val="0B22594B"/>
    <w:rsid w:val="0B27506F"/>
    <w:rsid w:val="0B9610F4"/>
    <w:rsid w:val="0BBF77A4"/>
    <w:rsid w:val="0BD16C8D"/>
    <w:rsid w:val="0BDF26F7"/>
    <w:rsid w:val="0C027DB2"/>
    <w:rsid w:val="0C2A58F3"/>
    <w:rsid w:val="0C2B4952"/>
    <w:rsid w:val="0C322F8A"/>
    <w:rsid w:val="0C4607E5"/>
    <w:rsid w:val="0C516C55"/>
    <w:rsid w:val="0C7B2220"/>
    <w:rsid w:val="0CAD577E"/>
    <w:rsid w:val="0CB67D83"/>
    <w:rsid w:val="0CD20599"/>
    <w:rsid w:val="0CE53018"/>
    <w:rsid w:val="0D0B5B12"/>
    <w:rsid w:val="0D133046"/>
    <w:rsid w:val="0D153F28"/>
    <w:rsid w:val="0D3A0F98"/>
    <w:rsid w:val="0D6A4502"/>
    <w:rsid w:val="0D7415CA"/>
    <w:rsid w:val="0D890E47"/>
    <w:rsid w:val="0DC64A00"/>
    <w:rsid w:val="0DD0625D"/>
    <w:rsid w:val="0DEB5FFA"/>
    <w:rsid w:val="0DF75C46"/>
    <w:rsid w:val="0DFC60BA"/>
    <w:rsid w:val="0E1C06B2"/>
    <w:rsid w:val="0E69691B"/>
    <w:rsid w:val="0EBB5484"/>
    <w:rsid w:val="0EBD5AA3"/>
    <w:rsid w:val="0F407E8F"/>
    <w:rsid w:val="0F5723EF"/>
    <w:rsid w:val="0F5F5360"/>
    <w:rsid w:val="0F7C5FF6"/>
    <w:rsid w:val="0FC63FBD"/>
    <w:rsid w:val="0FDD003F"/>
    <w:rsid w:val="0FF87EA4"/>
    <w:rsid w:val="0FFF7484"/>
    <w:rsid w:val="10066939"/>
    <w:rsid w:val="100B77ED"/>
    <w:rsid w:val="101D47AD"/>
    <w:rsid w:val="10305890"/>
    <w:rsid w:val="103D5A1A"/>
    <w:rsid w:val="105847E5"/>
    <w:rsid w:val="106C564D"/>
    <w:rsid w:val="106E0AED"/>
    <w:rsid w:val="107B7B8F"/>
    <w:rsid w:val="107C67CE"/>
    <w:rsid w:val="10912D03"/>
    <w:rsid w:val="109D68CB"/>
    <w:rsid w:val="10A949B8"/>
    <w:rsid w:val="10AB5D61"/>
    <w:rsid w:val="11144AFE"/>
    <w:rsid w:val="11200D07"/>
    <w:rsid w:val="115E03E3"/>
    <w:rsid w:val="11786AB5"/>
    <w:rsid w:val="118049D4"/>
    <w:rsid w:val="118561F8"/>
    <w:rsid w:val="11942D84"/>
    <w:rsid w:val="11B21219"/>
    <w:rsid w:val="11DA73AF"/>
    <w:rsid w:val="11FC1ECD"/>
    <w:rsid w:val="124D097B"/>
    <w:rsid w:val="12511265"/>
    <w:rsid w:val="126D4818"/>
    <w:rsid w:val="1283614B"/>
    <w:rsid w:val="12856FF3"/>
    <w:rsid w:val="129671FB"/>
    <w:rsid w:val="12A576FF"/>
    <w:rsid w:val="12C60D80"/>
    <w:rsid w:val="130523B3"/>
    <w:rsid w:val="131F7A3A"/>
    <w:rsid w:val="132645D0"/>
    <w:rsid w:val="133D4061"/>
    <w:rsid w:val="13455ABC"/>
    <w:rsid w:val="1370322B"/>
    <w:rsid w:val="13BA0460"/>
    <w:rsid w:val="13BB41AE"/>
    <w:rsid w:val="13C24F9B"/>
    <w:rsid w:val="13C45A18"/>
    <w:rsid w:val="13C9247B"/>
    <w:rsid w:val="13D6515C"/>
    <w:rsid w:val="141F1790"/>
    <w:rsid w:val="143B2E0B"/>
    <w:rsid w:val="147C1943"/>
    <w:rsid w:val="148054E9"/>
    <w:rsid w:val="14892735"/>
    <w:rsid w:val="14CC769D"/>
    <w:rsid w:val="14D764D5"/>
    <w:rsid w:val="14EF61BF"/>
    <w:rsid w:val="14F43330"/>
    <w:rsid w:val="150F7FEC"/>
    <w:rsid w:val="15173EA5"/>
    <w:rsid w:val="15436F05"/>
    <w:rsid w:val="15691FE3"/>
    <w:rsid w:val="158B5DDD"/>
    <w:rsid w:val="15B11221"/>
    <w:rsid w:val="15C16EB3"/>
    <w:rsid w:val="15CB76C9"/>
    <w:rsid w:val="15D359D7"/>
    <w:rsid w:val="160E7A2C"/>
    <w:rsid w:val="16317A1A"/>
    <w:rsid w:val="163C77BE"/>
    <w:rsid w:val="164A3F23"/>
    <w:rsid w:val="16573587"/>
    <w:rsid w:val="165C5C7C"/>
    <w:rsid w:val="166F0976"/>
    <w:rsid w:val="1679588C"/>
    <w:rsid w:val="168C2855"/>
    <w:rsid w:val="16994962"/>
    <w:rsid w:val="16A233CF"/>
    <w:rsid w:val="16A71041"/>
    <w:rsid w:val="16AA24BF"/>
    <w:rsid w:val="16C46FE7"/>
    <w:rsid w:val="16F871DC"/>
    <w:rsid w:val="171D3FE1"/>
    <w:rsid w:val="17680CAB"/>
    <w:rsid w:val="176E4128"/>
    <w:rsid w:val="17725CE9"/>
    <w:rsid w:val="1783371F"/>
    <w:rsid w:val="178E48DA"/>
    <w:rsid w:val="17C93012"/>
    <w:rsid w:val="17E62B67"/>
    <w:rsid w:val="180F4499"/>
    <w:rsid w:val="182201B4"/>
    <w:rsid w:val="18221ECE"/>
    <w:rsid w:val="183C3D90"/>
    <w:rsid w:val="18571DDC"/>
    <w:rsid w:val="1859036F"/>
    <w:rsid w:val="18681814"/>
    <w:rsid w:val="18B0649B"/>
    <w:rsid w:val="18D418FC"/>
    <w:rsid w:val="18E5143F"/>
    <w:rsid w:val="18E83469"/>
    <w:rsid w:val="18FC7745"/>
    <w:rsid w:val="19117D89"/>
    <w:rsid w:val="192F3B7C"/>
    <w:rsid w:val="19353F17"/>
    <w:rsid w:val="19575A5F"/>
    <w:rsid w:val="19864975"/>
    <w:rsid w:val="19864EEB"/>
    <w:rsid w:val="19D1065C"/>
    <w:rsid w:val="19DD405E"/>
    <w:rsid w:val="1A460CF5"/>
    <w:rsid w:val="1A7F297D"/>
    <w:rsid w:val="1A9D6244"/>
    <w:rsid w:val="1AB16AC1"/>
    <w:rsid w:val="1ABF1CEA"/>
    <w:rsid w:val="1B014DDE"/>
    <w:rsid w:val="1B0320FB"/>
    <w:rsid w:val="1B034A52"/>
    <w:rsid w:val="1B2640F6"/>
    <w:rsid w:val="1B45344E"/>
    <w:rsid w:val="1B5D76FB"/>
    <w:rsid w:val="1B683578"/>
    <w:rsid w:val="1B8C0040"/>
    <w:rsid w:val="1BDE2F66"/>
    <w:rsid w:val="1C750ECE"/>
    <w:rsid w:val="1CA56AF4"/>
    <w:rsid w:val="1CD667CB"/>
    <w:rsid w:val="1D196139"/>
    <w:rsid w:val="1D372585"/>
    <w:rsid w:val="1D4F0C72"/>
    <w:rsid w:val="1D5E02D1"/>
    <w:rsid w:val="1D7F0ED0"/>
    <w:rsid w:val="1D921938"/>
    <w:rsid w:val="1DBB6100"/>
    <w:rsid w:val="1DBE6816"/>
    <w:rsid w:val="1DCB4FF1"/>
    <w:rsid w:val="1DD50705"/>
    <w:rsid w:val="1DF20D7E"/>
    <w:rsid w:val="1E010AF7"/>
    <w:rsid w:val="1E1C405A"/>
    <w:rsid w:val="1E2E29E0"/>
    <w:rsid w:val="1E301173"/>
    <w:rsid w:val="1E884D18"/>
    <w:rsid w:val="1ED8781E"/>
    <w:rsid w:val="1EDD3235"/>
    <w:rsid w:val="1F1102B0"/>
    <w:rsid w:val="1F2F1047"/>
    <w:rsid w:val="1F2F2B69"/>
    <w:rsid w:val="1F43381C"/>
    <w:rsid w:val="1F781224"/>
    <w:rsid w:val="1F7E7264"/>
    <w:rsid w:val="1FA4148D"/>
    <w:rsid w:val="1FBB4C72"/>
    <w:rsid w:val="1FC10FAB"/>
    <w:rsid w:val="1FC65577"/>
    <w:rsid w:val="1FD82385"/>
    <w:rsid w:val="1FF274ED"/>
    <w:rsid w:val="20121621"/>
    <w:rsid w:val="20147D79"/>
    <w:rsid w:val="201636E2"/>
    <w:rsid w:val="202E3F6D"/>
    <w:rsid w:val="20325F7E"/>
    <w:rsid w:val="204E554F"/>
    <w:rsid w:val="20590035"/>
    <w:rsid w:val="209033C5"/>
    <w:rsid w:val="20E5011E"/>
    <w:rsid w:val="20FC799E"/>
    <w:rsid w:val="21101BAA"/>
    <w:rsid w:val="21286DA7"/>
    <w:rsid w:val="2134683B"/>
    <w:rsid w:val="219068BB"/>
    <w:rsid w:val="21C82E72"/>
    <w:rsid w:val="21DE0801"/>
    <w:rsid w:val="21DE339D"/>
    <w:rsid w:val="22154DDD"/>
    <w:rsid w:val="22336873"/>
    <w:rsid w:val="22396826"/>
    <w:rsid w:val="22412CD8"/>
    <w:rsid w:val="225471A3"/>
    <w:rsid w:val="225E34DC"/>
    <w:rsid w:val="227D1295"/>
    <w:rsid w:val="22AB3B7D"/>
    <w:rsid w:val="22AF3A08"/>
    <w:rsid w:val="22F92F75"/>
    <w:rsid w:val="233F3E93"/>
    <w:rsid w:val="237D6BE6"/>
    <w:rsid w:val="23BB4E7D"/>
    <w:rsid w:val="23C172D6"/>
    <w:rsid w:val="23D77537"/>
    <w:rsid w:val="23D90945"/>
    <w:rsid w:val="23E6195D"/>
    <w:rsid w:val="23F04F64"/>
    <w:rsid w:val="24814CBE"/>
    <w:rsid w:val="24AC168B"/>
    <w:rsid w:val="24BB6664"/>
    <w:rsid w:val="24BD406A"/>
    <w:rsid w:val="24D23A61"/>
    <w:rsid w:val="250E1318"/>
    <w:rsid w:val="25467247"/>
    <w:rsid w:val="254D0389"/>
    <w:rsid w:val="25884C5D"/>
    <w:rsid w:val="258C3BEC"/>
    <w:rsid w:val="25A03144"/>
    <w:rsid w:val="25B2479F"/>
    <w:rsid w:val="25B6176B"/>
    <w:rsid w:val="25C15C5D"/>
    <w:rsid w:val="25D329B9"/>
    <w:rsid w:val="25E5427A"/>
    <w:rsid w:val="26276A31"/>
    <w:rsid w:val="26366F9D"/>
    <w:rsid w:val="263B1230"/>
    <w:rsid w:val="2642752B"/>
    <w:rsid w:val="26485508"/>
    <w:rsid w:val="26554808"/>
    <w:rsid w:val="26607D95"/>
    <w:rsid w:val="26700955"/>
    <w:rsid w:val="26A16AE9"/>
    <w:rsid w:val="26A605D9"/>
    <w:rsid w:val="26AD0500"/>
    <w:rsid w:val="26B121A3"/>
    <w:rsid w:val="272E3097"/>
    <w:rsid w:val="272E6F74"/>
    <w:rsid w:val="277E6655"/>
    <w:rsid w:val="27933DEA"/>
    <w:rsid w:val="27AF30E6"/>
    <w:rsid w:val="27B36A67"/>
    <w:rsid w:val="27BE6794"/>
    <w:rsid w:val="281E404F"/>
    <w:rsid w:val="28302479"/>
    <w:rsid w:val="2846581F"/>
    <w:rsid w:val="284A5CA4"/>
    <w:rsid w:val="286602C8"/>
    <w:rsid w:val="28665C95"/>
    <w:rsid w:val="28716D1C"/>
    <w:rsid w:val="28736F5F"/>
    <w:rsid w:val="28833BE9"/>
    <w:rsid w:val="28851EB4"/>
    <w:rsid w:val="28B01D1E"/>
    <w:rsid w:val="28C2628C"/>
    <w:rsid w:val="28CC3373"/>
    <w:rsid w:val="28F579BA"/>
    <w:rsid w:val="290B3EB9"/>
    <w:rsid w:val="292728C1"/>
    <w:rsid w:val="292C7FA1"/>
    <w:rsid w:val="293D1B18"/>
    <w:rsid w:val="2940493E"/>
    <w:rsid w:val="2950768C"/>
    <w:rsid w:val="297A5FC4"/>
    <w:rsid w:val="29B41DA5"/>
    <w:rsid w:val="29E14657"/>
    <w:rsid w:val="29E474B8"/>
    <w:rsid w:val="29ED574B"/>
    <w:rsid w:val="29FA2D3E"/>
    <w:rsid w:val="29FE5CE6"/>
    <w:rsid w:val="2A600C13"/>
    <w:rsid w:val="2A633B90"/>
    <w:rsid w:val="2A68500A"/>
    <w:rsid w:val="2A743AE8"/>
    <w:rsid w:val="2A8D4F8F"/>
    <w:rsid w:val="2A901BEE"/>
    <w:rsid w:val="2A917B34"/>
    <w:rsid w:val="2A9308A8"/>
    <w:rsid w:val="2A9475FF"/>
    <w:rsid w:val="2A9F5AB8"/>
    <w:rsid w:val="2AAA0AA2"/>
    <w:rsid w:val="2AD74E8C"/>
    <w:rsid w:val="2AE3766F"/>
    <w:rsid w:val="2AEC612E"/>
    <w:rsid w:val="2B0E56AB"/>
    <w:rsid w:val="2B276305"/>
    <w:rsid w:val="2B54704F"/>
    <w:rsid w:val="2B590601"/>
    <w:rsid w:val="2B7E4054"/>
    <w:rsid w:val="2BA45A85"/>
    <w:rsid w:val="2BB12905"/>
    <w:rsid w:val="2BBA6A76"/>
    <w:rsid w:val="2BCC03D1"/>
    <w:rsid w:val="2C0C6D59"/>
    <w:rsid w:val="2C787BAC"/>
    <w:rsid w:val="2C8903AA"/>
    <w:rsid w:val="2C8E776E"/>
    <w:rsid w:val="2C8E7BB8"/>
    <w:rsid w:val="2C987C56"/>
    <w:rsid w:val="2CA156F3"/>
    <w:rsid w:val="2CC11460"/>
    <w:rsid w:val="2CC15BAA"/>
    <w:rsid w:val="2CDC3153"/>
    <w:rsid w:val="2CDF621C"/>
    <w:rsid w:val="2CE136D7"/>
    <w:rsid w:val="2CFE7A11"/>
    <w:rsid w:val="2CFF149A"/>
    <w:rsid w:val="2D1A7553"/>
    <w:rsid w:val="2D201865"/>
    <w:rsid w:val="2D2F67DA"/>
    <w:rsid w:val="2D4B5CEA"/>
    <w:rsid w:val="2D4C5B4C"/>
    <w:rsid w:val="2D4C6B07"/>
    <w:rsid w:val="2D514661"/>
    <w:rsid w:val="2D652658"/>
    <w:rsid w:val="2D964A56"/>
    <w:rsid w:val="2DC16E0A"/>
    <w:rsid w:val="2DC80C49"/>
    <w:rsid w:val="2DCA6355"/>
    <w:rsid w:val="2DD85F0E"/>
    <w:rsid w:val="2E166748"/>
    <w:rsid w:val="2E2054A0"/>
    <w:rsid w:val="2E482374"/>
    <w:rsid w:val="2E556F01"/>
    <w:rsid w:val="2E8345A7"/>
    <w:rsid w:val="2E8E20B4"/>
    <w:rsid w:val="2EAA7BAE"/>
    <w:rsid w:val="2EC0235F"/>
    <w:rsid w:val="2EC1207D"/>
    <w:rsid w:val="2ED06066"/>
    <w:rsid w:val="2ED1223D"/>
    <w:rsid w:val="2F000139"/>
    <w:rsid w:val="2F104C34"/>
    <w:rsid w:val="2F1B303D"/>
    <w:rsid w:val="2F2065E7"/>
    <w:rsid w:val="2F3925CB"/>
    <w:rsid w:val="2F65799D"/>
    <w:rsid w:val="2F9F42DC"/>
    <w:rsid w:val="2FAC3772"/>
    <w:rsid w:val="2FBC2844"/>
    <w:rsid w:val="2FC32F68"/>
    <w:rsid w:val="2FF37AB3"/>
    <w:rsid w:val="30210B8A"/>
    <w:rsid w:val="30224DC7"/>
    <w:rsid w:val="303265F2"/>
    <w:rsid w:val="303B4C3F"/>
    <w:rsid w:val="30476D7A"/>
    <w:rsid w:val="3073310C"/>
    <w:rsid w:val="309D6BE6"/>
    <w:rsid w:val="30AA1790"/>
    <w:rsid w:val="30EE385E"/>
    <w:rsid w:val="30F85AFE"/>
    <w:rsid w:val="31170995"/>
    <w:rsid w:val="31264A30"/>
    <w:rsid w:val="312651F8"/>
    <w:rsid w:val="31884E67"/>
    <w:rsid w:val="31A0275E"/>
    <w:rsid w:val="31A67308"/>
    <w:rsid w:val="31B91526"/>
    <w:rsid w:val="31EF0041"/>
    <w:rsid w:val="320107F5"/>
    <w:rsid w:val="326A0524"/>
    <w:rsid w:val="32986C45"/>
    <w:rsid w:val="32AB70C5"/>
    <w:rsid w:val="33247607"/>
    <w:rsid w:val="33487C23"/>
    <w:rsid w:val="335D0AF5"/>
    <w:rsid w:val="3370088C"/>
    <w:rsid w:val="33735C77"/>
    <w:rsid w:val="339A687B"/>
    <w:rsid w:val="33C14594"/>
    <w:rsid w:val="33DC2F78"/>
    <w:rsid w:val="3428227C"/>
    <w:rsid w:val="343230D5"/>
    <w:rsid w:val="3439428E"/>
    <w:rsid w:val="347918A5"/>
    <w:rsid w:val="34870561"/>
    <w:rsid w:val="349D37D5"/>
    <w:rsid w:val="34A61BDE"/>
    <w:rsid w:val="3522586C"/>
    <w:rsid w:val="35572473"/>
    <w:rsid w:val="35602226"/>
    <w:rsid w:val="356B72E7"/>
    <w:rsid w:val="356D2AC8"/>
    <w:rsid w:val="3572424F"/>
    <w:rsid w:val="35866014"/>
    <w:rsid w:val="359E5CE0"/>
    <w:rsid w:val="362B215D"/>
    <w:rsid w:val="363E0D05"/>
    <w:rsid w:val="367801A9"/>
    <w:rsid w:val="36AD519D"/>
    <w:rsid w:val="36B57705"/>
    <w:rsid w:val="36CB08C5"/>
    <w:rsid w:val="36DC1DD3"/>
    <w:rsid w:val="37090CD6"/>
    <w:rsid w:val="37122320"/>
    <w:rsid w:val="37184CDB"/>
    <w:rsid w:val="372F6E95"/>
    <w:rsid w:val="373E6129"/>
    <w:rsid w:val="3754697A"/>
    <w:rsid w:val="37636A21"/>
    <w:rsid w:val="37883E50"/>
    <w:rsid w:val="37A103ED"/>
    <w:rsid w:val="37A367C3"/>
    <w:rsid w:val="37BD33EE"/>
    <w:rsid w:val="37C24FF3"/>
    <w:rsid w:val="37E02B23"/>
    <w:rsid w:val="37E345A6"/>
    <w:rsid w:val="37EA5E6E"/>
    <w:rsid w:val="37FF016F"/>
    <w:rsid w:val="38145A1C"/>
    <w:rsid w:val="382A6E2D"/>
    <w:rsid w:val="38534B1D"/>
    <w:rsid w:val="386E4145"/>
    <w:rsid w:val="387C5ABE"/>
    <w:rsid w:val="38B66D0C"/>
    <w:rsid w:val="38EB6119"/>
    <w:rsid w:val="38ED3021"/>
    <w:rsid w:val="38F9481E"/>
    <w:rsid w:val="392D500E"/>
    <w:rsid w:val="396678D9"/>
    <w:rsid w:val="39736669"/>
    <w:rsid w:val="397A0ADB"/>
    <w:rsid w:val="39954B2B"/>
    <w:rsid w:val="39DA2245"/>
    <w:rsid w:val="39E66E3B"/>
    <w:rsid w:val="39FD4CC2"/>
    <w:rsid w:val="3A51228C"/>
    <w:rsid w:val="3A545E48"/>
    <w:rsid w:val="3A552E60"/>
    <w:rsid w:val="3A5D642F"/>
    <w:rsid w:val="3A744447"/>
    <w:rsid w:val="3A78219D"/>
    <w:rsid w:val="3A995C5C"/>
    <w:rsid w:val="3AB210FC"/>
    <w:rsid w:val="3B043A1D"/>
    <w:rsid w:val="3B212C76"/>
    <w:rsid w:val="3B793A48"/>
    <w:rsid w:val="3B85393E"/>
    <w:rsid w:val="3BA72C58"/>
    <w:rsid w:val="3BCA4B8A"/>
    <w:rsid w:val="3BCB18C9"/>
    <w:rsid w:val="3BCD72F7"/>
    <w:rsid w:val="3BF4153E"/>
    <w:rsid w:val="3C37146A"/>
    <w:rsid w:val="3C3D3625"/>
    <w:rsid w:val="3C414142"/>
    <w:rsid w:val="3C5B725E"/>
    <w:rsid w:val="3C88055A"/>
    <w:rsid w:val="3CAF79B9"/>
    <w:rsid w:val="3CB35097"/>
    <w:rsid w:val="3CF737A2"/>
    <w:rsid w:val="3D10295A"/>
    <w:rsid w:val="3D121631"/>
    <w:rsid w:val="3D184041"/>
    <w:rsid w:val="3D370C2A"/>
    <w:rsid w:val="3D414FC0"/>
    <w:rsid w:val="3D7D049C"/>
    <w:rsid w:val="3DC4250E"/>
    <w:rsid w:val="3DE20EAE"/>
    <w:rsid w:val="3DEF3701"/>
    <w:rsid w:val="3E0572FD"/>
    <w:rsid w:val="3E0720FE"/>
    <w:rsid w:val="3E2819F6"/>
    <w:rsid w:val="3E287A22"/>
    <w:rsid w:val="3E5A7FE7"/>
    <w:rsid w:val="3E87574C"/>
    <w:rsid w:val="3E955A6A"/>
    <w:rsid w:val="3E964D81"/>
    <w:rsid w:val="3EEF6FFF"/>
    <w:rsid w:val="3EF66B2E"/>
    <w:rsid w:val="3F217914"/>
    <w:rsid w:val="3F5D44A8"/>
    <w:rsid w:val="3F7137B6"/>
    <w:rsid w:val="3FD70BB0"/>
    <w:rsid w:val="3FF1740C"/>
    <w:rsid w:val="3FF542A0"/>
    <w:rsid w:val="3FFB55AC"/>
    <w:rsid w:val="40017152"/>
    <w:rsid w:val="400A057C"/>
    <w:rsid w:val="401C5F9D"/>
    <w:rsid w:val="401C690C"/>
    <w:rsid w:val="401D7195"/>
    <w:rsid w:val="402D6138"/>
    <w:rsid w:val="405C1C05"/>
    <w:rsid w:val="407A652F"/>
    <w:rsid w:val="40825D97"/>
    <w:rsid w:val="409928E7"/>
    <w:rsid w:val="40997CFE"/>
    <w:rsid w:val="409C35A8"/>
    <w:rsid w:val="40A06CB8"/>
    <w:rsid w:val="40C45B55"/>
    <w:rsid w:val="40CA32F7"/>
    <w:rsid w:val="40CE3DC0"/>
    <w:rsid w:val="40D7455A"/>
    <w:rsid w:val="40E743E5"/>
    <w:rsid w:val="40EB4012"/>
    <w:rsid w:val="410A1661"/>
    <w:rsid w:val="41246142"/>
    <w:rsid w:val="412D35A2"/>
    <w:rsid w:val="412D5EA0"/>
    <w:rsid w:val="416D78C7"/>
    <w:rsid w:val="41734CBA"/>
    <w:rsid w:val="417F4E1A"/>
    <w:rsid w:val="41A82190"/>
    <w:rsid w:val="41DE5999"/>
    <w:rsid w:val="41E1181A"/>
    <w:rsid w:val="41E32A20"/>
    <w:rsid w:val="41FA3241"/>
    <w:rsid w:val="420F7A65"/>
    <w:rsid w:val="4216611A"/>
    <w:rsid w:val="423E300F"/>
    <w:rsid w:val="425656C8"/>
    <w:rsid w:val="4257273C"/>
    <w:rsid w:val="425C67F4"/>
    <w:rsid w:val="42687ACE"/>
    <w:rsid w:val="4285733F"/>
    <w:rsid w:val="429E6041"/>
    <w:rsid w:val="42BF4B02"/>
    <w:rsid w:val="42C25178"/>
    <w:rsid w:val="42C84B75"/>
    <w:rsid w:val="42FD694D"/>
    <w:rsid w:val="43525542"/>
    <w:rsid w:val="437D6687"/>
    <w:rsid w:val="438351F5"/>
    <w:rsid w:val="438D35EA"/>
    <w:rsid w:val="43BC1E57"/>
    <w:rsid w:val="43D23F8D"/>
    <w:rsid w:val="43D43F1D"/>
    <w:rsid w:val="43FA5777"/>
    <w:rsid w:val="44023422"/>
    <w:rsid w:val="44184A2D"/>
    <w:rsid w:val="441C1611"/>
    <w:rsid w:val="443C440B"/>
    <w:rsid w:val="44506DE3"/>
    <w:rsid w:val="44514F52"/>
    <w:rsid w:val="44761C8F"/>
    <w:rsid w:val="44814860"/>
    <w:rsid w:val="449722E3"/>
    <w:rsid w:val="449D7B09"/>
    <w:rsid w:val="44AE3FD4"/>
    <w:rsid w:val="44D0586F"/>
    <w:rsid w:val="44FA2D53"/>
    <w:rsid w:val="4504751B"/>
    <w:rsid w:val="453C4912"/>
    <w:rsid w:val="45627191"/>
    <w:rsid w:val="45687813"/>
    <w:rsid w:val="456E7B7D"/>
    <w:rsid w:val="4571374F"/>
    <w:rsid w:val="458B1BB0"/>
    <w:rsid w:val="45AD31D6"/>
    <w:rsid w:val="45B93426"/>
    <w:rsid w:val="46302475"/>
    <w:rsid w:val="464C6420"/>
    <w:rsid w:val="46552F9B"/>
    <w:rsid w:val="467A0297"/>
    <w:rsid w:val="468B7125"/>
    <w:rsid w:val="46B506EF"/>
    <w:rsid w:val="46BC1F6E"/>
    <w:rsid w:val="46C4691F"/>
    <w:rsid w:val="46CB53EF"/>
    <w:rsid w:val="46CE645F"/>
    <w:rsid w:val="470F5A71"/>
    <w:rsid w:val="47685427"/>
    <w:rsid w:val="4779499C"/>
    <w:rsid w:val="479C6284"/>
    <w:rsid w:val="479D1D34"/>
    <w:rsid w:val="47B609C0"/>
    <w:rsid w:val="47EC3B04"/>
    <w:rsid w:val="47EC6277"/>
    <w:rsid w:val="481A219B"/>
    <w:rsid w:val="482D31EA"/>
    <w:rsid w:val="48594C7C"/>
    <w:rsid w:val="485970A0"/>
    <w:rsid w:val="48667F79"/>
    <w:rsid w:val="486A6E89"/>
    <w:rsid w:val="48702E73"/>
    <w:rsid w:val="48823516"/>
    <w:rsid w:val="48877686"/>
    <w:rsid w:val="48B176C2"/>
    <w:rsid w:val="48B65C71"/>
    <w:rsid w:val="48FB1909"/>
    <w:rsid w:val="491574F4"/>
    <w:rsid w:val="491F266E"/>
    <w:rsid w:val="492E6A57"/>
    <w:rsid w:val="49573403"/>
    <w:rsid w:val="495839AA"/>
    <w:rsid w:val="49771AFE"/>
    <w:rsid w:val="49802948"/>
    <w:rsid w:val="4986089F"/>
    <w:rsid w:val="498B5309"/>
    <w:rsid w:val="499E6DEB"/>
    <w:rsid w:val="499F0AAB"/>
    <w:rsid w:val="49C33FF5"/>
    <w:rsid w:val="49C63D13"/>
    <w:rsid w:val="49DB11EC"/>
    <w:rsid w:val="49E22068"/>
    <w:rsid w:val="49E31DD1"/>
    <w:rsid w:val="49E64E2B"/>
    <w:rsid w:val="49E82ED4"/>
    <w:rsid w:val="4A0030EE"/>
    <w:rsid w:val="4A0568D6"/>
    <w:rsid w:val="4A0C4F3C"/>
    <w:rsid w:val="4A484D41"/>
    <w:rsid w:val="4A6D15F8"/>
    <w:rsid w:val="4A7B68F8"/>
    <w:rsid w:val="4A8C4FB8"/>
    <w:rsid w:val="4A9A25BD"/>
    <w:rsid w:val="4A9E0551"/>
    <w:rsid w:val="4AA03D78"/>
    <w:rsid w:val="4AAB17DF"/>
    <w:rsid w:val="4AB542AE"/>
    <w:rsid w:val="4ABA7AB3"/>
    <w:rsid w:val="4AF72FEA"/>
    <w:rsid w:val="4B243D9D"/>
    <w:rsid w:val="4B5B54F0"/>
    <w:rsid w:val="4B645524"/>
    <w:rsid w:val="4B8C2DEB"/>
    <w:rsid w:val="4BC423D3"/>
    <w:rsid w:val="4BFA3C9F"/>
    <w:rsid w:val="4C042674"/>
    <w:rsid w:val="4C107F48"/>
    <w:rsid w:val="4C3277BC"/>
    <w:rsid w:val="4C5C442D"/>
    <w:rsid w:val="4C6D42A9"/>
    <w:rsid w:val="4C716A38"/>
    <w:rsid w:val="4CC0351C"/>
    <w:rsid w:val="4CC353EB"/>
    <w:rsid w:val="4CE64E14"/>
    <w:rsid w:val="4CF36F3C"/>
    <w:rsid w:val="4D00189F"/>
    <w:rsid w:val="4D007BC8"/>
    <w:rsid w:val="4D1470BD"/>
    <w:rsid w:val="4D154882"/>
    <w:rsid w:val="4D1C3C50"/>
    <w:rsid w:val="4D3A75E7"/>
    <w:rsid w:val="4D603399"/>
    <w:rsid w:val="4D6A7284"/>
    <w:rsid w:val="4D867EE1"/>
    <w:rsid w:val="4DB07591"/>
    <w:rsid w:val="4DBC4C65"/>
    <w:rsid w:val="4DE2009B"/>
    <w:rsid w:val="4E0F235E"/>
    <w:rsid w:val="4E157689"/>
    <w:rsid w:val="4E533FA5"/>
    <w:rsid w:val="4E550010"/>
    <w:rsid w:val="4E5964E9"/>
    <w:rsid w:val="4E5F14CB"/>
    <w:rsid w:val="4E6808B0"/>
    <w:rsid w:val="4EC00DDD"/>
    <w:rsid w:val="4EE334F2"/>
    <w:rsid w:val="4EF265BE"/>
    <w:rsid w:val="4EFB1C45"/>
    <w:rsid w:val="4F0C2A48"/>
    <w:rsid w:val="4F26273B"/>
    <w:rsid w:val="4F2D3A8A"/>
    <w:rsid w:val="4F32478A"/>
    <w:rsid w:val="4F3705F8"/>
    <w:rsid w:val="4F785B69"/>
    <w:rsid w:val="4F9714A0"/>
    <w:rsid w:val="4FAC3540"/>
    <w:rsid w:val="4FC56ABD"/>
    <w:rsid w:val="4FC97CE0"/>
    <w:rsid w:val="4FCF1583"/>
    <w:rsid w:val="4FD23E66"/>
    <w:rsid w:val="4FD44D1B"/>
    <w:rsid w:val="4FDC066D"/>
    <w:rsid w:val="4FFA7625"/>
    <w:rsid w:val="50453E7E"/>
    <w:rsid w:val="50485BA4"/>
    <w:rsid w:val="507D2599"/>
    <w:rsid w:val="508F08E7"/>
    <w:rsid w:val="5096229D"/>
    <w:rsid w:val="509E157D"/>
    <w:rsid w:val="50DA3350"/>
    <w:rsid w:val="50DC4184"/>
    <w:rsid w:val="50FB6146"/>
    <w:rsid w:val="512F4CA0"/>
    <w:rsid w:val="51323DB9"/>
    <w:rsid w:val="51361FFF"/>
    <w:rsid w:val="513723D1"/>
    <w:rsid w:val="514C3EA7"/>
    <w:rsid w:val="51551AFE"/>
    <w:rsid w:val="51FF3C99"/>
    <w:rsid w:val="52363D4D"/>
    <w:rsid w:val="52521A20"/>
    <w:rsid w:val="52AC4ABC"/>
    <w:rsid w:val="52C201B9"/>
    <w:rsid w:val="52E57A12"/>
    <w:rsid w:val="52F20B62"/>
    <w:rsid w:val="538152F3"/>
    <w:rsid w:val="53827E49"/>
    <w:rsid w:val="538A6BB9"/>
    <w:rsid w:val="539964FD"/>
    <w:rsid w:val="539C1B81"/>
    <w:rsid w:val="53A447B1"/>
    <w:rsid w:val="53AE750F"/>
    <w:rsid w:val="53D00C67"/>
    <w:rsid w:val="53D224B3"/>
    <w:rsid w:val="53DF06D8"/>
    <w:rsid w:val="53F81D96"/>
    <w:rsid w:val="544B5214"/>
    <w:rsid w:val="546B0405"/>
    <w:rsid w:val="5471550F"/>
    <w:rsid w:val="549A6BFA"/>
    <w:rsid w:val="54B36A7C"/>
    <w:rsid w:val="54D933CD"/>
    <w:rsid w:val="55244D7F"/>
    <w:rsid w:val="55362287"/>
    <w:rsid w:val="55432F3C"/>
    <w:rsid w:val="555016D2"/>
    <w:rsid w:val="556D2820"/>
    <w:rsid w:val="557518D3"/>
    <w:rsid w:val="55C3227E"/>
    <w:rsid w:val="55FA2961"/>
    <w:rsid w:val="5602250F"/>
    <w:rsid w:val="560E5EA5"/>
    <w:rsid w:val="564220BA"/>
    <w:rsid w:val="565E7F4F"/>
    <w:rsid w:val="565F3DA6"/>
    <w:rsid w:val="56914056"/>
    <w:rsid w:val="56C36589"/>
    <w:rsid w:val="570D55B0"/>
    <w:rsid w:val="57293C95"/>
    <w:rsid w:val="572A6381"/>
    <w:rsid w:val="572B41B4"/>
    <w:rsid w:val="572E079D"/>
    <w:rsid w:val="57365868"/>
    <w:rsid w:val="573C1959"/>
    <w:rsid w:val="57F12ED6"/>
    <w:rsid w:val="57F65317"/>
    <w:rsid w:val="57FC2169"/>
    <w:rsid w:val="58024015"/>
    <w:rsid w:val="58096275"/>
    <w:rsid w:val="5819544F"/>
    <w:rsid w:val="582E6EF7"/>
    <w:rsid w:val="584E30E6"/>
    <w:rsid w:val="58546EFD"/>
    <w:rsid w:val="58E26731"/>
    <w:rsid w:val="590E4A97"/>
    <w:rsid w:val="591250FF"/>
    <w:rsid w:val="5920012C"/>
    <w:rsid w:val="592B1244"/>
    <w:rsid w:val="594714AD"/>
    <w:rsid w:val="595578DE"/>
    <w:rsid w:val="597B384D"/>
    <w:rsid w:val="59996DA8"/>
    <w:rsid w:val="599C05DE"/>
    <w:rsid w:val="59C30F1B"/>
    <w:rsid w:val="5A8C20D0"/>
    <w:rsid w:val="5ABB2F4D"/>
    <w:rsid w:val="5AC7121C"/>
    <w:rsid w:val="5AD90B8D"/>
    <w:rsid w:val="5AE12927"/>
    <w:rsid w:val="5AE35472"/>
    <w:rsid w:val="5AF41CF3"/>
    <w:rsid w:val="5AF87CC9"/>
    <w:rsid w:val="5B19477F"/>
    <w:rsid w:val="5B4E1A44"/>
    <w:rsid w:val="5B774ED6"/>
    <w:rsid w:val="5B873201"/>
    <w:rsid w:val="5B967767"/>
    <w:rsid w:val="5B9D1624"/>
    <w:rsid w:val="5C0C2FF6"/>
    <w:rsid w:val="5C1241CC"/>
    <w:rsid w:val="5C286807"/>
    <w:rsid w:val="5C370E72"/>
    <w:rsid w:val="5C406234"/>
    <w:rsid w:val="5C446BC8"/>
    <w:rsid w:val="5C4529E1"/>
    <w:rsid w:val="5C4B56E1"/>
    <w:rsid w:val="5C5048CA"/>
    <w:rsid w:val="5C7146B1"/>
    <w:rsid w:val="5C7C2768"/>
    <w:rsid w:val="5CB23AE6"/>
    <w:rsid w:val="5CDC0A42"/>
    <w:rsid w:val="5CED5863"/>
    <w:rsid w:val="5D0D6DF5"/>
    <w:rsid w:val="5D580A8A"/>
    <w:rsid w:val="5D893B14"/>
    <w:rsid w:val="5DB42C29"/>
    <w:rsid w:val="5E291636"/>
    <w:rsid w:val="5E6F64A1"/>
    <w:rsid w:val="5E7E7421"/>
    <w:rsid w:val="5E8B0770"/>
    <w:rsid w:val="5EA06921"/>
    <w:rsid w:val="5EA902B4"/>
    <w:rsid w:val="5EBA259F"/>
    <w:rsid w:val="5EE97BB4"/>
    <w:rsid w:val="5F085DDA"/>
    <w:rsid w:val="5F2E2D52"/>
    <w:rsid w:val="5F54198B"/>
    <w:rsid w:val="5F546D2C"/>
    <w:rsid w:val="5F9D1350"/>
    <w:rsid w:val="5FBE370A"/>
    <w:rsid w:val="5FC83407"/>
    <w:rsid w:val="5FD56E87"/>
    <w:rsid w:val="5FF0558C"/>
    <w:rsid w:val="60104EC3"/>
    <w:rsid w:val="601A27F4"/>
    <w:rsid w:val="60292845"/>
    <w:rsid w:val="605238CF"/>
    <w:rsid w:val="6053694F"/>
    <w:rsid w:val="607921FE"/>
    <w:rsid w:val="608F62AE"/>
    <w:rsid w:val="60B9251B"/>
    <w:rsid w:val="60E236C1"/>
    <w:rsid w:val="611911B1"/>
    <w:rsid w:val="61260B6B"/>
    <w:rsid w:val="612B3ABB"/>
    <w:rsid w:val="612E1A5D"/>
    <w:rsid w:val="614E5D7E"/>
    <w:rsid w:val="61560892"/>
    <w:rsid w:val="61770BF8"/>
    <w:rsid w:val="61816046"/>
    <w:rsid w:val="61C81AB1"/>
    <w:rsid w:val="61D417B9"/>
    <w:rsid w:val="620B0059"/>
    <w:rsid w:val="62391564"/>
    <w:rsid w:val="623F0B7F"/>
    <w:rsid w:val="624A22BE"/>
    <w:rsid w:val="624B14EC"/>
    <w:rsid w:val="626E235A"/>
    <w:rsid w:val="626F60D5"/>
    <w:rsid w:val="62816669"/>
    <w:rsid w:val="6282086D"/>
    <w:rsid w:val="62B36CD7"/>
    <w:rsid w:val="62BA0953"/>
    <w:rsid w:val="62D03A7C"/>
    <w:rsid w:val="62F42FAE"/>
    <w:rsid w:val="62F648FE"/>
    <w:rsid w:val="63167A4F"/>
    <w:rsid w:val="631D2BD6"/>
    <w:rsid w:val="635356F3"/>
    <w:rsid w:val="635D6064"/>
    <w:rsid w:val="637D5B70"/>
    <w:rsid w:val="63825E77"/>
    <w:rsid w:val="63A10995"/>
    <w:rsid w:val="63C23EFA"/>
    <w:rsid w:val="63D255DA"/>
    <w:rsid w:val="64076B79"/>
    <w:rsid w:val="640B7654"/>
    <w:rsid w:val="643A070A"/>
    <w:rsid w:val="64402337"/>
    <w:rsid w:val="64410A96"/>
    <w:rsid w:val="644C573D"/>
    <w:rsid w:val="64507EFB"/>
    <w:rsid w:val="64B97A50"/>
    <w:rsid w:val="65032F85"/>
    <w:rsid w:val="651304A7"/>
    <w:rsid w:val="65136B50"/>
    <w:rsid w:val="657E2A35"/>
    <w:rsid w:val="659A54CF"/>
    <w:rsid w:val="65A94E9D"/>
    <w:rsid w:val="65B96B3F"/>
    <w:rsid w:val="65BE1071"/>
    <w:rsid w:val="65C60A92"/>
    <w:rsid w:val="65D35142"/>
    <w:rsid w:val="660451CE"/>
    <w:rsid w:val="660B02F6"/>
    <w:rsid w:val="665346B7"/>
    <w:rsid w:val="66705A4E"/>
    <w:rsid w:val="667C7CCE"/>
    <w:rsid w:val="669C56BF"/>
    <w:rsid w:val="66A12460"/>
    <w:rsid w:val="66A20C1E"/>
    <w:rsid w:val="66BE2423"/>
    <w:rsid w:val="66DD6702"/>
    <w:rsid w:val="67002B7E"/>
    <w:rsid w:val="670A7BB2"/>
    <w:rsid w:val="671B1623"/>
    <w:rsid w:val="671E6EBA"/>
    <w:rsid w:val="672C0ACD"/>
    <w:rsid w:val="675352AA"/>
    <w:rsid w:val="6759400B"/>
    <w:rsid w:val="675E528D"/>
    <w:rsid w:val="676C598C"/>
    <w:rsid w:val="67966EFB"/>
    <w:rsid w:val="679E7FA1"/>
    <w:rsid w:val="67A32389"/>
    <w:rsid w:val="67B768D0"/>
    <w:rsid w:val="67C779FD"/>
    <w:rsid w:val="682A2352"/>
    <w:rsid w:val="682E7AFD"/>
    <w:rsid w:val="68707071"/>
    <w:rsid w:val="687A4379"/>
    <w:rsid w:val="687B015C"/>
    <w:rsid w:val="687E3889"/>
    <w:rsid w:val="6884222C"/>
    <w:rsid w:val="68AD17BB"/>
    <w:rsid w:val="68D94D22"/>
    <w:rsid w:val="692B2E4A"/>
    <w:rsid w:val="69430AFA"/>
    <w:rsid w:val="696A0B34"/>
    <w:rsid w:val="69821807"/>
    <w:rsid w:val="698D6A17"/>
    <w:rsid w:val="69D17180"/>
    <w:rsid w:val="69D37590"/>
    <w:rsid w:val="69F954C1"/>
    <w:rsid w:val="69FA2750"/>
    <w:rsid w:val="6A1E1E73"/>
    <w:rsid w:val="6A2031B6"/>
    <w:rsid w:val="6A26299B"/>
    <w:rsid w:val="6A276275"/>
    <w:rsid w:val="6A2F57D7"/>
    <w:rsid w:val="6A3C1D40"/>
    <w:rsid w:val="6A6432E1"/>
    <w:rsid w:val="6A6A5005"/>
    <w:rsid w:val="6A8D5833"/>
    <w:rsid w:val="6AA23DFF"/>
    <w:rsid w:val="6AC61F6F"/>
    <w:rsid w:val="6ACE0C4B"/>
    <w:rsid w:val="6AD34E53"/>
    <w:rsid w:val="6AD83EA1"/>
    <w:rsid w:val="6ADE74F0"/>
    <w:rsid w:val="6B1D62E8"/>
    <w:rsid w:val="6B723594"/>
    <w:rsid w:val="6B805156"/>
    <w:rsid w:val="6B945E48"/>
    <w:rsid w:val="6BD50977"/>
    <w:rsid w:val="6BDE266C"/>
    <w:rsid w:val="6BE450D3"/>
    <w:rsid w:val="6BE60C84"/>
    <w:rsid w:val="6C587C0E"/>
    <w:rsid w:val="6C6C32E1"/>
    <w:rsid w:val="6C6E3E15"/>
    <w:rsid w:val="6C8B1F5D"/>
    <w:rsid w:val="6CAA3931"/>
    <w:rsid w:val="6CCF3BFB"/>
    <w:rsid w:val="6D325918"/>
    <w:rsid w:val="6D370B82"/>
    <w:rsid w:val="6D3933CA"/>
    <w:rsid w:val="6D6261FE"/>
    <w:rsid w:val="6D7B61EC"/>
    <w:rsid w:val="6D8E03AA"/>
    <w:rsid w:val="6DBB089F"/>
    <w:rsid w:val="6DC63038"/>
    <w:rsid w:val="6DCD5126"/>
    <w:rsid w:val="6DE30DE0"/>
    <w:rsid w:val="6DE6130A"/>
    <w:rsid w:val="6DE839B9"/>
    <w:rsid w:val="6E09491E"/>
    <w:rsid w:val="6E0D3655"/>
    <w:rsid w:val="6E1A437E"/>
    <w:rsid w:val="6E3A144E"/>
    <w:rsid w:val="6E5F4465"/>
    <w:rsid w:val="6E8B1663"/>
    <w:rsid w:val="6E8C54DA"/>
    <w:rsid w:val="6EF11E03"/>
    <w:rsid w:val="6EF1241D"/>
    <w:rsid w:val="6EF82916"/>
    <w:rsid w:val="6F0B2DE7"/>
    <w:rsid w:val="6F111C62"/>
    <w:rsid w:val="6F2176E5"/>
    <w:rsid w:val="6F2D79CC"/>
    <w:rsid w:val="6F3A2A5F"/>
    <w:rsid w:val="6F4F7F03"/>
    <w:rsid w:val="6F592303"/>
    <w:rsid w:val="6F5F5B74"/>
    <w:rsid w:val="6F98032D"/>
    <w:rsid w:val="6F9B1C65"/>
    <w:rsid w:val="6FA44937"/>
    <w:rsid w:val="6FA55CBE"/>
    <w:rsid w:val="6FE82C9C"/>
    <w:rsid w:val="6FFB146E"/>
    <w:rsid w:val="6FFC3AA6"/>
    <w:rsid w:val="70160742"/>
    <w:rsid w:val="7030610F"/>
    <w:rsid w:val="70612DB4"/>
    <w:rsid w:val="706516C3"/>
    <w:rsid w:val="70896E68"/>
    <w:rsid w:val="708A4844"/>
    <w:rsid w:val="70E05E9D"/>
    <w:rsid w:val="71073061"/>
    <w:rsid w:val="711A201F"/>
    <w:rsid w:val="71396ACC"/>
    <w:rsid w:val="715B60E9"/>
    <w:rsid w:val="716F0EE9"/>
    <w:rsid w:val="7196674D"/>
    <w:rsid w:val="71CD6D08"/>
    <w:rsid w:val="71EA1FED"/>
    <w:rsid w:val="72165C6B"/>
    <w:rsid w:val="721B7CB5"/>
    <w:rsid w:val="722021E3"/>
    <w:rsid w:val="722C6DDA"/>
    <w:rsid w:val="72345748"/>
    <w:rsid w:val="72E661B1"/>
    <w:rsid w:val="72F90C18"/>
    <w:rsid w:val="730313F6"/>
    <w:rsid w:val="730E4732"/>
    <w:rsid w:val="731D298F"/>
    <w:rsid w:val="732A6AD8"/>
    <w:rsid w:val="73356CD8"/>
    <w:rsid w:val="73370D24"/>
    <w:rsid w:val="73472C84"/>
    <w:rsid w:val="7359268C"/>
    <w:rsid w:val="7366631C"/>
    <w:rsid w:val="736C263C"/>
    <w:rsid w:val="73723640"/>
    <w:rsid w:val="737311F5"/>
    <w:rsid w:val="73761585"/>
    <w:rsid w:val="739503EB"/>
    <w:rsid w:val="73A05B28"/>
    <w:rsid w:val="73C07D69"/>
    <w:rsid w:val="73DC335B"/>
    <w:rsid w:val="740B60EC"/>
    <w:rsid w:val="74717AE5"/>
    <w:rsid w:val="749E16A8"/>
    <w:rsid w:val="74B42AE4"/>
    <w:rsid w:val="74C54993"/>
    <w:rsid w:val="750A429D"/>
    <w:rsid w:val="75474B47"/>
    <w:rsid w:val="75614792"/>
    <w:rsid w:val="75761866"/>
    <w:rsid w:val="75784473"/>
    <w:rsid w:val="7582466D"/>
    <w:rsid w:val="75B161B3"/>
    <w:rsid w:val="75C055BD"/>
    <w:rsid w:val="75C46B63"/>
    <w:rsid w:val="75C97972"/>
    <w:rsid w:val="75DC6C44"/>
    <w:rsid w:val="75EC4C75"/>
    <w:rsid w:val="762770AC"/>
    <w:rsid w:val="762F6A19"/>
    <w:rsid w:val="76341B33"/>
    <w:rsid w:val="76736B32"/>
    <w:rsid w:val="768811B6"/>
    <w:rsid w:val="76AF35EE"/>
    <w:rsid w:val="76C27A74"/>
    <w:rsid w:val="76E3765E"/>
    <w:rsid w:val="76FC2AFA"/>
    <w:rsid w:val="77527424"/>
    <w:rsid w:val="77653671"/>
    <w:rsid w:val="778546CC"/>
    <w:rsid w:val="778B6B46"/>
    <w:rsid w:val="77A96931"/>
    <w:rsid w:val="77B105D5"/>
    <w:rsid w:val="77B551B3"/>
    <w:rsid w:val="77B56730"/>
    <w:rsid w:val="77B92EBE"/>
    <w:rsid w:val="77BF1E80"/>
    <w:rsid w:val="77C04A8B"/>
    <w:rsid w:val="77D85DB3"/>
    <w:rsid w:val="77EB1B74"/>
    <w:rsid w:val="782A3EA3"/>
    <w:rsid w:val="78A50513"/>
    <w:rsid w:val="78D37FAF"/>
    <w:rsid w:val="78EF7AB5"/>
    <w:rsid w:val="790A4A06"/>
    <w:rsid w:val="790D6849"/>
    <w:rsid w:val="79252148"/>
    <w:rsid w:val="795767E3"/>
    <w:rsid w:val="79586707"/>
    <w:rsid w:val="796518DD"/>
    <w:rsid w:val="79724BEF"/>
    <w:rsid w:val="797264AC"/>
    <w:rsid w:val="799008E5"/>
    <w:rsid w:val="79975629"/>
    <w:rsid w:val="79AA0532"/>
    <w:rsid w:val="79AB2CDA"/>
    <w:rsid w:val="79C370A4"/>
    <w:rsid w:val="79FE1DDD"/>
    <w:rsid w:val="7A075767"/>
    <w:rsid w:val="7A0C15B3"/>
    <w:rsid w:val="7A212062"/>
    <w:rsid w:val="7A2522C9"/>
    <w:rsid w:val="7A282A11"/>
    <w:rsid w:val="7A3A59B8"/>
    <w:rsid w:val="7A5D0F75"/>
    <w:rsid w:val="7A715CD2"/>
    <w:rsid w:val="7A7B5FCD"/>
    <w:rsid w:val="7A921E9A"/>
    <w:rsid w:val="7ABF2475"/>
    <w:rsid w:val="7AC21562"/>
    <w:rsid w:val="7AD474A4"/>
    <w:rsid w:val="7AF55544"/>
    <w:rsid w:val="7AFC38DE"/>
    <w:rsid w:val="7B165244"/>
    <w:rsid w:val="7B217A1E"/>
    <w:rsid w:val="7B2965AD"/>
    <w:rsid w:val="7B303E8C"/>
    <w:rsid w:val="7B39121D"/>
    <w:rsid w:val="7B865D50"/>
    <w:rsid w:val="7B87547C"/>
    <w:rsid w:val="7B8D34C3"/>
    <w:rsid w:val="7B971D84"/>
    <w:rsid w:val="7BAB0CB7"/>
    <w:rsid w:val="7BB4028F"/>
    <w:rsid w:val="7BE85BAB"/>
    <w:rsid w:val="7BF32F03"/>
    <w:rsid w:val="7BF50D2C"/>
    <w:rsid w:val="7C066F4E"/>
    <w:rsid w:val="7C1724A5"/>
    <w:rsid w:val="7C910BBC"/>
    <w:rsid w:val="7CA54112"/>
    <w:rsid w:val="7CA553D9"/>
    <w:rsid w:val="7CAB27F5"/>
    <w:rsid w:val="7CAF438A"/>
    <w:rsid w:val="7CCE726D"/>
    <w:rsid w:val="7CD71EA3"/>
    <w:rsid w:val="7CE50CE4"/>
    <w:rsid w:val="7CF877E9"/>
    <w:rsid w:val="7D134762"/>
    <w:rsid w:val="7D2E5ABF"/>
    <w:rsid w:val="7D4A45B8"/>
    <w:rsid w:val="7DDB38C8"/>
    <w:rsid w:val="7E007625"/>
    <w:rsid w:val="7E0737C8"/>
    <w:rsid w:val="7E131C51"/>
    <w:rsid w:val="7E176B90"/>
    <w:rsid w:val="7E2142A2"/>
    <w:rsid w:val="7E240411"/>
    <w:rsid w:val="7E6A046F"/>
    <w:rsid w:val="7E797DE5"/>
    <w:rsid w:val="7E7B0BF2"/>
    <w:rsid w:val="7E7C3DDC"/>
    <w:rsid w:val="7E8D75B6"/>
    <w:rsid w:val="7E8E672B"/>
    <w:rsid w:val="7EC31B30"/>
    <w:rsid w:val="7EF760EE"/>
    <w:rsid w:val="7F193E37"/>
    <w:rsid w:val="7F2536B5"/>
    <w:rsid w:val="7F485E64"/>
    <w:rsid w:val="7F5A01CA"/>
    <w:rsid w:val="7FA01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ahoma" w:hAnsi="Tahoma" w:eastAsia="宋体" w:cstheme="minorBidi"/>
      <w:sz w:val="21"/>
      <w:szCs w:val="22"/>
      <w:lang w:val="en-US" w:eastAsia="zh-CN" w:bidi="ar-SA"/>
    </w:rPr>
  </w:style>
  <w:style w:type="paragraph" w:styleId="2">
    <w:name w:val="heading 1"/>
    <w:basedOn w:val="1"/>
    <w:next w:val="1"/>
    <w:link w:val="71"/>
    <w:qFormat/>
    <w:uiPriority w:val="9"/>
    <w:pPr>
      <w:keepNext/>
      <w:keepLines/>
      <w:spacing w:before="340" w:after="330" w:line="576" w:lineRule="auto"/>
      <w:outlineLvl w:val="0"/>
    </w:pPr>
    <w:rPr>
      <w:b/>
      <w:kern w:val="44"/>
      <w:sz w:val="44"/>
    </w:rPr>
  </w:style>
  <w:style w:type="paragraph" w:styleId="3">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outlineLvl w:val="3"/>
    </w:pPr>
    <w:rPr>
      <w:rFonts w:asciiTheme="majorHAnsi" w:hAnsiTheme="majorHAnsi" w:cstheme="majorBidi"/>
      <w:b/>
      <w:bCs/>
      <w:sz w:val="24"/>
      <w:szCs w:val="28"/>
    </w:rPr>
  </w:style>
  <w:style w:type="paragraph" w:styleId="6">
    <w:name w:val="heading 5"/>
    <w:basedOn w:val="1"/>
    <w:next w:val="1"/>
    <w:link w:val="70"/>
    <w:semiHidden/>
    <w:unhideWhenUsed/>
    <w:qFormat/>
    <w:uiPriority w:val="9"/>
    <w:pPr>
      <w:keepNext/>
      <w:keepLines/>
      <w:spacing w:before="280" w:after="290" w:line="372" w:lineRule="auto"/>
      <w:outlineLvl w:val="4"/>
    </w:pPr>
    <w:rPr>
      <w:b/>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widowControl w:val="0"/>
      <w:adjustRightInd/>
      <w:snapToGrid/>
      <w:spacing w:line="240" w:lineRule="auto"/>
      <w:ind w:left="2520" w:leftChars="1200"/>
      <w:jc w:val="both"/>
    </w:pPr>
    <w:rPr>
      <w:rFonts w:asciiTheme="minorHAnsi" w:hAnsiTheme="minorHAnsi" w:eastAsiaTheme="minorEastAsia"/>
      <w:kern w:val="2"/>
    </w:rPr>
  </w:style>
  <w:style w:type="paragraph" w:styleId="8">
    <w:name w:val="annotation text"/>
    <w:basedOn w:val="1"/>
    <w:link w:val="59"/>
    <w:unhideWhenUsed/>
    <w:qFormat/>
    <w:uiPriority w:val="99"/>
  </w:style>
  <w:style w:type="paragraph" w:styleId="9">
    <w:name w:val="Body Text"/>
    <w:basedOn w:val="1"/>
    <w:next w:val="10"/>
    <w:link w:val="62"/>
    <w:qFormat/>
    <w:uiPriority w:val="1"/>
    <w:pPr>
      <w:spacing w:before="161"/>
      <w:ind w:left="120"/>
    </w:pPr>
    <w:rPr>
      <w:rFonts w:ascii="宋体" w:hAnsi="宋体" w:cs="宋体"/>
      <w:sz w:val="24"/>
      <w:lang w:val="zh-CN" w:bidi="zh-CN"/>
    </w:rPr>
  </w:style>
  <w:style w:type="paragraph" w:styleId="10">
    <w:name w:val="Body Text First Indent"/>
    <w:basedOn w:val="9"/>
    <w:next w:val="11"/>
    <w:qFormat/>
    <w:uiPriority w:val="0"/>
    <w:pPr>
      <w:spacing w:after="120"/>
      <w:ind w:firstLine="420" w:firstLineChars="100"/>
    </w:pPr>
    <w:rPr>
      <w:bCs/>
      <w:szCs w:val="21"/>
    </w:rPr>
  </w:style>
  <w:style w:type="paragraph" w:customStyle="1" w:styleId="11">
    <w:name w:val="样式 正文首行缩进 + 首行缩进:  1 字符"/>
    <w:basedOn w:val="1"/>
    <w:next w:val="1"/>
    <w:qFormat/>
    <w:uiPriority w:val="0"/>
    <w:pPr>
      <w:ind w:firstLine="200" w:firstLineChars="200"/>
    </w:pPr>
    <w:rPr>
      <w:rFonts w:cs="宋体"/>
      <w:szCs w:val="20"/>
    </w:rPr>
  </w:style>
  <w:style w:type="paragraph" w:styleId="12">
    <w:name w:val="Body Text Indent"/>
    <w:basedOn w:val="1"/>
    <w:qFormat/>
    <w:uiPriority w:val="0"/>
    <w:pPr>
      <w:ind w:left="359" w:leftChars="171" w:firstLine="179" w:firstLineChars="85"/>
    </w:pPr>
    <w:rPr>
      <w:rFonts w:ascii="宋体" w:hAnsi="宋体"/>
      <w:b/>
      <w:bCs/>
      <w:szCs w:val="26"/>
    </w:rPr>
  </w:style>
  <w:style w:type="paragraph" w:styleId="13">
    <w:name w:val="toc 5"/>
    <w:basedOn w:val="1"/>
    <w:next w:val="1"/>
    <w:unhideWhenUsed/>
    <w:qFormat/>
    <w:uiPriority w:val="39"/>
    <w:pPr>
      <w:widowControl w:val="0"/>
      <w:adjustRightInd/>
      <w:snapToGrid/>
      <w:spacing w:line="240" w:lineRule="auto"/>
      <w:ind w:left="1680" w:leftChars="800"/>
      <w:jc w:val="both"/>
    </w:pPr>
    <w:rPr>
      <w:rFonts w:asciiTheme="minorHAnsi" w:hAnsiTheme="minorHAnsi" w:eastAsiaTheme="minorEastAsia"/>
      <w:kern w:val="2"/>
    </w:rPr>
  </w:style>
  <w:style w:type="paragraph" w:styleId="14">
    <w:name w:val="toc 3"/>
    <w:basedOn w:val="1"/>
    <w:next w:val="1"/>
    <w:unhideWhenUsed/>
    <w:qFormat/>
    <w:uiPriority w:val="39"/>
    <w:pPr>
      <w:tabs>
        <w:tab w:val="right" w:leader="dot" w:pos="8296"/>
      </w:tabs>
      <w:ind w:left="838" w:leftChars="381"/>
    </w:pPr>
    <w:rPr>
      <w:szCs w:val="21"/>
    </w:rPr>
  </w:style>
  <w:style w:type="paragraph" w:styleId="15">
    <w:name w:val="Plain Text"/>
    <w:basedOn w:val="1"/>
    <w:link w:val="51"/>
    <w:qFormat/>
    <w:uiPriority w:val="0"/>
    <w:pPr>
      <w:widowControl w:val="0"/>
      <w:adjustRightInd/>
      <w:snapToGrid/>
      <w:jc w:val="both"/>
    </w:pPr>
    <w:rPr>
      <w:rFonts w:ascii="宋体" w:hAnsi="Courier New" w:cs="Times New Roman"/>
      <w:b/>
      <w:kern w:val="2"/>
      <w:szCs w:val="20"/>
    </w:rPr>
  </w:style>
  <w:style w:type="paragraph" w:styleId="16">
    <w:name w:val="toc 8"/>
    <w:basedOn w:val="1"/>
    <w:next w:val="1"/>
    <w:unhideWhenUsed/>
    <w:qFormat/>
    <w:uiPriority w:val="39"/>
    <w:pPr>
      <w:widowControl w:val="0"/>
      <w:adjustRightInd/>
      <w:snapToGrid/>
      <w:spacing w:line="240" w:lineRule="auto"/>
      <w:ind w:left="2940" w:leftChars="1400"/>
      <w:jc w:val="both"/>
    </w:pPr>
    <w:rPr>
      <w:rFonts w:asciiTheme="minorHAnsi" w:hAnsiTheme="minorHAnsi" w:eastAsiaTheme="minorEastAsia"/>
      <w:kern w:val="2"/>
    </w:rPr>
  </w:style>
  <w:style w:type="paragraph" w:styleId="17">
    <w:name w:val="Balloon Text"/>
    <w:basedOn w:val="1"/>
    <w:link w:val="54"/>
    <w:semiHidden/>
    <w:unhideWhenUsed/>
    <w:qFormat/>
    <w:uiPriority w:val="99"/>
    <w:rPr>
      <w:sz w:val="18"/>
      <w:szCs w:val="18"/>
    </w:rPr>
  </w:style>
  <w:style w:type="paragraph" w:styleId="18">
    <w:name w:val="footer"/>
    <w:basedOn w:val="1"/>
    <w:link w:val="53"/>
    <w:unhideWhenUsed/>
    <w:qFormat/>
    <w:uiPriority w:val="99"/>
    <w:pPr>
      <w:tabs>
        <w:tab w:val="center" w:pos="4153"/>
        <w:tab w:val="right" w:pos="8306"/>
      </w:tabs>
    </w:pPr>
    <w:rPr>
      <w:sz w:val="18"/>
      <w:szCs w:val="18"/>
    </w:rPr>
  </w:style>
  <w:style w:type="paragraph" w:styleId="19">
    <w:name w:val="header"/>
    <w:basedOn w:val="1"/>
    <w:link w:val="52"/>
    <w:unhideWhenUsed/>
    <w:qFormat/>
    <w:uiPriority w:val="99"/>
    <w:pPr>
      <w:pBdr>
        <w:bottom w:val="single" w:color="auto" w:sz="6" w:space="1"/>
      </w:pBdr>
      <w:tabs>
        <w:tab w:val="center" w:pos="4153"/>
        <w:tab w:val="right" w:pos="8306"/>
      </w:tabs>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tabs>
        <w:tab w:val="right" w:leader="dot" w:pos="8296"/>
      </w:tabs>
      <w:spacing w:after="120"/>
      <w:ind w:left="1320" w:leftChars="600"/>
    </w:pPr>
  </w:style>
  <w:style w:type="paragraph" w:styleId="22">
    <w:name w:val="footnote text"/>
    <w:basedOn w:val="1"/>
    <w:semiHidden/>
    <w:unhideWhenUsed/>
    <w:qFormat/>
    <w:uiPriority w:val="99"/>
    <w:rPr>
      <w:sz w:val="18"/>
    </w:rPr>
  </w:style>
  <w:style w:type="paragraph" w:styleId="23">
    <w:name w:val="toc 6"/>
    <w:basedOn w:val="1"/>
    <w:next w:val="1"/>
    <w:qFormat/>
    <w:uiPriority w:val="39"/>
    <w:pPr>
      <w:ind w:left="1200"/>
    </w:pPr>
    <w:rPr>
      <w:rFonts w:ascii="Calibri" w:cs="Calibri"/>
      <w:sz w:val="18"/>
      <w:szCs w:val="18"/>
    </w:rPr>
  </w:style>
  <w:style w:type="paragraph" w:styleId="24">
    <w:name w:val="toc 2"/>
    <w:basedOn w:val="1"/>
    <w:next w:val="1"/>
    <w:unhideWhenUsed/>
    <w:qFormat/>
    <w:uiPriority w:val="39"/>
    <w:pPr>
      <w:tabs>
        <w:tab w:val="right" w:leader="dot" w:pos="8296"/>
      </w:tabs>
      <w:ind w:left="440" w:leftChars="200"/>
      <w:jc w:val="center"/>
    </w:pPr>
    <w:rPr>
      <w:rFonts w:ascii="宋体" w:hAnsi="宋体"/>
      <w:sz w:val="30"/>
      <w:szCs w:val="30"/>
    </w:rPr>
  </w:style>
  <w:style w:type="paragraph" w:styleId="25">
    <w:name w:val="toc 9"/>
    <w:basedOn w:val="1"/>
    <w:next w:val="1"/>
    <w:unhideWhenUsed/>
    <w:qFormat/>
    <w:uiPriority w:val="39"/>
    <w:pPr>
      <w:widowControl w:val="0"/>
      <w:adjustRightInd/>
      <w:snapToGrid/>
      <w:spacing w:line="240" w:lineRule="auto"/>
      <w:ind w:left="3360" w:leftChars="1600"/>
      <w:jc w:val="both"/>
    </w:pPr>
    <w:rPr>
      <w:rFonts w:asciiTheme="minorHAnsi" w:hAnsiTheme="minorHAnsi" w:eastAsiaTheme="minorEastAsia"/>
      <w:kern w:val="2"/>
    </w:rPr>
  </w:style>
  <w:style w:type="paragraph" w:styleId="26">
    <w:name w:val="Normal (Web)"/>
    <w:basedOn w:val="1"/>
    <w:link w:val="56"/>
    <w:qFormat/>
    <w:uiPriority w:val="0"/>
    <w:pPr>
      <w:widowControl w:val="0"/>
      <w:adjustRightInd/>
      <w:snapToGrid/>
      <w:jc w:val="both"/>
    </w:pPr>
    <w:rPr>
      <w:rFonts w:asciiTheme="minorHAnsi" w:hAnsiTheme="minorHAnsi"/>
      <w:kern w:val="2"/>
      <w:sz w:val="24"/>
      <w:szCs w:val="24"/>
    </w:rPr>
  </w:style>
  <w:style w:type="paragraph" w:styleId="27">
    <w:name w:val="annotation subject"/>
    <w:basedOn w:val="8"/>
    <w:next w:val="8"/>
    <w:link w:val="60"/>
    <w:semiHidden/>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Emphasis"/>
    <w:basedOn w:val="30"/>
    <w:qFormat/>
    <w:uiPriority w:val="20"/>
    <w:rPr>
      <w:i/>
      <w:iCs/>
    </w:rPr>
  </w:style>
  <w:style w:type="character" w:styleId="33">
    <w:name w:val="Hyperlink"/>
    <w:qFormat/>
    <w:uiPriority w:val="99"/>
    <w:rPr>
      <w:rFonts w:hint="eastAsia" w:ascii="宋体" w:hAnsi="宋体" w:eastAsia="宋体" w:cs="宋体"/>
      <w:b/>
      <w:color w:val="0031C1"/>
      <w:kern w:val="0"/>
      <w:sz w:val="18"/>
      <w:szCs w:val="18"/>
      <w:u w:val="none"/>
      <w:lang w:eastAsia="en-US"/>
    </w:rPr>
  </w:style>
  <w:style w:type="character" w:styleId="34">
    <w:name w:val="annotation reference"/>
    <w:basedOn w:val="30"/>
    <w:semiHidden/>
    <w:unhideWhenUsed/>
    <w:qFormat/>
    <w:uiPriority w:val="99"/>
    <w:rPr>
      <w:sz w:val="21"/>
      <w:szCs w:val="21"/>
    </w:rPr>
  </w:style>
  <w:style w:type="character" w:styleId="35">
    <w:name w:val="footnote reference"/>
    <w:basedOn w:val="30"/>
    <w:semiHidden/>
    <w:unhideWhenUsed/>
    <w:qFormat/>
    <w:uiPriority w:val="99"/>
    <w:rPr>
      <w:vertAlign w:val="superscript"/>
    </w:rPr>
  </w:style>
  <w:style w:type="paragraph" w:customStyle="1" w:styleId="36">
    <w:name w:val="首行缩进"/>
    <w:basedOn w:val="1"/>
    <w:qFormat/>
    <w:uiPriority w:val="0"/>
    <w:pPr>
      <w:adjustRightInd/>
      <w:spacing w:line="300" w:lineRule="auto"/>
      <w:ind w:firstLine="420" w:firstLineChars="200"/>
      <w:jc w:val="both"/>
    </w:pPr>
    <w:rPr>
      <w:rFonts w:ascii="Calibri" w:hAnsi="Calibri" w:eastAsia="方正书宋简体" w:cs="Times New Roman"/>
      <w:sz w:val="20"/>
    </w:rPr>
  </w:style>
  <w:style w:type="character" w:customStyle="1" w:styleId="37">
    <w:name w:val="标题 2 字符"/>
    <w:basedOn w:val="30"/>
    <w:link w:val="3"/>
    <w:qFormat/>
    <w:uiPriority w:val="9"/>
    <w:rPr>
      <w:rFonts w:asciiTheme="majorHAnsi" w:hAnsiTheme="majorHAnsi" w:eastAsiaTheme="majorEastAsia" w:cstheme="majorBidi"/>
      <w:b/>
      <w:bCs/>
      <w:sz w:val="32"/>
      <w:szCs w:val="32"/>
    </w:rPr>
  </w:style>
  <w:style w:type="character" w:customStyle="1" w:styleId="38">
    <w:name w:val="标题 3 字符"/>
    <w:basedOn w:val="30"/>
    <w:link w:val="4"/>
    <w:qFormat/>
    <w:uiPriority w:val="9"/>
    <w:rPr>
      <w:rFonts w:ascii="Tahoma" w:hAnsi="Tahoma"/>
      <w:b/>
      <w:bCs/>
      <w:sz w:val="32"/>
      <w:szCs w:val="32"/>
    </w:rPr>
  </w:style>
  <w:style w:type="paragraph" w:styleId="39">
    <w:name w:val="List Paragraph"/>
    <w:basedOn w:val="1"/>
    <w:link w:val="61"/>
    <w:qFormat/>
    <w:uiPriority w:val="0"/>
    <w:pPr>
      <w:ind w:firstLine="420" w:firstLineChars="200"/>
    </w:pPr>
  </w:style>
  <w:style w:type="character" w:customStyle="1" w:styleId="40">
    <w:name w:val="标题 4 字符"/>
    <w:basedOn w:val="30"/>
    <w:link w:val="5"/>
    <w:qFormat/>
    <w:uiPriority w:val="9"/>
    <w:rPr>
      <w:rFonts w:eastAsia="宋体" w:asciiTheme="majorHAnsi" w:hAnsiTheme="majorHAnsi" w:cstheme="majorBidi"/>
      <w:b/>
      <w:bCs/>
      <w:sz w:val="24"/>
      <w:szCs w:val="28"/>
    </w:rPr>
  </w:style>
  <w:style w:type="character" w:customStyle="1" w:styleId="41">
    <w:name w:val="正文缩进2格 Char"/>
    <w:link w:val="42"/>
    <w:qFormat/>
    <w:uiPriority w:val="0"/>
    <w:rPr>
      <w:rFonts w:ascii="仿宋_GB2312" w:hAnsi="宋体" w:eastAsia="仿宋_GB2312"/>
      <w:kern w:val="2"/>
      <w:sz w:val="31"/>
    </w:rPr>
  </w:style>
  <w:style w:type="paragraph" w:customStyle="1" w:styleId="42">
    <w:name w:val="正文缩进2格"/>
    <w:basedOn w:val="1"/>
    <w:link w:val="41"/>
    <w:qFormat/>
    <w:uiPriority w:val="0"/>
    <w:pPr>
      <w:widowControl w:val="0"/>
      <w:adjustRightInd/>
      <w:snapToGrid/>
      <w:spacing w:line="600" w:lineRule="exact"/>
      <w:ind w:firstLine="639" w:firstLineChars="206"/>
      <w:jc w:val="both"/>
    </w:pPr>
    <w:rPr>
      <w:rFonts w:ascii="仿宋_GB2312" w:hAnsi="宋体" w:eastAsia="仿宋_GB2312"/>
      <w:kern w:val="2"/>
      <w:sz w:val="31"/>
    </w:rPr>
  </w:style>
  <w:style w:type="paragraph" w:customStyle="1" w:styleId="43">
    <w:name w:val="正文缩进4格"/>
    <w:basedOn w:val="42"/>
    <w:qFormat/>
    <w:uiPriority w:val="0"/>
    <w:pPr>
      <w:ind w:left="2" w:firstLine="538" w:firstLineChars="192"/>
    </w:pPr>
    <w:rPr>
      <w:color w:val="0000FF"/>
      <w:sz w:val="28"/>
    </w:rPr>
  </w:style>
  <w:style w:type="character" w:customStyle="1" w:styleId="44">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45">
    <w:name w:val="_Style 3"/>
    <w:basedOn w:val="1"/>
    <w:qFormat/>
    <w:uiPriority w:val="0"/>
    <w:pPr>
      <w:widowControl w:val="0"/>
      <w:adjustRightInd/>
      <w:snapToGrid/>
      <w:ind w:firstLine="420" w:firstLineChars="200"/>
      <w:jc w:val="both"/>
    </w:pPr>
    <w:rPr>
      <w:rFonts w:ascii="Times New Roman" w:hAnsi="Times New Roman" w:cs="Times New Roman"/>
      <w:kern w:val="2"/>
      <w:szCs w:val="24"/>
    </w:rPr>
  </w:style>
  <w:style w:type="character" w:customStyle="1" w:styleId="46">
    <w:name w:val="标题1"/>
    <w:qFormat/>
    <w:uiPriority w:val="0"/>
    <w:rPr>
      <w:rFonts w:ascii="Times New Roman" w:hAnsi="Times New Roman" w:eastAsia="宋体" w:cs="Times New Roman"/>
      <w:b/>
      <w:kern w:val="0"/>
      <w:sz w:val="24"/>
      <w:szCs w:val="20"/>
      <w:lang w:eastAsia="en-US"/>
    </w:rPr>
  </w:style>
  <w:style w:type="character" w:customStyle="1" w:styleId="47">
    <w:name w:val="标题 3.1 Char"/>
    <w:link w:val="48"/>
    <w:qFormat/>
    <w:uiPriority w:val="0"/>
    <w:rPr>
      <w:rFonts w:ascii="宋体" w:hAnsi="宋体" w:eastAsia="宋体"/>
      <w:b/>
      <w:color w:val="FF0000"/>
      <w:kern w:val="2"/>
      <w:sz w:val="32"/>
    </w:rPr>
  </w:style>
  <w:style w:type="paragraph" w:customStyle="1" w:styleId="48">
    <w:name w:val="标题 3.1"/>
    <w:basedOn w:val="4"/>
    <w:link w:val="47"/>
    <w:qFormat/>
    <w:uiPriority w:val="0"/>
    <w:pPr>
      <w:widowControl w:val="0"/>
      <w:tabs>
        <w:tab w:val="left" w:pos="1440"/>
        <w:tab w:val="left" w:pos="1620"/>
      </w:tabs>
      <w:adjustRightInd/>
      <w:snapToGrid/>
      <w:spacing w:line="600" w:lineRule="exact"/>
      <w:jc w:val="both"/>
    </w:pPr>
    <w:rPr>
      <w:rFonts w:ascii="宋体" w:hAnsi="宋体"/>
      <w:bCs w:val="0"/>
      <w:color w:val="FF0000"/>
      <w:kern w:val="2"/>
      <w:szCs w:val="22"/>
    </w:rPr>
  </w:style>
  <w:style w:type="character" w:customStyle="1" w:styleId="49">
    <w:name w:val="样式 楷体_GB2312 小四"/>
    <w:qFormat/>
    <w:uiPriority w:val="0"/>
    <w:rPr>
      <w:rFonts w:ascii="楷体_GB2312" w:hAnsi="楷体_GB2312" w:eastAsia="仿宋_GB2312"/>
      <w:sz w:val="24"/>
    </w:rPr>
  </w:style>
  <w:style w:type="character" w:customStyle="1" w:styleId="50">
    <w:name w:val="纯文本 Char"/>
    <w:qFormat/>
    <w:uiPriority w:val="0"/>
    <w:rPr>
      <w:rFonts w:ascii="宋体" w:hAnsi="Courier New" w:eastAsia="宋体" w:cs="Times New Roman"/>
      <w:b/>
      <w:kern w:val="2"/>
      <w:sz w:val="21"/>
      <w:szCs w:val="20"/>
    </w:rPr>
  </w:style>
  <w:style w:type="character" w:customStyle="1" w:styleId="51">
    <w:name w:val="纯文本 字符"/>
    <w:basedOn w:val="30"/>
    <w:link w:val="15"/>
    <w:semiHidden/>
    <w:qFormat/>
    <w:uiPriority w:val="99"/>
    <w:rPr>
      <w:rFonts w:ascii="宋体" w:hAnsi="Courier New" w:eastAsia="宋体" w:cs="Courier New"/>
      <w:sz w:val="21"/>
      <w:szCs w:val="21"/>
    </w:rPr>
  </w:style>
  <w:style w:type="character" w:customStyle="1" w:styleId="52">
    <w:name w:val="页眉 字符"/>
    <w:basedOn w:val="30"/>
    <w:link w:val="19"/>
    <w:qFormat/>
    <w:uiPriority w:val="99"/>
    <w:rPr>
      <w:rFonts w:ascii="Tahoma" w:hAnsi="Tahoma"/>
      <w:sz w:val="18"/>
      <w:szCs w:val="18"/>
    </w:rPr>
  </w:style>
  <w:style w:type="character" w:customStyle="1" w:styleId="53">
    <w:name w:val="页脚 字符"/>
    <w:basedOn w:val="30"/>
    <w:link w:val="18"/>
    <w:qFormat/>
    <w:uiPriority w:val="99"/>
    <w:rPr>
      <w:rFonts w:ascii="Tahoma" w:hAnsi="Tahoma"/>
      <w:sz w:val="18"/>
      <w:szCs w:val="18"/>
    </w:rPr>
  </w:style>
  <w:style w:type="character" w:customStyle="1" w:styleId="54">
    <w:name w:val="批注框文本 字符"/>
    <w:basedOn w:val="30"/>
    <w:link w:val="17"/>
    <w:semiHidden/>
    <w:qFormat/>
    <w:uiPriority w:val="99"/>
    <w:rPr>
      <w:rFonts w:ascii="Tahoma" w:hAnsi="Tahoma"/>
      <w:sz w:val="18"/>
      <w:szCs w:val="18"/>
    </w:rPr>
  </w:style>
  <w:style w:type="paragraph" w:customStyle="1" w:styleId="55">
    <w:name w:val="Char Char2 Char"/>
    <w:basedOn w:val="1"/>
    <w:qFormat/>
    <w:uiPriority w:val="0"/>
    <w:pPr>
      <w:widowControl w:val="0"/>
      <w:adjustRightInd/>
      <w:snapToGrid/>
      <w:jc w:val="both"/>
    </w:pPr>
    <w:rPr>
      <w:rFonts w:ascii="宋体" w:hAnsi="宋体" w:cs="Times New Roman"/>
      <w:b/>
      <w:kern w:val="2"/>
      <w:sz w:val="28"/>
      <w:szCs w:val="28"/>
    </w:rPr>
  </w:style>
  <w:style w:type="character" w:customStyle="1" w:styleId="56">
    <w:name w:val="普通(网站) 字符"/>
    <w:link w:val="26"/>
    <w:qFormat/>
    <w:uiPriority w:val="0"/>
    <w:rPr>
      <w:rFonts w:eastAsia="宋体"/>
      <w:kern w:val="2"/>
      <w:sz w:val="24"/>
      <w:szCs w:val="24"/>
    </w:rPr>
  </w:style>
  <w:style w:type="paragraph" w:customStyle="1" w:styleId="57">
    <w:name w:val="列出段落1"/>
    <w:basedOn w:val="1"/>
    <w:qFormat/>
    <w:uiPriority w:val="99"/>
    <w:pPr>
      <w:widowControl w:val="0"/>
      <w:adjustRightInd/>
      <w:snapToGrid/>
      <w:ind w:firstLine="420" w:firstLineChars="200"/>
      <w:jc w:val="both"/>
    </w:pPr>
    <w:rPr>
      <w:rFonts w:ascii="Times New Roman" w:hAnsi="Times New Roman" w:cs="Times New Roman"/>
      <w:kern w:val="2"/>
      <w:sz w:val="24"/>
      <w:szCs w:val="24"/>
    </w:rPr>
  </w:style>
  <w:style w:type="character" w:customStyle="1" w:styleId="58">
    <w:name w:val="p141"/>
    <w:qFormat/>
    <w:uiPriority w:val="0"/>
    <w:rPr>
      <w:sz w:val="21"/>
      <w:szCs w:val="21"/>
    </w:rPr>
  </w:style>
  <w:style w:type="character" w:customStyle="1" w:styleId="59">
    <w:name w:val="批注文字 字符"/>
    <w:basedOn w:val="30"/>
    <w:link w:val="8"/>
    <w:qFormat/>
    <w:uiPriority w:val="99"/>
    <w:rPr>
      <w:rFonts w:ascii="Tahoma" w:hAnsi="Tahoma" w:eastAsia="微软雅黑" w:cstheme="minorBidi"/>
      <w:sz w:val="22"/>
      <w:szCs w:val="22"/>
    </w:rPr>
  </w:style>
  <w:style w:type="character" w:customStyle="1" w:styleId="60">
    <w:name w:val="批注主题 字符"/>
    <w:basedOn w:val="59"/>
    <w:link w:val="27"/>
    <w:semiHidden/>
    <w:qFormat/>
    <w:uiPriority w:val="99"/>
    <w:rPr>
      <w:rFonts w:ascii="Tahoma" w:hAnsi="Tahoma" w:eastAsia="微软雅黑" w:cstheme="minorBidi"/>
      <w:b/>
      <w:bCs/>
      <w:sz w:val="22"/>
      <w:szCs w:val="22"/>
    </w:rPr>
  </w:style>
  <w:style w:type="character" w:customStyle="1" w:styleId="61">
    <w:name w:val="列表段落 字符"/>
    <w:link w:val="39"/>
    <w:qFormat/>
    <w:uiPriority w:val="0"/>
    <w:rPr>
      <w:rFonts w:ascii="Tahoma" w:hAnsi="Tahoma" w:eastAsia="微软雅黑" w:cstheme="minorBidi"/>
      <w:sz w:val="22"/>
      <w:szCs w:val="22"/>
    </w:rPr>
  </w:style>
  <w:style w:type="character" w:customStyle="1" w:styleId="62">
    <w:name w:val="正文文本 字符"/>
    <w:basedOn w:val="30"/>
    <w:link w:val="9"/>
    <w:qFormat/>
    <w:uiPriority w:val="1"/>
    <w:rPr>
      <w:rFonts w:ascii="宋体" w:hAnsi="宋体" w:cs="宋体"/>
      <w:sz w:val="24"/>
      <w:szCs w:val="22"/>
      <w:lang w:val="zh-CN" w:bidi="zh-CN"/>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_Style 1"/>
    <w:basedOn w:val="1"/>
    <w:qFormat/>
    <w:uiPriority w:val="0"/>
    <w:pPr>
      <w:ind w:firstLine="420" w:firstLineChars="200"/>
    </w:pPr>
  </w:style>
  <w:style w:type="paragraph" w:customStyle="1" w:styleId="65">
    <w:name w:val="列出段落2"/>
    <w:basedOn w:val="1"/>
    <w:qFormat/>
    <w:uiPriority w:val="0"/>
    <w:pPr>
      <w:ind w:firstLine="420" w:firstLineChars="200"/>
    </w:pPr>
  </w:style>
  <w:style w:type="paragraph" w:customStyle="1" w:styleId="66">
    <w:name w:val="p0"/>
    <w:basedOn w:val="1"/>
    <w:qFormat/>
    <w:uiPriority w:val="0"/>
    <w:rPr>
      <w:szCs w:val="21"/>
    </w:rPr>
  </w:style>
  <w:style w:type="paragraph" w:customStyle="1" w:styleId="67">
    <w:name w:val="正文文本缩进 21"/>
    <w:basedOn w:val="1"/>
    <w:qFormat/>
    <w:uiPriority w:val="0"/>
    <w:pPr>
      <w:spacing w:line="480" w:lineRule="auto"/>
      <w:ind w:firstLine="540"/>
    </w:pPr>
    <w:rPr>
      <w:rFonts w:ascii="Calibri" w:hAnsi="Calibri"/>
      <w:sz w:val="20"/>
      <w:szCs w:val="20"/>
    </w:rPr>
  </w:style>
  <w:style w:type="paragraph" w:customStyle="1" w:styleId="68">
    <w:name w:val="_Style 2"/>
    <w:basedOn w:val="1"/>
    <w:qFormat/>
    <w:uiPriority w:val="0"/>
    <w:pPr>
      <w:ind w:firstLine="420" w:firstLineChars="200"/>
    </w:pPr>
  </w:style>
  <w:style w:type="paragraph" w:customStyle="1" w:styleId="69">
    <w:name w:val="msolistparagraph"/>
    <w:basedOn w:val="1"/>
    <w:qFormat/>
    <w:uiPriority w:val="0"/>
    <w:pPr>
      <w:ind w:firstLine="420" w:firstLineChars="200"/>
    </w:pPr>
    <w:rPr>
      <w:rFonts w:hint="eastAsia" w:hAnsi="宋体"/>
    </w:rPr>
  </w:style>
  <w:style w:type="character" w:customStyle="1" w:styleId="70">
    <w:name w:val="标题 5 字符"/>
    <w:link w:val="6"/>
    <w:qFormat/>
    <w:uiPriority w:val="0"/>
    <w:rPr>
      <w:b/>
      <w:sz w:val="28"/>
    </w:rPr>
  </w:style>
  <w:style w:type="character" w:customStyle="1" w:styleId="71">
    <w:name w:val="标题 1 字符"/>
    <w:link w:val="2"/>
    <w:qFormat/>
    <w:uiPriority w:val="9"/>
    <w:rPr>
      <w:b/>
      <w:kern w:val="44"/>
      <w:sz w:val="44"/>
    </w:rPr>
  </w:style>
  <w:style w:type="paragraph" w:customStyle="1" w:styleId="72">
    <w:name w:val="修订1"/>
    <w:hidden/>
    <w:semiHidden/>
    <w:qFormat/>
    <w:uiPriority w:val="99"/>
    <w:rPr>
      <w:rFonts w:ascii="Tahoma" w:hAnsi="Tahoma" w:eastAsia="宋体" w:cstheme="minorBidi"/>
      <w:sz w:val="21"/>
      <w:szCs w:val="22"/>
      <w:lang w:val="en-US" w:eastAsia="zh-CN" w:bidi="ar-SA"/>
    </w:rPr>
  </w:style>
  <w:style w:type="paragraph" w:customStyle="1" w:styleId="73">
    <w:name w:val="表格文字"/>
    <w:basedOn w:val="1"/>
    <w:qFormat/>
    <w:uiPriority w:val="0"/>
    <w:pPr>
      <w:adjustRightInd/>
      <w:spacing w:before="25" w:after="25"/>
    </w:pPr>
    <w:rPr>
      <w:rFonts w:ascii="Times New Roman"/>
      <w:bCs/>
      <w:spacing w:val="10"/>
      <w:szCs w:val="20"/>
    </w:rPr>
  </w:style>
  <w:style w:type="paragraph" w:customStyle="1" w:styleId="74">
    <w:name w:val="纯文本1"/>
    <w:basedOn w:val="75"/>
    <w:qFormat/>
    <w:uiPriority w:val="0"/>
    <w:rPr>
      <w:rFonts w:ascii="宋体" w:hAnsi="Courier New"/>
      <w:szCs w:val="20"/>
    </w:rPr>
  </w:style>
  <w:style w:type="paragraph" w:customStyle="1" w:styleId="75">
    <w:name w:val="正文 New"/>
    <w:qFormat/>
    <w:uiPriority w:val="99"/>
    <w:pPr>
      <w:widowControl w:val="0"/>
      <w:spacing w:line="360" w:lineRule="auto"/>
      <w:jc w:val="both"/>
    </w:pPr>
    <w:rPr>
      <w:rFonts w:ascii="Times New Roman" w:hAnsi="Times New Roman" w:eastAsia="宋体" w:cs="黑体"/>
      <w:kern w:val="2"/>
      <w:sz w:val="21"/>
      <w:szCs w:val="22"/>
      <w:lang w:val="en-US" w:eastAsia="zh-CN" w:bidi="ar-SA"/>
    </w:rPr>
  </w:style>
  <w:style w:type="paragraph" w:customStyle="1" w:styleId="76">
    <w:name w:val="正文2"/>
    <w:qFormat/>
    <w:uiPriority w:val="0"/>
    <w:pPr>
      <w:jc w:val="both"/>
    </w:pPr>
    <w:rPr>
      <w:rFonts w:ascii="Times New Roman" w:hAnsi="Times New Roman" w:eastAsia="宋体" w:cs="Times New Roman"/>
      <w:kern w:val="2"/>
      <w:sz w:val="21"/>
      <w:szCs w:val="21"/>
      <w:lang w:val="en-US" w:eastAsia="zh-CN" w:bidi="ar-SA"/>
    </w:rPr>
  </w:style>
  <w:style w:type="table" w:customStyle="1" w:styleId="77">
    <w:name w:val="Table Normal"/>
    <w:semiHidden/>
    <w:unhideWhenUsed/>
    <w:qFormat/>
    <w:uiPriority w:val="2"/>
    <w:tblPr>
      <w:tblCellMar>
        <w:top w:w="0" w:type="dxa"/>
        <w:left w:w="0" w:type="dxa"/>
        <w:bottom w:w="0" w:type="dxa"/>
        <w:right w:w="0" w:type="dxa"/>
      </w:tblCellMar>
    </w:tblPr>
  </w:style>
  <w:style w:type="paragraph" w:customStyle="1" w:styleId="78">
    <w:name w:val="Table Paragraph"/>
    <w:basedOn w:val="1"/>
    <w:qFormat/>
    <w:uiPriority w:val="1"/>
  </w:style>
  <w:style w:type="paragraph" w:customStyle="1" w:styleId="79">
    <w:name w:val="正文文本缩进1"/>
    <w:basedOn w:val="75"/>
    <w:qFormat/>
    <w:uiPriority w:val="0"/>
    <w:pPr>
      <w:spacing w:after="120"/>
      <w:ind w:left="420" w:leftChars="200"/>
    </w:pPr>
  </w:style>
  <w:style w:type="paragraph" w:customStyle="1" w:styleId="80">
    <w:name w:val="正文 New New"/>
    <w:qFormat/>
    <w:uiPriority w:val="0"/>
    <w:pPr>
      <w:widowControl w:val="0"/>
      <w:jc w:val="both"/>
    </w:pPr>
    <w:rPr>
      <w:rFonts w:ascii="Times New Roman" w:hAnsi="Times New Roman" w:eastAsia="宋体" w:cs="Times New Roman"/>
      <w:szCs w:val="24"/>
      <w:lang w:val="en-US" w:eastAsia="zh-CN" w:bidi="ar-SA"/>
    </w:rPr>
  </w:style>
  <w:style w:type="paragraph" w:customStyle="1" w:styleId="81">
    <w:name w:val="纯文本2"/>
    <w:basedOn w:val="75"/>
    <w:qFormat/>
    <w:uiPriority w:val="0"/>
    <w:rPr>
      <w:rFonts w:ascii="宋体" w:hAnsi="Courier New"/>
      <w:szCs w:val="20"/>
    </w:rPr>
  </w:style>
  <w:style w:type="character" w:customStyle="1" w:styleId="82">
    <w:name w:val="font141"/>
    <w:qFormat/>
    <w:uiPriority w:val="0"/>
    <w:rPr>
      <w:rFonts w:hint="default" w:ascii="Times New Roman" w:hAnsi="Times New Roman" w:cs="Times New Roman"/>
      <w:color w:val="000000"/>
      <w:sz w:val="18"/>
      <w:szCs w:val="18"/>
      <w:u w:val="none"/>
    </w:rPr>
  </w:style>
  <w:style w:type="character" w:customStyle="1" w:styleId="83">
    <w:name w:val="font71"/>
    <w:qFormat/>
    <w:uiPriority w:val="0"/>
    <w:rPr>
      <w:rFonts w:hint="eastAsia" w:ascii="宋体" w:hAnsi="宋体" w:eastAsia="宋体" w:cs="宋体"/>
      <w:color w:val="000000"/>
      <w:sz w:val="18"/>
      <w:szCs w:val="18"/>
      <w:u w:val="none"/>
    </w:rPr>
  </w:style>
  <w:style w:type="paragraph" w:customStyle="1" w:styleId="84">
    <w:name w:val="Char Char Char"/>
    <w:basedOn w:val="1"/>
    <w:qFormat/>
    <w:uiPriority w:val="0"/>
    <w:rPr>
      <w:rFonts w:ascii="Tahoma" w:hAnsi="Tahoma"/>
      <w:sz w:val="24"/>
    </w:rPr>
  </w:style>
  <w:style w:type="paragraph" w:customStyle="1" w:styleId="85">
    <w:name w:val="小点"/>
    <w:basedOn w:val="1"/>
    <w:qFormat/>
    <w:uiPriority w:val="0"/>
    <w:pPr>
      <w:numPr>
        <w:ilvl w:val="0"/>
        <w:numId w:val="1"/>
      </w:numPr>
      <w:tabs>
        <w:tab w:val="left" w:pos="542"/>
        <w:tab w:val="left" w:pos="600"/>
      </w:tabs>
      <w:topLinePunct/>
      <w:autoSpaceDE w:val="0"/>
      <w:autoSpaceDN w:val="0"/>
      <w:adjustRightInd w:val="0"/>
      <w:snapToGrid w:val="0"/>
      <w:spacing w:line="300" w:lineRule="auto"/>
      <w:jc w:val="left"/>
      <w:textAlignment w:val="baseline"/>
    </w:pPr>
    <w:rPr>
      <w:rFonts w:ascii="Arial" w:hAnsi="Arial"/>
      <w:color w:val="000000"/>
      <w:kern w:val="2"/>
      <w:sz w:val="24"/>
      <w:szCs w:val="24"/>
    </w:rPr>
  </w:style>
  <w:style w:type="paragraph" w:customStyle="1" w:styleId="86">
    <w:name w:val="标书正文文本"/>
    <w:qFormat/>
    <w:uiPriority w:val="0"/>
    <w:pPr>
      <w:spacing w:line="360" w:lineRule="auto"/>
      <w:ind w:firstLine="200" w:firstLineChars="200"/>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104"/>
    <customShpInfo spid="_x0000_s1026" textRotate="1"/>
    <customShpInfo spid="_x0000_s4106"/>
    <customShpInfo spid="_x0000_s4110"/>
    <customShpInfo spid="_x0000_s4108"/>
    <customShpInfo spid="_x0000_s410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FDE4B-77BC-4B7C-94B1-DC883D1266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37166</Words>
  <Characters>38433</Characters>
  <Lines>67</Lines>
  <Paragraphs>66</Paragraphs>
  <TotalTime>3</TotalTime>
  <ScaleCrop>false</ScaleCrop>
  <LinksUpToDate>false</LinksUpToDate>
  <CharactersWithSpaces>40139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2022-10-28T09:19:00Z</dcterms:created>
  <dc:creator>MyPC</dc:creator>
  <cp:lastModifiedBy>WPS_1573530454</cp:lastModifiedBy>
  <cp:lastPrinted>2022-12-01T06:09:00Z</cp:lastPrinted>
  <dcterms:modified xsi:type="dcterms:W3CDTF">2023-09-18T06:35:26Z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34B16ADE967145C2A9592CA8CAD51D0E_13</vt:lpwstr>
  </property>
</Properties>
</file>