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color w:val="auto"/>
          <w:szCs w:val="21"/>
          <w:highlight w:val="none"/>
        </w:rPr>
      </w:pPr>
      <w:bookmarkStart w:id="206" w:name="_GoBack"/>
    </w:p>
    <w:p>
      <w:pPr>
        <w:pStyle w:val="36"/>
        <w:ind w:firstLine="400"/>
        <w:rPr>
          <w:rFonts w:ascii="宋体" w:hAnsi="宋体" w:eastAsia="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rPr>
          <w:rFonts w:ascii="宋体" w:hAnsi="宋体" w:cs="宋体"/>
          <w:color w:val="auto"/>
          <w:highlight w:val="none"/>
        </w:rPr>
      </w:pPr>
    </w:p>
    <w:p>
      <w:pPr>
        <w:ind w:right="-28"/>
        <w:jc w:val="center"/>
        <w:textAlignment w:val="bottom"/>
        <w:rPr>
          <w:rFonts w:ascii="宋体" w:hAnsi="宋体" w:cs="宋体"/>
          <w:bCs/>
          <w:color w:val="auto"/>
          <w:spacing w:val="57"/>
          <w:sz w:val="96"/>
          <w:szCs w:val="96"/>
          <w:highlight w:val="none"/>
        </w:rPr>
      </w:pPr>
      <w:r>
        <w:rPr>
          <w:rFonts w:hint="eastAsia" w:ascii="宋体" w:hAnsi="宋体" w:cs="宋体"/>
          <w:bCs/>
          <w:color w:val="auto"/>
          <w:spacing w:val="57"/>
          <w:sz w:val="96"/>
          <w:szCs w:val="96"/>
          <w:highlight w:val="none"/>
        </w:rPr>
        <w:t>公开采购文件</w:t>
      </w:r>
    </w:p>
    <w:p>
      <w:pPr>
        <w:rPr>
          <w:rFonts w:ascii="宋体" w:hAnsi="宋体" w:cs="宋体"/>
          <w:color w:val="auto"/>
          <w:highlight w:val="none"/>
        </w:rPr>
      </w:pPr>
    </w:p>
    <w:p>
      <w:pPr>
        <w:pStyle w:val="3"/>
        <w:rPr>
          <w:color w:val="auto"/>
          <w:highlight w:val="none"/>
        </w:rPr>
      </w:pPr>
    </w:p>
    <w:tbl>
      <w:tblPr>
        <w:tblStyle w:val="2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项目名称：</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2023-2025年东莞市安居建设投资有限公司电梯维保项目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项目采购编号：</w:t>
            </w:r>
          </w:p>
        </w:tc>
        <w:tc>
          <w:tcPr>
            <w:tcW w:w="6203" w:type="dxa"/>
            <w:noWrap/>
            <w:vAlign w:val="center"/>
          </w:tcPr>
          <w:p>
            <w:pPr>
              <w:spacing w:before="200"/>
              <w:jc w:val="both"/>
              <w:rPr>
                <w:rFonts w:ascii="宋体" w:hAnsi="宋体" w:cs="宋体"/>
                <w:bCs/>
                <w:color w:val="auto"/>
                <w:sz w:val="32"/>
                <w:szCs w:val="24"/>
                <w:highlight w:val="none"/>
              </w:rPr>
            </w:pPr>
            <w:r>
              <w:rPr>
                <w:rFonts w:ascii="宋体" w:hAnsi="宋体" w:cs="宋体"/>
                <w:bCs/>
                <w:color w:val="auto"/>
                <w:sz w:val="32"/>
                <w:szCs w:val="24"/>
                <w:highlight w:val="none"/>
                <w:u w:val="single"/>
              </w:rPr>
              <w:t>AJJS-WB-05-02-003(2023)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采购人：</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东莞市安居建设投资有限公司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采购代理：</w:t>
            </w:r>
          </w:p>
        </w:tc>
        <w:tc>
          <w:tcPr>
            <w:tcW w:w="6203" w:type="dxa"/>
            <w:noWrap/>
            <w:vAlign w:val="center"/>
          </w:tcPr>
          <w:p>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广东志合项目管理有限公司</w:t>
            </w:r>
          </w:p>
        </w:tc>
      </w:tr>
    </w:tbl>
    <w:p>
      <w:pPr>
        <w:jc w:val="center"/>
        <w:rPr>
          <w:rFonts w:ascii="宋体" w:hAnsi="宋体" w:cs="宋体"/>
          <w:color w:val="auto"/>
          <w:szCs w:val="21"/>
          <w:highlight w:val="none"/>
        </w:rPr>
      </w:pPr>
    </w:p>
    <w:p>
      <w:pPr>
        <w:jc w:val="center"/>
        <w:rPr>
          <w:rFonts w:ascii="宋体" w:hAnsi="宋体" w:cs="宋体"/>
          <w:color w:val="auto"/>
          <w:szCs w:val="21"/>
          <w:highlight w:val="none"/>
        </w:rPr>
      </w:pPr>
    </w:p>
    <w:p>
      <w:pPr>
        <w:jc w:val="center"/>
        <w:rPr>
          <w:rFonts w:ascii="宋体" w:hAnsi="宋体" w:cs="宋体"/>
          <w:color w:val="auto"/>
          <w:szCs w:val="21"/>
          <w:highlight w:val="none"/>
        </w:rPr>
      </w:pPr>
    </w:p>
    <w:p>
      <w:pPr>
        <w:pStyle w:val="36"/>
        <w:ind w:firstLine="400"/>
        <w:rPr>
          <w:rFonts w:ascii="宋体" w:hAnsi="宋体" w:eastAsia="宋体" w:cs="宋体"/>
          <w:color w:val="auto"/>
          <w:highlight w:val="none"/>
        </w:rPr>
      </w:pPr>
    </w:p>
    <w:p>
      <w:pPr>
        <w:jc w:val="center"/>
        <w:rPr>
          <w:rFonts w:ascii="宋体" w:hAnsi="宋体" w:cs="宋体"/>
          <w:color w:val="auto"/>
          <w:szCs w:val="21"/>
          <w:highlight w:val="none"/>
        </w:rPr>
      </w:pPr>
    </w:p>
    <w:p>
      <w:pPr>
        <w:jc w:val="center"/>
        <w:rPr>
          <w:rFonts w:ascii="宋体" w:hAnsi="宋体" w:cs="宋体"/>
          <w:color w:val="auto"/>
          <w:szCs w:val="21"/>
          <w:highlight w:val="none"/>
        </w:rPr>
      </w:pPr>
    </w:p>
    <w:p>
      <w:pPr>
        <w:spacing w:before="200"/>
        <w:jc w:val="center"/>
        <w:rPr>
          <w:rFonts w:ascii="宋体" w:hAnsi="宋体" w:cs="宋体"/>
          <w:bCs/>
          <w:color w:val="auto"/>
          <w:sz w:val="32"/>
          <w:szCs w:val="24"/>
          <w:highlight w:val="none"/>
        </w:rPr>
      </w:pPr>
      <w:r>
        <w:rPr>
          <w:rFonts w:hint="eastAsia" w:ascii="宋体" w:hAnsi="宋体" w:cs="宋体"/>
          <w:bCs/>
          <w:color w:val="auto"/>
          <w:sz w:val="32"/>
          <w:szCs w:val="24"/>
          <w:highlight w:val="none"/>
        </w:rPr>
        <w:t>2023年</w:t>
      </w:r>
      <w:r>
        <w:rPr>
          <w:rFonts w:hint="eastAsia" w:ascii="宋体" w:hAnsi="宋体" w:cs="宋体"/>
          <w:bCs/>
          <w:color w:val="auto"/>
          <w:sz w:val="32"/>
          <w:szCs w:val="24"/>
          <w:highlight w:val="none"/>
          <w:lang w:val="en-US" w:eastAsia="zh-CN"/>
        </w:rPr>
        <w:t>7</w:t>
      </w:r>
      <w:r>
        <w:rPr>
          <w:rFonts w:hint="eastAsia" w:ascii="宋体" w:hAnsi="宋体" w:cs="宋体"/>
          <w:bCs/>
          <w:color w:val="auto"/>
          <w:sz w:val="32"/>
          <w:szCs w:val="24"/>
          <w:highlight w:val="none"/>
        </w:rPr>
        <w:t>月</w:t>
      </w:r>
    </w:p>
    <w:p>
      <w:pPr>
        <w:rPr>
          <w:rFonts w:ascii="宋体" w:hAnsi="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Borders>
            <w:top w:val="none" w:sz="0" w:space="0"/>
            <w:left w:val="none" w:sz="0" w:space="0"/>
            <w:bottom w:val="none" w:sz="0" w:space="0"/>
            <w:right w:val="none" w:sz="0" w:space="0"/>
          </w:pgBorders>
          <w:pgNumType w:start="1"/>
          <w:cols w:space="708" w:num="1"/>
          <w:titlePg/>
          <w:docGrid w:type="lines" w:linePitch="360" w:charSpace="0"/>
        </w:sectPr>
      </w:pPr>
    </w:p>
    <w:p>
      <w:pPr>
        <w:pStyle w:val="24"/>
        <w:ind w:left="0" w:leftChars="0"/>
        <w:rPr>
          <w:rFonts w:cs="宋体"/>
          <w:color w:val="auto"/>
          <w:sz w:val="40"/>
          <w:szCs w:val="40"/>
          <w:highlight w:val="none"/>
        </w:rPr>
      </w:pPr>
      <w:r>
        <w:rPr>
          <w:rFonts w:hint="eastAsia" w:cs="宋体"/>
          <w:color w:val="auto"/>
          <w:sz w:val="40"/>
          <w:szCs w:val="40"/>
          <w:highlight w:val="none"/>
        </w:rPr>
        <w:t>目录</w:t>
      </w:r>
    </w:p>
    <w:p>
      <w:pPr>
        <w:pStyle w:val="24"/>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_Toc1445 \h </w:instrText>
      </w:r>
      <w:r>
        <w:rPr>
          <w:rFonts w:hint="eastAsia" w:cs="宋体"/>
          <w:color w:val="auto"/>
          <w:sz w:val="21"/>
          <w:szCs w:val="21"/>
          <w:highlight w:val="none"/>
        </w:rPr>
        <w:fldChar w:fldCharType="separate"/>
      </w:r>
      <w:r>
        <w:rPr>
          <w:rFonts w:hint="eastAsia" w:cs="宋体"/>
          <w:color w:val="auto"/>
          <w:sz w:val="21"/>
          <w:szCs w:val="21"/>
          <w:highlight w:val="none"/>
        </w:rPr>
        <w:t>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_Toc21237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hint="eastAsia" w:cs="宋体"/>
          <w:color w:val="auto"/>
          <w:sz w:val="21"/>
          <w:szCs w:val="21"/>
          <w:highlight w:val="none"/>
        </w:rPr>
        <w:t>一、 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hint="eastAsia" w:cs="宋体"/>
          <w:color w:val="auto"/>
          <w:sz w:val="21"/>
          <w:szCs w:val="21"/>
          <w:highlight w:val="none"/>
        </w:rPr>
        <w:t>1. 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hint="eastAsia" w:cs="宋体"/>
          <w:color w:val="auto"/>
          <w:sz w:val="21"/>
          <w:szCs w:val="21"/>
          <w:highlight w:val="none"/>
        </w:rPr>
        <w:t>2. 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hint="eastAsia" w:cs="宋体"/>
          <w:color w:val="auto"/>
          <w:sz w:val="21"/>
          <w:szCs w:val="21"/>
          <w:highlight w:val="none"/>
        </w:rPr>
        <w:t>3. 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hint="eastAsia" w:cs="宋体"/>
          <w:color w:val="auto"/>
          <w:sz w:val="21"/>
          <w:szCs w:val="21"/>
          <w:highlight w:val="none"/>
        </w:rPr>
        <w:t>4. 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43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hint="eastAsia" w:cs="宋体"/>
          <w:color w:val="auto"/>
          <w:sz w:val="21"/>
          <w:szCs w:val="21"/>
          <w:highlight w:val="none"/>
        </w:rPr>
        <w:t>5. 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hint="eastAsia" w:cs="宋体"/>
          <w:color w:val="auto"/>
          <w:sz w:val="21"/>
          <w:szCs w:val="21"/>
          <w:highlight w:val="none"/>
        </w:rPr>
        <w:t>6. 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hint="eastAsia" w:cs="宋体"/>
          <w:color w:val="auto"/>
          <w:sz w:val="21"/>
          <w:szCs w:val="21"/>
          <w:highlight w:val="none"/>
        </w:rPr>
        <w:t>7. 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hint="eastAsia" w:cs="宋体"/>
          <w:color w:val="auto"/>
          <w:sz w:val="21"/>
          <w:szCs w:val="21"/>
          <w:highlight w:val="none"/>
        </w:rPr>
        <w:t>8. 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hint="eastAsia" w:cs="宋体"/>
          <w:color w:val="auto"/>
          <w:sz w:val="21"/>
          <w:szCs w:val="21"/>
          <w:highlight w:val="none"/>
        </w:rPr>
        <w:t>二、 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hint="eastAsia" w:cs="宋体"/>
          <w:color w:val="auto"/>
          <w:sz w:val="21"/>
          <w:szCs w:val="21"/>
          <w:highlight w:val="none"/>
        </w:rPr>
        <w:t>9. 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hint="eastAsia" w:cs="宋体"/>
          <w:color w:val="auto"/>
          <w:sz w:val="21"/>
          <w:szCs w:val="21"/>
          <w:highlight w:val="none"/>
        </w:rPr>
        <w:t>10. 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hint="eastAsia" w:cs="宋体"/>
          <w:color w:val="auto"/>
          <w:sz w:val="21"/>
          <w:szCs w:val="21"/>
          <w:highlight w:val="none"/>
        </w:rPr>
        <w:t>三、 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hint="eastAsia" w:cs="宋体"/>
          <w:color w:val="auto"/>
          <w:sz w:val="21"/>
          <w:szCs w:val="21"/>
          <w:highlight w:val="none"/>
        </w:rPr>
        <w:t>11. 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hint="eastAsia" w:cs="宋体"/>
          <w:color w:val="auto"/>
          <w:sz w:val="21"/>
          <w:szCs w:val="21"/>
          <w:highlight w:val="none"/>
        </w:rPr>
        <w:t>12. 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hint="eastAsia" w:cs="宋体"/>
          <w:color w:val="auto"/>
          <w:sz w:val="21"/>
          <w:szCs w:val="21"/>
          <w:highlight w:val="none"/>
        </w:rPr>
        <w:t>13. 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hint="eastAsia" w:cs="宋体"/>
          <w:color w:val="auto"/>
          <w:sz w:val="21"/>
          <w:szCs w:val="21"/>
          <w:highlight w:val="none"/>
        </w:rPr>
        <w:t>14. 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hint="eastAsia" w:cs="宋体"/>
          <w:color w:val="auto"/>
          <w:sz w:val="21"/>
          <w:szCs w:val="21"/>
          <w:highlight w:val="none"/>
        </w:rPr>
        <w:t>15. 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hint="eastAsia" w:cs="宋体"/>
          <w:color w:val="auto"/>
          <w:sz w:val="21"/>
          <w:szCs w:val="21"/>
          <w:highlight w:val="none"/>
        </w:rPr>
        <w:t>16. 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hint="eastAsia" w:cs="宋体"/>
          <w:color w:val="auto"/>
          <w:sz w:val="21"/>
          <w:szCs w:val="21"/>
          <w:highlight w:val="none"/>
        </w:rPr>
        <w:t>17. 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hint="eastAsia" w:cs="宋体"/>
          <w:color w:val="auto"/>
          <w:sz w:val="21"/>
          <w:szCs w:val="21"/>
          <w:highlight w:val="none"/>
        </w:rPr>
        <w:t>四、 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hint="eastAsia" w:cs="宋体"/>
          <w:color w:val="auto"/>
          <w:sz w:val="21"/>
          <w:szCs w:val="21"/>
          <w:highlight w:val="none"/>
        </w:rPr>
        <w:t>18. 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hint="eastAsia" w:cs="宋体"/>
          <w:color w:val="auto"/>
          <w:sz w:val="21"/>
          <w:szCs w:val="21"/>
          <w:highlight w:val="none"/>
        </w:rPr>
        <w:t>19. 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hint="eastAsia" w:cs="宋体"/>
          <w:color w:val="auto"/>
          <w:sz w:val="21"/>
          <w:szCs w:val="21"/>
          <w:highlight w:val="none"/>
        </w:rPr>
        <w:t>20. 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hint="eastAsia" w:cs="宋体"/>
          <w:color w:val="auto"/>
          <w:sz w:val="21"/>
          <w:szCs w:val="21"/>
          <w:highlight w:val="none"/>
        </w:rPr>
        <w:t>21. 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hint="eastAsia" w:cs="宋体"/>
          <w:color w:val="auto"/>
          <w:sz w:val="21"/>
          <w:szCs w:val="21"/>
          <w:highlight w:val="none"/>
        </w:rPr>
        <w:t>22. 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hint="eastAsia" w:cs="宋体"/>
          <w:color w:val="auto"/>
          <w:sz w:val="21"/>
          <w:szCs w:val="21"/>
          <w:highlight w:val="none"/>
        </w:rPr>
        <w:t>五、 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hint="eastAsia" w:cs="宋体"/>
          <w:color w:val="auto"/>
          <w:sz w:val="21"/>
          <w:szCs w:val="21"/>
          <w:highlight w:val="none"/>
        </w:rPr>
        <w:t>23. 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hint="eastAsia" w:cs="宋体"/>
          <w:color w:val="auto"/>
          <w:sz w:val="21"/>
          <w:szCs w:val="21"/>
          <w:highlight w:val="none"/>
        </w:rPr>
        <w:t>24. 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hint="eastAsia" w:cs="宋体"/>
          <w:color w:val="auto"/>
          <w:sz w:val="21"/>
          <w:szCs w:val="21"/>
          <w:highlight w:val="none"/>
        </w:rPr>
        <w:t>25. 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hint="eastAsia" w:cs="宋体"/>
          <w:color w:val="auto"/>
          <w:sz w:val="21"/>
          <w:szCs w:val="21"/>
          <w:highlight w:val="none"/>
        </w:rPr>
        <w:t>26. 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hint="eastAsia" w:cs="宋体"/>
          <w:color w:val="auto"/>
          <w:sz w:val="21"/>
          <w:szCs w:val="21"/>
          <w:highlight w:val="none"/>
        </w:rPr>
        <w:t>27. 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hint="eastAsia" w:cs="宋体"/>
          <w:color w:val="auto"/>
          <w:sz w:val="21"/>
          <w:szCs w:val="21"/>
          <w:highlight w:val="none"/>
        </w:rPr>
        <w:t>28. 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54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hint="eastAsia" w:cs="宋体"/>
          <w:color w:val="auto"/>
          <w:sz w:val="21"/>
          <w:szCs w:val="21"/>
          <w:highlight w:val="none"/>
        </w:rPr>
        <w:t>六、 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hint="eastAsia" w:cs="宋体"/>
          <w:color w:val="auto"/>
          <w:sz w:val="21"/>
          <w:szCs w:val="21"/>
          <w:highlight w:val="none"/>
        </w:rPr>
        <w:t>29. 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hint="eastAsia" w:cs="宋体"/>
          <w:color w:val="auto"/>
          <w:sz w:val="21"/>
          <w:szCs w:val="21"/>
          <w:highlight w:val="none"/>
        </w:rPr>
        <w:t>30. 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hint="eastAsia" w:cs="宋体"/>
          <w:color w:val="auto"/>
          <w:sz w:val="21"/>
          <w:szCs w:val="21"/>
          <w:highlight w:val="none"/>
        </w:rPr>
        <w:t>31. 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hint="eastAsia" w:cs="宋体"/>
          <w:color w:val="auto"/>
          <w:sz w:val="21"/>
          <w:szCs w:val="21"/>
          <w:highlight w:val="none"/>
        </w:rPr>
        <w:t>32. 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hint="eastAsia" w:cs="宋体"/>
          <w:color w:val="auto"/>
          <w:sz w:val="21"/>
          <w:szCs w:val="21"/>
          <w:highlight w:val="none"/>
        </w:rPr>
        <w:t>33. 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hint="eastAsia" w:cs="宋体"/>
          <w:color w:val="auto"/>
          <w:sz w:val="21"/>
          <w:szCs w:val="21"/>
          <w:highlight w:val="none"/>
        </w:rPr>
        <w:t>34. 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hint="eastAsia" w:cs="宋体"/>
          <w:color w:val="auto"/>
          <w:sz w:val="21"/>
          <w:szCs w:val="21"/>
          <w:highlight w:val="none"/>
        </w:rPr>
        <w:t>七、 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hint="eastAsia" w:cs="宋体"/>
          <w:color w:val="auto"/>
          <w:sz w:val="21"/>
          <w:szCs w:val="21"/>
          <w:highlight w:val="none"/>
        </w:rPr>
        <w:t>35. 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hint="eastAsia" w:cs="宋体"/>
          <w:color w:val="auto"/>
          <w:sz w:val="21"/>
          <w:szCs w:val="21"/>
          <w:highlight w:val="none"/>
        </w:rPr>
        <w:t>八、 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hint="eastAsia" w:cs="宋体"/>
          <w:color w:val="auto"/>
          <w:sz w:val="21"/>
          <w:szCs w:val="21"/>
          <w:highlight w:val="none"/>
        </w:rPr>
        <w:t>36. 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59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81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81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82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83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84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85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86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87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88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89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90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91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92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93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94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95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96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97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99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100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101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102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103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105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106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107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108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4"/>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6"/>
        <w:spacing w:before="0" w:after="0" w:line="240" w:lineRule="auto"/>
        <w:rPr>
          <w:rFonts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pPr>
        <w:pStyle w:val="7"/>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pPr>
        <w:ind w:firstLine="422" w:firstLineChars="200"/>
        <w:jc w:val="both"/>
        <w:rPr>
          <w:rFonts w:ascii="宋体" w:hAnsi="宋体" w:cs="宋体"/>
          <w:color w:val="auto"/>
          <w:szCs w:val="21"/>
          <w:highlight w:val="none"/>
        </w:rPr>
      </w:pPr>
      <w:r>
        <w:rPr>
          <w:rFonts w:hint="eastAsia" w:ascii="宋体" w:hAnsi="宋体" w:cs="宋体"/>
          <w:b/>
          <w:bCs/>
          <w:color w:val="auto"/>
          <w:szCs w:val="21"/>
          <w:highlight w:val="none"/>
          <w:u w:val="single"/>
        </w:rPr>
        <w:t>广东志合项目管理有限公司</w:t>
      </w:r>
      <w:r>
        <w:rPr>
          <w:rFonts w:hint="eastAsia" w:ascii="宋体" w:hAnsi="宋体" w:cs="宋体"/>
          <w:color w:val="auto"/>
          <w:szCs w:val="21"/>
          <w:highlight w:val="none"/>
        </w:rPr>
        <w:t>（以下简称“采购代理机构”）受</w:t>
      </w:r>
      <w:r>
        <w:rPr>
          <w:rFonts w:hint="eastAsia" w:ascii="宋体" w:hAnsi="宋体" w:cs="宋体"/>
          <w:b/>
          <w:color w:val="auto"/>
          <w:szCs w:val="21"/>
          <w:highlight w:val="none"/>
          <w:u w:val="single"/>
        </w:rPr>
        <w:t>东莞市安居建设投资有限公司</w:t>
      </w:r>
      <w:r>
        <w:rPr>
          <w:rFonts w:hint="eastAsia" w:ascii="宋体" w:hAnsi="宋体" w:cs="宋体"/>
          <w:color w:val="auto"/>
          <w:szCs w:val="21"/>
          <w:highlight w:val="none"/>
        </w:rPr>
        <w:t>（以下简称“采购人”）委托，现就</w:t>
      </w:r>
      <w:r>
        <w:rPr>
          <w:rFonts w:hint="eastAsia" w:ascii="宋体" w:hAnsi="宋体" w:cs="宋体"/>
          <w:b/>
          <w:color w:val="auto"/>
          <w:szCs w:val="21"/>
          <w:highlight w:val="none"/>
          <w:u w:val="single"/>
        </w:rPr>
        <w:t>2023-2025年东莞市安居建设投资有限公司电梯维保项目</w:t>
      </w:r>
      <w:r>
        <w:rPr>
          <w:rFonts w:hint="eastAsia" w:ascii="宋体" w:hAnsi="宋体" w:cs="宋体"/>
          <w:color w:val="auto"/>
          <w:szCs w:val="21"/>
          <w:highlight w:val="none"/>
        </w:rPr>
        <w:t>（项目编号：</w:t>
      </w:r>
      <w:r>
        <w:rPr>
          <w:rFonts w:ascii="宋体" w:hAnsi="宋体" w:cs="宋体"/>
          <w:b/>
          <w:bCs/>
          <w:color w:val="auto"/>
          <w:szCs w:val="21"/>
          <w:highlight w:val="none"/>
        </w:rPr>
        <w:t>AJJS-WB-05-02-003(2023)</w:t>
      </w:r>
      <w:r>
        <w:rPr>
          <w:rFonts w:hint="eastAsia" w:ascii="宋体" w:hAnsi="宋体" w:cs="宋体"/>
          <w:color w:val="auto"/>
          <w:szCs w:val="21"/>
          <w:highlight w:val="none"/>
        </w:rPr>
        <w:t>）进行国内公开采购，欢迎符合采购文件要求的国内投标人参加投标。有关事项如下：</w:t>
      </w:r>
    </w:p>
    <w:p>
      <w:pPr>
        <w:ind w:firstLine="413" w:firstLineChars="196"/>
        <w:jc w:val="both"/>
        <w:rPr>
          <w:rFonts w:ascii="宋体" w:hAnsi="宋体" w:cs="宋体"/>
          <w:b/>
          <w:color w:val="auto"/>
          <w:szCs w:val="21"/>
          <w:highlight w:val="none"/>
        </w:rPr>
      </w:pPr>
    </w:p>
    <w:p>
      <w:pPr>
        <w:ind w:firstLine="413"/>
        <w:jc w:val="both"/>
        <w:rPr>
          <w:rFonts w:ascii="宋体" w:hAnsi="宋体" w:cs="宋体"/>
          <w:b/>
          <w:color w:val="auto"/>
          <w:szCs w:val="21"/>
          <w:highlight w:val="none"/>
        </w:rPr>
      </w:pPr>
      <w:r>
        <w:rPr>
          <w:rFonts w:hint="eastAsia" w:ascii="宋体" w:hAnsi="宋体" w:cs="宋体"/>
          <w:b/>
          <w:color w:val="auto"/>
          <w:szCs w:val="21"/>
          <w:highlight w:val="none"/>
        </w:rPr>
        <w:t>一、采购项目概况</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1、采购项目名称：</w:t>
      </w:r>
      <w:r>
        <w:rPr>
          <w:rFonts w:hint="eastAsia" w:ascii="宋体" w:hAnsi="宋体" w:cs="宋体"/>
          <w:b/>
          <w:color w:val="auto"/>
          <w:szCs w:val="21"/>
          <w:highlight w:val="none"/>
          <w:u w:val="single"/>
        </w:rPr>
        <w:t>2023-2025年东莞市安居建设投资有限公司电梯维保项目</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2、预算金额（元）：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891777.60</w:t>
      </w:r>
      <w:r>
        <w:rPr>
          <w:rFonts w:hint="eastAsia" w:ascii="宋体" w:hAnsi="宋体" w:cs="宋体"/>
          <w:color w:val="auto"/>
          <w:szCs w:val="21"/>
          <w:highlight w:val="none"/>
          <w:u w:val="single"/>
        </w:rPr>
        <w:t>元</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3、最高限价（元）：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891777.60</w:t>
      </w:r>
      <w:r>
        <w:rPr>
          <w:rFonts w:hint="eastAsia" w:ascii="宋体" w:hAnsi="宋体" w:cs="宋体"/>
          <w:color w:val="auto"/>
          <w:szCs w:val="21"/>
          <w:highlight w:val="none"/>
          <w:u w:val="single"/>
        </w:rPr>
        <w:t>元</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4、项目内容</w:t>
      </w:r>
    </w:p>
    <w:tbl>
      <w:tblPr>
        <w:tblStyle w:val="28"/>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3641"/>
        <w:gridCol w:w="145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98"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采购包号</w:t>
            </w:r>
          </w:p>
        </w:tc>
        <w:tc>
          <w:tcPr>
            <w:tcW w:w="2193"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877"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232" w:type="pct"/>
            <w:vAlign w:val="center"/>
          </w:tcPr>
          <w:p>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98"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A</w:t>
            </w:r>
          </w:p>
        </w:tc>
        <w:tc>
          <w:tcPr>
            <w:tcW w:w="2193"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2023-2025年东莞市安居建设投资有限公司电梯维保项目</w:t>
            </w:r>
          </w:p>
        </w:tc>
        <w:tc>
          <w:tcPr>
            <w:tcW w:w="877" w:type="pct"/>
            <w:vAlign w:val="center"/>
          </w:tcPr>
          <w:p>
            <w:pPr>
              <w:spacing w:line="240" w:lineRule="auto"/>
              <w:jc w:val="center"/>
              <w:rPr>
                <w:rFonts w:ascii="宋体" w:hAnsi="宋体" w:cs="宋体"/>
                <w:color w:val="auto"/>
                <w:szCs w:val="21"/>
                <w:highlight w:val="none"/>
              </w:rPr>
            </w:pPr>
            <w:r>
              <w:rPr>
                <w:rFonts w:ascii="宋体" w:hAnsi="宋体" w:cs="宋体"/>
                <w:color w:val="auto"/>
                <w:szCs w:val="21"/>
                <w:highlight w:val="none"/>
              </w:rPr>
              <w:t>1</w:t>
            </w:r>
          </w:p>
        </w:tc>
        <w:tc>
          <w:tcPr>
            <w:tcW w:w="1232" w:type="pct"/>
            <w:vAlign w:val="center"/>
          </w:tcPr>
          <w:p>
            <w:pPr>
              <w:spacing w:line="240" w:lineRule="auto"/>
              <w:jc w:val="center"/>
              <w:rPr>
                <w:rFonts w:ascii="宋体" w:hAnsi="宋体" w:cs="宋体"/>
                <w:color w:val="auto"/>
                <w:szCs w:val="21"/>
                <w:highlight w:val="none"/>
              </w:rPr>
            </w:pPr>
            <w:r>
              <w:rPr>
                <w:rFonts w:hint="eastAsia" w:ascii="宋体" w:hAnsi="宋体" w:cs="宋体"/>
                <w:color w:val="auto"/>
                <w:szCs w:val="21"/>
                <w:highlight w:val="none"/>
              </w:rPr>
              <w:t>自合同签订后2年</w:t>
            </w:r>
          </w:p>
        </w:tc>
      </w:tr>
    </w:tbl>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5、项目需求</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详细内容请参阅采购文件第三部分《用户需求书》。</w:t>
      </w:r>
    </w:p>
    <w:p>
      <w:pPr>
        <w:ind w:firstLine="413" w:firstLineChars="196"/>
        <w:jc w:val="both"/>
        <w:rPr>
          <w:rFonts w:ascii="宋体" w:hAnsi="宋体" w:cs="宋体"/>
          <w:b/>
          <w:color w:val="auto"/>
          <w:szCs w:val="21"/>
          <w:highlight w:val="none"/>
        </w:rPr>
      </w:pP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二、投标人资格要求</w:t>
      </w:r>
    </w:p>
    <w:p>
      <w:pPr>
        <w:ind w:firstLine="411" w:firstLineChars="196"/>
        <w:jc w:val="both"/>
        <w:rPr>
          <w:rFonts w:ascii="宋体" w:hAnsi="宋体" w:cs="宋体"/>
          <w:color w:val="auto"/>
          <w:szCs w:val="21"/>
          <w:highlight w:val="none"/>
        </w:rPr>
      </w:pPr>
      <w:r>
        <w:rPr>
          <w:rFonts w:hint="eastAsia" w:ascii="宋体" w:hAnsi="宋体" w:cs="宋体"/>
          <w:color w:val="auto"/>
          <w:szCs w:val="21"/>
          <w:highlight w:val="none"/>
        </w:rPr>
        <w:t>1、一般要求：</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w:t>
      </w:r>
      <w:r>
        <w:rPr>
          <w:rFonts w:hint="eastAsia" w:ascii="宋体" w:hAnsi="宋体" w:cs="宋体"/>
          <w:color w:val="auto"/>
          <w:highlight w:val="none"/>
        </w:rPr>
        <w:t>重大税收违法失信主体</w:t>
      </w:r>
      <w:r>
        <w:rPr>
          <w:rFonts w:hint="eastAsia" w:ascii="宋体" w:hAnsi="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kern w:val="2"/>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2、其他要求</w:t>
      </w:r>
    </w:p>
    <w:p>
      <w:pPr>
        <w:ind w:firstLine="420" w:firstLineChars="200"/>
        <w:jc w:val="both"/>
        <w:rPr>
          <w:rFonts w:ascii="宋体" w:hAnsi="宋体" w:cs="宋体"/>
          <w:color w:val="auto"/>
          <w:highlight w:val="none"/>
        </w:rPr>
      </w:pPr>
      <w:r>
        <w:rPr>
          <w:rFonts w:hint="eastAsia" w:ascii="宋体" w:hAnsi="宋体" w:cs="宋体"/>
          <w:color w:val="auto"/>
          <w:highlight w:val="none"/>
        </w:rPr>
        <w:t xml:space="preserve">投标人必须具有《中华人民共和国特种设备生产许可证》或《中华人民共和国特种设备安装改造维修许可证》（电梯）B级或以上资质。 </w:t>
      </w: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三、获取采购文件方式及要求：</w:t>
      </w:r>
    </w:p>
    <w:p>
      <w:pPr>
        <w:wordWrap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w:t>
      </w:r>
      <w:r>
        <w:rPr>
          <w:rFonts w:hint="eastAsia" w:ascii="宋体" w:hAnsi="宋体" w:cs="宋体"/>
          <w:color w:val="auto"/>
          <w:szCs w:val="21"/>
          <w:highlight w:val="none"/>
          <w:u w:val="single"/>
          <w:lang w:eastAsia="zh-CN"/>
        </w:rPr>
        <w:t>东莞市安居建设投资有限公司网站（https://www.0769aj.com/）</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zh-TW" w:eastAsia="zh-TW"/>
        </w:rPr>
        <w:t>广东志合项目管理有限公司</w:t>
      </w:r>
      <w:r>
        <w:rPr>
          <w:rFonts w:hint="eastAsia" w:ascii="宋体" w:hAnsi="宋体" w:cs="宋体"/>
          <w:color w:val="auto"/>
          <w:szCs w:val="21"/>
          <w:highlight w:val="none"/>
          <w:u w:val="single"/>
        </w:rPr>
        <w:t>官网（http://www.gdzhihe.cn/）</w:t>
      </w:r>
      <w:r>
        <w:rPr>
          <w:rFonts w:hint="eastAsia" w:ascii="宋体" w:hAnsi="宋体" w:cs="宋体"/>
          <w:color w:val="auto"/>
          <w:szCs w:val="21"/>
          <w:highlight w:val="none"/>
        </w:rPr>
        <w:t>。</w:t>
      </w:r>
    </w:p>
    <w:p>
      <w:pPr>
        <w:jc w:val="both"/>
        <w:rPr>
          <w:rFonts w:ascii="宋体" w:hAnsi="宋体" w:cs="宋体"/>
          <w:color w:val="auto"/>
          <w:highlight w:val="none"/>
        </w:rPr>
      </w:pPr>
    </w:p>
    <w:p>
      <w:pPr>
        <w:ind w:firstLine="413" w:firstLineChars="196"/>
        <w:jc w:val="both"/>
        <w:rPr>
          <w:rFonts w:ascii="宋体" w:hAnsi="宋体" w:cs="宋体"/>
          <w:b/>
          <w:color w:val="auto"/>
          <w:szCs w:val="21"/>
          <w:highlight w:val="none"/>
        </w:rPr>
      </w:pPr>
      <w:r>
        <w:rPr>
          <w:rFonts w:hint="eastAsia" w:ascii="宋体" w:hAnsi="宋体" w:cs="宋体"/>
          <w:b/>
          <w:color w:val="auto"/>
          <w:szCs w:val="21"/>
          <w:highlight w:val="none"/>
        </w:rPr>
        <w:t>四、投标文件的递交</w:t>
      </w:r>
    </w:p>
    <w:p>
      <w:pPr>
        <w:ind w:firstLine="420" w:firstLineChars="200"/>
        <w:jc w:val="both"/>
        <w:rPr>
          <w:rFonts w:hint="eastAsia" w:ascii="宋体" w:hAnsi="宋体" w:eastAsia="宋体" w:cs="宋体"/>
          <w:color w:val="auto"/>
          <w:szCs w:val="21"/>
          <w:highlight w:val="none"/>
        </w:rPr>
      </w:pPr>
      <w:r>
        <w:rPr>
          <w:rFonts w:hint="eastAsia" w:ascii="宋体" w:hAnsi="宋体" w:cs="宋体"/>
          <w:color w:val="auto"/>
          <w:szCs w:val="21"/>
          <w:highlight w:val="none"/>
        </w:rPr>
        <w:t>1、递交投标文件时间：20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rPr>
        <w:t>日（北京时间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Cs w:val="21"/>
          <w:highlight w:val="none"/>
        </w:rPr>
        <w:t>。</w:t>
      </w:r>
    </w:p>
    <w:p>
      <w:pPr>
        <w:ind w:firstLine="420" w:firstLineChars="200"/>
        <w:jc w:val="both"/>
        <w:rPr>
          <w:rFonts w:ascii="宋体" w:hAnsi="宋体" w:cs="宋体"/>
          <w:b/>
          <w:color w:val="auto"/>
          <w:szCs w:val="21"/>
          <w:highlight w:val="none"/>
        </w:rPr>
      </w:pPr>
      <w:r>
        <w:rPr>
          <w:rFonts w:hint="eastAsia" w:ascii="宋体" w:hAnsi="宋体" w:cs="宋体"/>
          <w:color w:val="auto"/>
          <w:szCs w:val="21"/>
          <w:highlight w:val="none"/>
        </w:rPr>
        <w:t>2、递交投标文件截止及开标时间：20</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08</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rPr>
        <w:t>:</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（北京时间），所有投标文件应于截止时间之前递交，迟交或以电报、传真形式的投标文件将拒绝接收。</w:t>
      </w:r>
    </w:p>
    <w:p>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3、开标地点：</w:t>
      </w:r>
      <w:r>
        <w:rPr>
          <w:rFonts w:hint="eastAsia" w:ascii="宋体" w:hAnsi="宋体" w:cs="宋体"/>
          <w:color w:val="auto"/>
          <w:szCs w:val="21"/>
          <w:highlight w:val="none"/>
          <w:u w:val="single"/>
          <w:lang w:val="zh-TW" w:eastAsia="zh-TW"/>
        </w:rPr>
        <w:t>广东省东莞市南城街道西平三路</w:t>
      </w: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zh-TW" w:eastAsia="zh-TW"/>
        </w:rPr>
        <w:t>号</w:t>
      </w:r>
      <w:r>
        <w:rPr>
          <w:rFonts w:hint="eastAsia" w:ascii="宋体" w:hAnsi="宋体" w:cs="宋体"/>
          <w:color w:val="auto"/>
          <w:szCs w:val="21"/>
          <w:highlight w:val="none"/>
          <w:u w:val="single"/>
        </w:rPr>
        <w:t>2</w:t>
      </w:r>
      <w:r>
        <w:rPr>
          <w:rFonts w:hint="eastAsia" w:ascii="宋体" w:hAnsi="宋体" w:cs="宋体"/>
          <w:color w:val="auto"/>
          <w:szCs w:val="21"/>
          <w:highlight w:val="none"/>
          <w:u w:val="single"/>
          <w:lang w:val="zh-TW" w:eastAsia="zh-TW"/>
        </w:rPr>
        <w:t>栋</w:t>
      </w:r>
      <w:r>
        <w:rPr>
          <w:rFonts w:hint="eastAsia" w:ascii="宋体" w:hAnsi="宋体" w:cs="宋体"/>
          <w:color w:val="auto"/>
          <w:szCs w:val="21"/>
          <w:highlight w:val="none"/>
          <w:u w:val="single"/>
        </w:rPr>
        <w:t>11</w:t>
      </w:r>
      <w:r>
        <w:rPr>
          <w:rFonts w:hint="eastAsia" w:ascii="宋体" w:hAnsi="宋体" w:cs="宋体"/>
          <w:color w:val="auto"/>
          <w:szCs w:val="21"/>
          <w:highlight w:val="none"/>
          <w:u w:val="single"/>
          <w:lang w:val="zh-TW" w:eastAsia="zh-TW"/>
        </w:rPr>
        <w:t>单元</w:t>
      </w:r>
      <w:r>
        <w:rPr>
          <w:rFonts w:hint="eastAsia" w:ascii="宋体" w:hAnsi="宋体" w:cs="宋体"/>
          <w:color w:val="auto"/>
          <w:szCs w:val="21"/>
          <w:highlight w:val="none"/>
          <w:u w:val="single"/>
        </w:rPr>
        <w:t>301</w:t>
      </w:r>
      <w:r>
        <w:rPr>
          <w:rFonts w:hint="eastAsia" w:ascii="宋体" w:hAnsi="宋体" w:cs="宋体"/>
          <w:color w:val="auto"/>
          <w:szCs w:val="21"/>
          <w:highlight w:val="none"/>
          <w:u w:val="single"/>
          <w:lang w:val="zh-TW" w:eastAsia="zh-TW"/>
        </w:rPr>
        <w:t>室</w:t>
      </w:r>
      <w:r>
        <w:rPr>
          <w:rFonts w:hint="eastAsia" w:ascii="宋体" w:hAnsi="宋体" w:cs="宋体"/>
          <w:color w:val="auto"/>
          <w:szCs w:val="21"/>
          <w:highlight w:val="none"/>
          <w:u w:val="single"/>
        </w:rPr>
        <w:t>。</w:t>
      </w:r>
    </w:p>
    <w:p>
      <w:pPr>
        <w:ind w:firstLine="411" w:firstLineChars="196"/>
        <w:jc w:val="both"/>
        <w:rPr>
          <w:rFonts w:ascii="宋体" w:hAnsi="宋体" w:cs="宋体"/>
          <w:bCs/>
          <w:color w:val="auto"/>
          <w:szCs w:val="21"/>
          <w:highlight w:val="none"/>
        </w:rPr>
      </w:pPr>
      <w:r>
        <w:rPr>
          <w:rFonts w:hint="eastAsia" w:ascii="宋体" w:hAnsi="宋体" w:cs="宋体"/>
          <w:bCs/>
          <w:color w:val="auto"/>
          <w:szCs w:val="21"/>
          <w:highlight w:val="none"/>
        </w:rPr>
        <w:t>4、开标事宜：</w:t>
      </w:r>
      <w:r>
        <w:rPr>
          <w:rFonts w:hint="eastAsia" w:ascii="宋体" w:hAnsi="宋体" w:cs="宋体"/>
          <w:b/>
          <w:bCs/>
          <w:color w:val="auto"/>
          <w:szCs w:val="21"/>
          <w:highlight w:val="none"/>
        </w:rPr>
        <w:t>届时请投标人的法定代表人或其授权代表务必携带有效身份证明出席开标会</w:t>
      </w:r>
      <w:r>
        <w:rPr>
          <w:rFonts w:hint="eastAsia" w:ascii="宋体" w:hAnsi="宋体" w:cs="宋体"/>
          <w:bCs/>
          <w:color w:val="auto"/>
          <w:szCs w:val="21"/>
          <w:highlight w:val="none"/>
        </w:rPr>
        <w:t>。</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pPr>
        <w:pStyle w:val="36"/>
        <w:ind w:firstLine="400"/>
        <w:rPr>
          <w:rFonts w:ascii="宋体" w:hAnsi="宋体" w:eastAsia="宋体" w:cs="宋体"/>
          <w:color w:val="auto"/>
          <w:highlight w:val="none"/>
        </w:rPr>
      </w:pPr>
    </w:p>
    <w:p>
      <w:pPr>
        <w:pStyle w:val="36"/>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pPr>
        <w:pStyle w:val="36"/>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东莞市安居建设投资有限公司网站（https://www.0769aj.com/）</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zh-TW" w:eastAsia="zh-TW"/>
        </w:rPr>
        <w:t>广东志合项目管理有限公司</w:t>
      </w:r>
      <w:r>
        <w:rPr>
          <w:rFonts w:hint="eastAsia" w:ascii="宋体" w:hAnsi="宋体" w:eastAsia="宋体" w:cs="宋体"/>
          <w:color w:val="auto"/>
          <w:szCs w:val="21"/>
          <w:highlight w:val="none"/>
          <w:u w:val="single"/>
        </w:rPr>
        <w:t>官网</w:t>
      </w:r>
      <w:r>
        <w:rPr>
          <w:rFonts w:hint="eastAsia" w:ascii="宋体" w:hAnsi="宋体" w:eastAsia="宋体" w:cs="宋体"/>
          <w:color w:val="auto"/>
          <w:sz w:val="21"/>
          <w:szCs w:val="21"/>
          <w:highlight w:val="none"/>
          <w:u w:val="single"/>
        </w:rPr>
        <w:t>（http://www.gdzhihe.cn/）</w:t>
      </w:r>
      <w:r>
        <w:rPr>
          <w:rFonts w:hint="eastAsia" w:ascii="宋体" w:hAnsi="宋体" w:eastAsia="宋体" w:cs="宋体"/>
          <w:color w:val="auto"/>
          <w:sz w:val="21"/>
          <w:szCs w:val="21"/>
          <w:highlight w:val="none"/>
        </w:rPr>
        <w:t>。</w:t>
      </w:r>
    </w:p>
    <w:p>
      <w:pPr>
        <w:pStyle w:val="36"/>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pPr>
        <w:pStyle w:val="36"/>
        <w:spacing w:line="360" w:lineRule="auto"/>
        <w:rPr>
          <w:rFonts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pPr>
        <w:ind w:firstLine="413" w:firstLineChars="196"/>
        <w:jc w:val="both"/>
        <w:rPr>
          <w:rFonts w:ascii="宋体" w:hAnsi="宋体" w:cs="宋体"/>
          <w:bCs/>
          <w:color w:val="auto"/>
          <w:szCs w:val="21"/>
          <w:highlight w:val="none"/>
        </w:rPr>
      </w:pPr>
      <w:r>
        <w:rPr>
          <w:rFonts w:hint="eastAsia" w:ascii="宋体" w:hAnsi="宋体" w:cs="宋体"/>
          <w:b/>
          <w:color w:val="auto"/>
          <w:szCs w:val="21"/>
          <w:highlight w:val="none"/>
        </w:rPr>
        <w:t>六、采购人及采购代理机构的名称、地址和联系方法：</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采购人名称：</w:t>
      </w:r>
      <w:r>
        <w:rPr>
          <w:rFonts w:hint="eastAsia" w:ascii="宋体" w:hAnsi="宋体" w:cs="宋体"/>
          <w:color w:val="auto"/>
          <w:szCs w:val="21"/>
          <w:highlight w:val="none"/>
        </w:rPr>
        <w:t>东莞市安居建设投资有限公司</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采购人联系人： 江工</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采购人地址：</w:t>
      </w:r>
      <w:r>
        <w:rPr>
          <w:rFonts w:hint="eastAsia" w:ascii="宋体" w:hAnsi="宋体" w:cs="宋体"/>
          <w:color w:val="auto"/>
          <w:szCs w:val="21"/>
          <w:highlight w:val="none"/>
        </w:rPr>
        <w:t>东莞市东城街道立新社区八一路1号机关二号大院9号楼</w:t>
      </w:r>
    </w:p>
    <w:p>
      <w:pPr>
        <w:ind w:firstLine="420" w:firstLineChars="200"/>
        <w:jc w:val="both"/>
        <w:rPr>
          <w:rFonts w:ascii="宋体" w:hAnsi="宋体" w:cs="宋体"/>
          <w:bCs/>
          <w:color w:val="auto"/>
          <w:szCs w:val="21"/>
          <w:highlight w:val="none"/>
        </w:rPr>
      </w:pPr>
      <w:r>
        <w:rPr>
          <w:rFonts w:hint="eastAsia" w:ascii="宋体" w:hAnsi="宋体" w:cs="宋体"/>
          <w:bCs/>
          <w:color w:val="auto"/>
          <w:szCs w:val="21"/>
          <w:highlight w:val="none"/>
        </w:rPr>
        <w:t>采购人联系电话：</w:t>
      </w:r>
      <w:r>
        <w:rPr>
          <w:rFonts w:hint="eastAsia" w:ascii="宋体" w:hAnsi="宋体"/>
          <w:bCs/>
          <w:color w:val="auto"/>
          <w:szCs w:val="21"/>
          <w:highlight w:val="none"/>
        </w:rPr>
        <w:t>0</w:t>
      </w:r>
      <w:r>
        <w:rPr>
          <w:rFonts w:ascii="宋体" w:hAnsi="宋体"/>
          <w:bCs/>
          <w:color w:val="auto"/>
          <w:szCs w:val="21"/>
          <w:highlight w:val="none"/>
        </w:rPr>
        <w:t>769</w:t>
      </w:r>
      <w:r>
        <w:rPr>
          <w:rFonts w:hint="eastAsia" w:ascii="宋体" w:hAnsi="宋体"/>
          <w:bCs/>
          <w:color w:val="auto"/>
          <w:szCs w:val="21"/>
          <w:highlight w:val="none"/>
        </w:rPr>
        <w:t>-</w:t>
      </w:r>
      <w:r>
        <w:rPr>
          <w:rFonts w:ascii="宋体" w:hAnsi="宋体"/>
          <w:bCs/>
          <w:color w:val="auto"/>
          <w:szCs w:val="21"/>
          <w:highlight w:val="none"/>
        </w:rPr>
        <w:t>22226146</w:t>
      </w:r>
      <w:r>
        <w:rPr>
          <w:rFonts w:hint="eastAsia" w:ascii="宋体" w:hAnsi="宋体" w:cs="宋体"/>
          <w:color w:val="auto"/>
          <w:sz w:val="22"/>
          <w:highlight w:val="none"/>
        </w:rPr>
        <w:t xml:space="preserve"> </w:t>
      </w:r>
    </w:p>
    <w:p>
      <w:pPr>
        <w:ind w:firstLine="420" w:firstLineChars="200"/>
        <w:jc w:val="both"/>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w:t>
      </w:r>
      <w:r>
        <w:rPr>
          <w:rFonts w:hint="eastAsia" w:ascii="宋体" w:hAnsi="宋体" w:cs="宋体"/>
          <w:color w:val="auto"/>
          <w:szCs w:val="21"/>
          <w:highlight w:val="none"/>
          <w:lang w:val="zh-TW" w:eastAsia="zh-TW"/>
        </w:rPr>
        <w:t>广东志合项目管理有限公司</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采购代理机构地址：</w:t>
      </w:r>
      <w:r>
        <w:rPr>
          <w:rFonts w:hint="eastAsia" w:ascii="宋体" w:hAnsi="宋体" w:cs="宋体"/>
          <w:color w:val="auto"/>
          <w:szCs w:val="21"/>
          <w:highlight w:val="none"/>
          <w:lang w:val="zh-TW" w:eastAsia="zh-TW"/>
        </w:rPr>
        <w:t>广东省东莞市南城街道西平三路</w:t>
      </w:r>
      <w:r>
        <w:rPr>
          <w:rFonts w:hint="eastAsia" w:ascii="宋体" w:hAnsi="宋体" w:cs="宋体"/>
          <w:color w:val="auto"/>
          <w:szCs w:val="21"/>
          <w:highlight w:val="none"/>
        </w:rPr>
        <w:t>3</w:t>
      </w:r>
      <w:r>
        <w:rPr>
          <w:rFonts w:hint="eastAsia" w:ascii="宋体" w:hAnsi="宋体" w:cs="宋体"/>
          <w:color w:val="auto"/>
          <w:szCs w:val="21"/>
          <w:highlight w:val="none"/>
          <w:lang w:val="zh-TW" w:eastAsia="zh-TW"/>
        </w:rPr>
        <w:t>号</w:t>
      </w:r>
      <w:r>
        <w:rPr>
          <w:rFonts w:hint="eastAsia" w:ascii="宋体" w:hAnsi="宋体" w:cs="宋体"/>
          <w:color w:val="auto"/>
          <w:szCs w:val="21"/>
          <w:highlight w:val="none"/>
        </w:rPr>
        <w:t>2</w:t>
      </w:r>
      <w:r>
        <w:rPr>
          <w:rFonts w:hint="eastAsia" w:ascii="宋体" w:hAnsi="宋体" w:cs="宋体"/>
          <w:color w:val="auto"/>
          <w:szCs w:val="21"/>
          <w:highlight w:val="none"/>
          <w:lang w:val="zh-TW" w:eastAsia="zh-TW"/>
        </w:rPr>
        <w:t>栋</w:t>
      </w:r>
      <w:r>
        <w:rPr>
          <w:rFonts w:hint="eastAsia" w:ascii="宋体" w:hAnsi="宋体" w:cs="宋体"/>
          <w:color w:val="auto"/>
          <w:szCs w:val="21"/>
          <w:highlight w:val="none"/>
        </w:rPr>
        <w:t>11</w:t>
      </w:r>
      <w:r>
        <w:rPr>
          <w:rFonts w:hint="eastAsia" w:ascii="宋体" w:hAnsi="宋体" w:cs="宋体"/>
          <w:color w:val="auto"/>
          <w:szCs w:val="21"/>
          <w:highlight w:val="none"/>
          <w:lang w:val="zh-TW" w:eastAsia="zh-TW"/>
        </w:rPr>
        <w:t>单元</w:t>
      </w:r>
      <w:r>
        <w:rPr>
          <w:rFonts w:hint="eastAsia" w:ascii="宋体" w:hAnsi="宋体" w:cs="宋体"/>
          <w:color w:val="auto"/>
          <w:szCs w:val="21"/>
          <w:highlight w:val="none"/>
        </w:rPr>
        <w:t>301</w:t>
      </w:r>
      <w:r>
        <w:rPr>
          <w:rFonts w:hint="eastAsia" w:ascii="宋体" w:hAnsi="宋体" w:cs="宋体"/>
          <w:color w:val="auto"/>
          <w:szCs w:val="21"/>
          <w:highlight w:val="none"/>
          <w:lang w:val="zh-TW" w:eastAsia="zh-TW"/>
        </w:rPr>
        <w:t>室</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采购代理机构联系人：</w:t>
      </w:r>
      <w:r>
        <w:rPr>
          <w:rFonts w:hint="eastAsia" w:ascii="宋体" w:hAnsi="宋体" w:cs="宋体"/>
          <w:color w:val="auto"/>
          <w:szCs w:val="21"/>
          <w:highlight w:val="none"/>
          <w:lang w:val="zh-TW" w:eastAsia="zh-TW"/>
        </w:rPr>
        <w:t>周旭</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采购代理机构联系电话：0769-22333556 </w:t>
      </w:r>
    </w:p>
    <w:p>
      <w:pPr>
        <w:ind w:firstLine="420" w:firstLineChars="200"/>
        <w:jc w:val="both"/>
        <w:rPr>
          <w:rFonts w:ascii="宋体" w:hAnsi="宋体" w:cs="宋体"/>
          <w:color w:val="auto"/>
          <w:highlight w:val="none"/>
        </w:rPr>
      </w:pPr>
      <w:r>
        <w:rPr>
          <w:rFonts w:hint="eastAsia" w:ascii="宋体" w:hAnsi="宋体" w:cs="宋体"/>
          <w:color w:val="auto"/>
          <w:szCs w:val="21"/>
          <w:highlight w:val="none"/>
        </w:rPr>
        <w:t xml:space="preserve">采购代理机构邮箱：48463673@qq.com  </w:t>
      </w:r>
    </w:p>
    <w:p>
      <w:pPr>
        <w:ind w:firstLine="420" w:firstLineChars="200"/>
        <w:rPr>
          <w:rFonts w:ascii="宋体" w:hAnsi="宋体" w:cs="宋体"/>
          <w:color w:val="auto"/>
          <w:highlight w:val="none"/>
        </w:rPr>
      </w:pPr>
    </w:p>
    <w:p>
      <w:pPr>
        <w:ind w:right="752" w:rightChars="358"/>
        <w:jc w:val="right"/>
        <w:rPr>
          <w:rFonts w:ascii="宋体" w:hAnsi="宋体" w:cs="宋体"/>
          <w:color w:val="auto"/>
          <w:highlight w:val="none"/>
        </w:rPr>
      </w:pP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lang w:val="zh-TW" w:eastAsia="zh-TW"/>
        </w:rPr>
        <w:t>广东志合项目管理有限公司</w:t>
      </w:r>
    </w:p>
    <w:p>
      <w:pPr>
        <w:ind w:right="752" w:rightChars="358"/>
        <w:jc w:val="right"/>
        <w:rPr>
          <w:rFonts w:ascii="宋体" w:hAnsi="宋体" w:cs="宋体"/>
          <w:color w:val="auto"/>
          <w:szCs w:val="21"/>
          <w:highlight w:val="none"/>
        </w:rPr>
      </w:pPr>
      <w:r>
        <w:rPr>
          <w:rFonts w:hint="eastAsia" w:ascii="宋体" w:hAnsi="宋体" w:cs="宋体"/>
          <w:color w:val="auto"/>
          <w:szCs w:val="21"/>
          <w:highlight w:val="none"/>
        </w:rPr>
        <w:t>2023年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月 </w:t>
      </w:r>
    </w:p>
    <w:p>
      <w:pPr>
        <w:ind w:left="6205" w:leftChars="2755" w:hanging="420" w:hangingChars="200"/>
        <w:rPr>
          <w:rFonts w:ascii="宋体" w:hAnsi="宋体" w:cs="宋体"/>
          <w:color w:val="auto"/>
          <w:highlight w:val="none"/>
        </w:rPr>
      </w:pPr>
      <w:r>
        <w:rPr>
          <w:rFonts w:hint="eastAsia" w:ascii="宋体" w:hAnsi="宋体" w:cs="宋体"/>
          <w:color w:val="auto"/>
          <w:szCs w:val="21"/>
          <w:highlight w:val="none"/>
        </w:rPr>
        <w:br w:type="page"/>
      </w:r>
    </w:p>
    <w:p>
      <w:pPr>
        <w:pStyle w:val="6"/>
        <w:spacing w:before="0" w:after="0" w:line="240" w:lineRule="auto"/>
        <w:rPr>
          <w:rFonts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pPr>
        <w:pStyle w:val="7"/>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28"/>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32" w:type="dxa"/>
            <w:gridSpan w:val="2"/>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项目最高限价（</w:t>
            </w:r>
            <w:r>
              <w:rPr>
                <w:rFonts w:hint="eastAsia" w:ascii="宋体" w:hAnsi="宋体" w:cs="宋体"/>
                <w:b/>
                <w:bCs/>
                <w:color w:val="auto"/>
                <w:szCs w:val="21"/>
                <w:highlight w:val="none"/>
                <w:u w:val="single"/>
              </w:rPr>
              <w:t>单位：元</w:t>
            </w:r>
            <w:r>
              <w:rPr>
                <w:rFonts w:hint="eastAsia" w:ascii="宋体" w:hAnsi="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color w:val="auto"/>
                <w:szCs w:val="21"/>
                <w:highlight w:val="none"/>
                <w:lang w:eastAsia="zh-CN"/>
              </w:rPr>
              <w:t>891777.60</w:t>
            </w:r>
            <w:r>
              <w:rPr>
                <w:rFonts w:hint="eastAsia" w:ascii="宋体" w:hAnsi="宋体" w:cs="宋体"/>
                <w:b/>
                <w:bCs/>
                <w:color w:val="auto"/>
                <w:szCs w:val="21"/>
                <w:highlight w:val="none"/>
              </w:rPr>
              <w:t>元（含税总价）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发包方式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固定总价包干；</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固定单价暂定总价包干；</w:t>
            </w:r>
          </w:p>
          <w:p>
            <w:pPr>
              <w:rPr>
                <w:rFonts w:ascii="宋体" w:hAnsi="宋体" w:cs="宋体"/>
                <w:b/>
                <w:bCs/>
                <w:color w:val="auto"/>
                <w:szCs w:val="21"/>
                <w:highlight w:val="none"/>
                <w:u w:val="single"/>
              </w:rPr>
            </w:pPr>
            <w:r>
              <w:rPr>
                <w:rFonts w:hint="eastAsia" w:ascii="宋体" w:hAnsi="宋体" w:cs="宋体"/>
                <w:bCs/>
                <w:color w:val="auto"/>
                <w:szCs w:val="21"/>
                <w:highlight w:val="none"/>
              </w:rPr>
              <w:t>□</w:t>
            </w:r>
            <w:r>
              <w:rPr>
                <w:rFonts w:hint="eastAsia" w:ascii="宋体" w:hAnsi="宋体" w:cs="宋体"/>
                <w:b/>
                <w:bCs/>
                <w:color w:val="auto"/>
                <w:szCs w:val="21"/>
                <w:highlight w:val="none"/>
              </w:rPr>
              <w:t>费率</w:t>
            </w:r>
            <w:r>
              <w:rPr>
                <w:rFonts w:hint="eastAsia" w:ascii="宋体" w:hAnsi="宋体" w:cs="宋体"/>
                <w:b/>
                <w:bCs/>
                <w:color w:val="auto"/>
                <w:szCs w:val="21"/>
                <w:highlight w:val="none"/>
                <w:u w:val="single"/>
              </w:rPr>
              <w:t xml:space="preserve">         ；</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其他</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是否接受联合体投标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pStyle w:val="39"/>
              <w:ind w:firstLine="0" w:firstLineChars="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是，联合体投标的，应满足下列要求：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b/>
                <w:bCs/>
                <w:color w:val="auto"/>
                <w:szCs w:val="21"/>
                <w:highlight w:val="none"/>
              </w:rPr>
              <w:t>资金来源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bCs/>
                <w:color w:val="auto"/>
                <w:szCs w:val="21"/>
                <w:highlight w:val="none"/>
              </w:rPr>
            </w:pPr>
            <w:r>
              <w:rPr>
                <w:rFonts w:hint="eastAsia" w:ascii="宋体" w:hAnsi="宋体" w:cs="宋体"/>
                <w:color w:val="auto"/>
                <w:szCs w:val="21"/>
                <w:highlight w:val="none"/>
                <w:u w:val="single"/>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Cs/>
                <w:color w:val="auto"/>
                <w:szCs w:val="21"/>
                <w:highlight w:val="none"/>
              </w:rPr>
            </w:pPr>
            <w:r>
              <w:rPr>
                <w:rFonts w:hint="eastAsia" w:ascii="宋体" w:hAnsi="宋体" w:cs="宋体"/>
                <w:bCs/>
                <w:color w:val="auto"/>
                <w:szCs w:val="21"/>
                <w:highlight w:val="none"/>
              </w:rPr>
              <w:t>☑不组织 。</w:t>
            </w:r>
          </w:p>
          <w:p>
            <w:pPr>
              <w:rPr>
                <w:rFonts w:ascii="宋体" w:hAnsi="宋体" w:cs="宋体"/>
                <w:bCs/>
                <w:color w:val="auto"/>
                <w:szCs w:val="21"/>
                <w:highlight w:val="none"/>
              </w:rPr>
            </w:pPr>
            <w:r>
              <w:rPr>
                <w:rFonts w:hint="eastAsia" w:ascii="宋体" w:hAnsi="宋体" w:cs="宋体"/>
                <w:bCs/>
                <w:color w:val="auto"/>
                <w:szCs w:val="21"/>
                <w:highlight w:val="none"/>
              </w:rPr>
              <w:t>□组织，踏勘现场时间、地点：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投标语言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color w:val="auto"/>
                <w:szCs w:val="21"/>
                <w:highlight w:val="none"/>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详见投标人须知。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b/>
                <w:color w:val="auto"/>
                <w:szCs w:val="21"/>
                <w:highlight w:val="none"/>
              </w:rPr>
              <w:t>（大写）</w:t>
            </w:r>
            <w:r>
              <w:rPr>
                <w:rFonts w:hint="eastAsia" w:ascii="宋体" w:hAnsi="宋体" w:cs="宋体"/>
                <w:b/>
                <w:color w:val="auto"/>
                <w:szCs w:val="21"/>
                <w:highlight w:val="none"/>
                <w:u w:val="single"/>
                <w:lang w:eastAsia="zh-CN"/>
              </w:rPr>
              <w:t>壹万陆仟元整</w:t>
            </w: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color w:val="auto"/>
                <w:szCs w:val="21"/>
                <w:highlight w:val="none"/>
                <w:u w:val="single"/>
                <w:lang w:val="en-US" w:eastAsia="zh-CN"/>
              </w:rPr>
              <w:t>1</w:t>
            </w:r>
            <w:r>
              <w:rPr>
                <w:rFonts w:ascii="宋体" w:hAnsi="宋体" w:cs="宋体"/>
                <w:b/>
                <w:color w:val="auto"/>
                <w:szCs w:val="21"/>
                <w:highlight w:val="none"/>
                <w:u w:val="single"/>
              </w:rPr>
              <w:t>6</w:t>
            </w:r>
            <w:r>
              <w:rPr>
                <w:rFonts w:hint="eastAsia" w:ascii="宋体" w:hAnsi="宋体" w:cs="宋体"/>
                <w:b/>
                <w:color w:val="auto"/>
                <w:szCs w:val="21"/>
                <w:highlight w:val="none"/>
                <w:u w:val="single"/>
                <w:lang w:val="en-US" w:eastAsia="zh-CN"/>
              </w:rPr>
              <w:t>0</w:t>
            </w:r>
            <w:r>
              <w:rPr>
                <w:rFonts w:ascii="宋体" w:hAnsi="宋体" w:cs="宋体"/>
                <w:b/>
                <w:color w:val="auto"/>
                <w:szCs w:val="21"/>
                <w:highlight w:val="none"/>
                <w:u w:val="single"/>
              </w:rPr>
              <w:t>00</w:t>
            </w:r>
            <w:r>
              <w:rPr>
                <w:rFonts w:hint="eastAsia" w:ascii="宋体" w:hAnsi="宋体" w:cs="宋体"/>
                <w:b/>
                <w:color w:val="auto"/>
                <w:szCs w:val="21"/>
                <w:highlight w:val="none"/>
                <w:u w:val="single"/>
              </w:rPr>
              <w:t>.00元</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tabs>
                <w:tab w:val="left" w:pos="567"/>
              </w:tabs>
              <w:jc w:val="both"/>
              <w:rPr>
                <w:rFonts w:ascii="宋体" w:hAnsi="宋体" w:cs="宋体"/>
                <w:color w:val="auto"/>
                <w:kern w:val="2"/>
                <w:szCs w:val="21"/>
                <w:highlight w:val="none"/>
                <w:lang w:val="zh-CN"/>
              </w:rPr>
            </w:pPr>
            <w:r>
              <w:rPr>
                <w:rFonts w:hint="eastAsia" w:ascii="宋体" w:hAnsi="宋体" w:cs="宋体"/>
                <w:color w:val="auto"/>
                <w:szCs w:val="21"/>
                <w:highlight w:val="none"/>
              </w:rPr>
              <w:t>（2）</w:t>
            </w:r>
            <w:r>
              <w:rPr>
                <w:rFonts w:hint="eastAsia" w:ascii="宋体" w:hAnsi="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pPr>
              <w:tabs>
                <w:tab w:val="left" w:pos="567"/>
              </w:tabs>
              <w:ind w:left="567" w:hanging="567"/>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投标保证金专用账户如下：</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帐户名称：</w:t>
            </w:r>
            <w:r>
              <w:rPr>
                <w:rFonts w:hint="eastAsia" w:ascii="宋体" w:hAnsi="宋体" w:cs="宋体"/>
                <w:color w:val="auto"/>
                <w:kern w:val="2"/>
                <w:szCs w:val="21"/>
                <w:highlight w:val="none"/>
                <w:u w:val="single"/>
                <w:lang w:val="zh-CN"/>
              </w:rPr>
              <w:t>广东志合项目管理有限公司</w:t>
            </w:r>
            <w:r>
              <w:rPr>
                <w:rFonts w:hint="eastAsia" w:ascii="宋体" w:hAnsi="宋体" w:cs="宋体"/>
                <w:color w:val="auto"/>
                <w:kern w:val="2"/>
                <w:szCs w:val="21"/>
                <w:highlight w:val="none"/>
                <w:lang w:val="zh-CN"/>
              </w:rPr>
              <w:t>；</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开户银行：</w:t>
            </w:r>
            <w:r>
              <w:rPr>
                <w:rFonts w:hint="eastAsia" w:ascii="宋体" w:hAnsi="宋体" w:cs="宋体"/>
                <w:color w:val="auto"/>
                <w:kern w:val="2"/>
                <w:szCs w:val="21"/>
                <w:highlight w:val="none"/>
                <w:u w:val="single"/>
                <w:lang w:val="zh-CN"/>
              </w:rPr>
              <w:t>东莞银行股份有限公司中心区时代支行</w:t>
            </w:r>
            <w:r>
              <w:rPr>
                <w:rFonts w:hint="eastAsia" w:ascii="宋体" w:hAnsi="宋体" w:cs="宋体"/>
                <w:color w:val="auto"/>
                <w:kern w:val="2"/>
                <w:szCs w:val="21"/>
                <w:highlight w:val="none"/>
                <w:lang w:val="zh-CN"/>
              </w:rPr>
              <w:t>；</w:t>
            </w:r>
          </w:p>
          <w:p>
            <w:pPr>
              <w:tabs>
                <w:tab w:val="left" w:pos="567"/>
              </w:tabs>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银行帐号：</w:t>
            </w:r>
            <w:r>
              <w:rPr>
                <w:rFonts w:hint="eastAsia" w:ascii="宋体" w:hAnsi="宋体" w:cs="宋体"/>
                <w:color w:val="auto"/>
                <w:kern w:val="2"/>
                <w:szCs w:val="21"/>
                <w:highlight w:val="none"/>
                <w:u w:val="single"/>
                <w:lang w:val="zh-CN"/>
              </w:rPr>
              <w:t>5500 0011 1010 087</w:t>
            </w:r>
            <w:r>
              <w:rPr>
                <w:rFonts w:hint="eastAsia" w:ascii="宋体" w:hAnsi="宋体" w:cs="宋体"/>
                <w:color w:val="auto"/>
                <w:kern w:val="2"/>
                <w:szCs w:val="21"/>
                <w:highlight w:val="none"/>
                <w:lang w:val="zh-CN"/>
              </w:rPr>
              <w:t>；</w:t>
            </w:r>
          </w:p>
          <w:p>
            <w:pPr>
              <w:tabs>
                <w:tab w:val="left" w:pos="56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（注：各投标人在转帐或电汇时须在用途栏上备注项目编号，及项目名称，如有字数限制项目名称可简写。）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532" w:type="dxa"/>
            <w:gridSpan w:val="2"/>
            <w:tcBorders>
              <w:tl2br w:val="nil"/>
              <w:tr2bl w:val="nil"/>
            </w:tcBorders>
            <w:vAlign w:val="center"/>
          </w:tcPr>
          <w:p>
            <w:pPr>
              <w:jc w:val="both"/>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投标保证金退还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）未中标的投标人的保证金应当在中标通知书发出后退还，中标</w:t>
            </w:r>
            <w:r>
              <w:rPr>
                <w:rFonts w:hint="eastAsia" w:ascii="宋体" w:hAnsi="宋体" w:cs="宋体"/>
                <w:color w:val="auto"/>
                <w:szCs w:val="21"/>
                <w:highlight w:val="none"/>
              </w:rPr>
              <w:t>的</w:t>
            </w:r>
            <w:r>
              <w:rPr>
                <w:rFonts w:hint="eastAsia" w:ascii="宋体" w:hAnsi="宋体" w:cs="宋体"/>
                <w:color w:val="auto"/>
                <w:szCs w:val="21"/>
                <w:highlight w:val="none"/>
                <w:lang w:val="zh-CN"/>
              </w:rPr>
              <w:t>投标人的保证金应当在采购合同签订</w:t>
            </w:r>
            <w:r>
              <w:rPr>
                <w:rFonts w:hint="eastAsia" w:ascii="宋体" w:hAnsi="宋体" w:cs="宋体"/>
                <w:color w:val="auto"/>
                <w:szCs w:val="21"/>
                <w:highlight w:val="none"/>
              </w:rPr>
              <w:t>并缴纳履约保证金</w:t>
            </w:r>
            <w:r>
              <w:rPr>
                <w:rFonts w:hint="eastAsia" w:ascii="宋体" w:hAnsi="宋体" w:cs="宋体"/>
                <w:color w:val="auto"/>
                <w:szCs w:val="21"/>
                <w:highlight w:val="none"/>
                <w:lang w:val="zh-CN"/>
              </w:rPr>
              <w:t>后退还。</w:t>
            </w:r>
          </w:p>
          <w:p>
            <w:pPr>
              <w:jc w:val="both"/>
              <w:rPr>
                <w:rFonts w:ascii="宋体" w:hAnsi="宋体" w:cs="宋体"/>
                <w:color w:val="auto"/>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）为方便退还未中标的投标人的保证金，投标人应制作《投标保证金汇入情况说明》随唱标信封一并递交。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投标有效期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九十天。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532" w:type="dxa"/>
            <w:gridSpan w:val="2"/>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投标文件类型</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份数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唱标信封</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投标文件正本</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投标文件副本</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 xml:space="preserve">5  </w:t>
            </w:r>
            <w:r>
              <w:rPr>
                <w:rFonts w:hint="eastAsia" w:ascii="宋体" w:hAnsi="宋体" w:cs="宋体"/>
                <w:bCs/>
                <w:color w:val="auto"/>
                <w:szCs w:val="21"/>
                <w:highlight w:val="none"/>
              </w:rPr>
              <w:t>□</w:t>
            </w:r>
            <w:r>
              <w:rPr>
                <w:rFonts w:hint="eastAsia" w:ascii="宋体" w:hAnsi="宋体" w:cs="宋体"/>
                <w:b/>
                <w:color w:val="auto"/>
                <w:szCs w:val="21"/>
                <w:highlight w:val="none"/>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vMerge w:val="restart"/>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电子文档</w:t>
            </w:r>
          </w:p>
        </w:tc>
        <w:tc>
          <w:tcPr>
            <w:tcW w:w="4924" w:type="dxa"/>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2608" w:type="dxa"/>
            <w:vMerge w:val="continue"/>
            <w:tcBorders>
              <w:tl2br w:val="nil"/>
              <w:tr2bl w:val="nil"/>
            </w:tcBorders>
            <w:vAlign w:val="center"/>
          </w:tcPr>
          <w:p>
            <w:pPr>
              <w:jc w:val="center"/>
              <w:rPr>
                <w:rFonts w:ascii="宋体" w:hAnsi="宋体" w:cs="宋体"/>
                <w:b/>
                <w:color w:val="auto"/>
                <w:szCs w:val="21"/>
                <w:highlight w:val="none"/>
              </w:rPr>
            </w:pPr>
          </w:p>
        </w:tc>
        <w:tc>
          <w:tcPr>
            <w:tcW w:w="4924" w:type="dxa"/>
            <w:tcBorders>
              <w:tl2br w:val="nil"/>
              <w:tr2bl w:val="nil"/>
            </w:tcBorders>
            <w:vAlign w:val="center"/>
          </w:tcPr>
          <w:p>
            <w:pPr>
              <w:rPr>
                <w:rFonts w:ascii="宋体" w:hAnsi="宋体" w:cs="宋体"/>
                <w:b/>
                <w:color w:val="auto"/>
                <w:szCs w:val="21"/>
                <w:highlight w:val="none"/>
              </w:rPr>
            </w:pPr>
            <w:r>
              <w:rPr>
                <w:rFonts w:hint="eastAsia" w:ascii="宋体" w:hAnsi="宋体" w:cs="宋体"/>
                <w:b/>
                <w:color w:val="auto"/>
                <w:szCs w:val="21"/>
                <w:highlight w:val="none"/>
              </w:rPr>
              <w:t>U盘，须含盖章版PDF投标文件和WORD版投标文件各一版，文字采用WORD文档，计算表格采用 EXCEL文档。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三、开标与评标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b/>
                <w:color w:val="auto"/>
                <w:szCs w:val="21"/>
                <w:highlight w:val="none"/>
              </w:rPr>
              <w:t>本项目评标方法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综合评分法评分因素和权重分值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color w:val="auto"/>
                <w:szCs w:val="21"/>
                <w:highlight w:val="none"/>
              </w:rPr>
              <w:t>见附表二。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b/>
                <w:color w:val="auto"/>
                <w:szCs w:val="21"/>
                <w:highlight w:val="none"/>
              </w:rPr>
              <w:t>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jc w:val="both"/>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人：</w:t>
            </w:r>
            <w:r>
              <w:rPr>
                <w:rFonts w:hint="eastAsia" w:ascii="宋体" w:hAnsi="宋体" w:cs="宋体"/>
                <w:color w:val="auto"/>
                <w:szCs w:val="21"/>
                <w:highlight w:val="none"/>
                <w:lang w:val="zh-CN"/>
              </w:rPr>
              <w:t>评标委员会由采购人</w:t>
            </w:r>
            <w:r>
              <w:rPr>
                <w:rFonts w:hint="eastAsia" w:ascii="宋体" w:hAnsi="宋体" w:cs="宋体"/>
                <w:color w:val="auto"/>
                <w:szCs w:val="21"/>
                <w:highlight w:val="none"/>
              </w:rPr>
              <w:t>的</w:t>
            </w:r>
            <w:r>
              <w:rPr>
                <w:rFonts w:hint="eastAsia" w:ascii="宋体" w:hAnsi="宋体" w:cs="宋体"/>
                <w:color w:val="auto"/>
                <w:szCs w:val="21"/>
                <w:highlight w:val="none"/>
                <w:lang w:val="zh-CN"/>
              </w:rPr>
              <w:t>代表和</w:t>
            </w:r>
            <w:r>
              <w:rPr>
                <w:rFonts w:hint="eastAsia" w:ascii="宋体" w:hAnsi="宋体" w:cs="宋体"/>
                <w:color w:val="auto"/>
                <w:szCs w:val="21"/>
                <w:highlight w:val="none"/>
              </w:rPr>
              <w:t>有关方面的</w:t>
            </w:r>
            <w:r>
              <w:rPr>
                <w:rFonts w:hint="eastAsia" w:ascii="宋体" w:hAnsi="宋体" w:cs="宋体"/>
                <w:color w:val="auto"/>
                <w:szCs w:val="21"/>
                <w:highlight w:val="none"/>
                <w:lang w:val="zh-CN"/>
              </w:rPr>
              <w:t>专家组成，</w:t>
            </w:r>
            <w:r>
              <w:rPr>
                <w:rFonts w:hint="eastAsia" w:ascii="宋体" w:hAnsi="宋体" w:cs="宋体"/>
                <w:color w:val="auto"/>
                <w:szCs w:val="21"/>
                <w:highlight w:val="none"/>
              </w:rPr>
              <w:t>成员人数为五人或五人以上单数</w:t>
            </w:r>
            <w:r>
              <w:rPr>
                <w:rFonts w:hint="eastAsia" w:ascii="宋体" w:hAnsi="宋体" w:cs="宋体"/>
                <w:color w:val="auto"/>
                <w:szCs w:val="21"/>
                <w:highlight w:val="none"/>
                <w:lang w:val="zh-CN"/>
              </w:rPr>
              <w:t>，其中专家不得少于成员总数的三分之二。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四、授予合同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7532" w:type="dxa"/>
            <w:gridSpan w:val="2"/>
            <w:tcBorders>
              <w:tl2br w:val="nil"/>
              <w:tr2bl w:val="nil"/>
            </w:tcBorders>
            <w:shd w:val="clear" w:color="auto" w:fill="auto"/>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shd w:val="clear" w:color="auto" w:fill="auto"/>
            <w:vAlign w:val="center"/>
          </w:tcPr>
          <w:p>
            <w:pPr>
              <w:jc w:val="both"/>
              <w:rPr>
                <w:rFonts w:ascii="宋体" w:hAnsi="宋体" w:cs="宋体"/>
                <w:color w:val="auto"/>
                <w:szCs w:val="21"/>
                <w:highlight w:val="none"/>
              </w:rPr>
            </w:pPr>
            <w:r>
              <w:rPr>
                <w:rFonts w:hint="eastAsia" w:ascii="宋体" w:hAnsi="宋体" w:cs="宋体"/>
                <w:color w:val="auto"/>
                <w:szCs w:val="21"/>
                <w:highlight w:val="none"/>
              </w:rPr>
              <w:t>1.履约担保金额为：</w:t>
            </w:r>
            <w:r>
              <w:rPr>
                <w:rFonts w:hint="eastAsia" w:ascii="宋体" w:hAnsi="宋体" w:cs="宋体"/>
                <w:color w:val="auto"/>
                <w:szCs w:val="21"/>
                <w:highlight w:val="none"/>
                <w:u w:val="single"/>
              </w:rPr>
              <w:t xml:space="preserve">     合同金额的10%    。</w:t>
            </w:r>
          </w:p>
          <w:p>
            <w:pPr>
              <w:jc w:val="both"/>
              <w:rPr>
                <w:rFonts w:ascii="宋体" w:hAnsi="宋体" w:cs="宋体"/>
                <w:color w:val="auto"/>
                <w:szCs w:val="21"/>
                <w:highlight w:val="none"/>
              </w:rPr>
            </w:pPr>
            <w:r>
              <w:rPr>
                <w:rFonts w:hint="eastAsia" w:ascii="宋体" w:hAnsi="宋体" w:cs="宋体"/>
                <w:color w:val="auto"/>
                <w:szCs w:val="21"/>
                <w:highlight w:val="none"/>
              </w:rPr>
              <w:t>2.履约保证金账户信息：</w:t>
            </w:r>
          </w:p>
          <w:p>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账户名称：</w:t>
            </w:r>
            <w:r>
              <w:rPr>
                <w:rFonts w:hint="eastAsia" w:cs="宋体" w:asciiTheme="minorEastAsia" w:hAnsiTheme="minorEastAsia" w:eastAsiaTheme="minorEastAsia"/>
                <w:color w:val="auto"/>
                <w:kern w:val="2"/>
                <w:szCs w:val="21"/>
                <w:highlight w:val="none"/>
                <w:u w:val="single"/>
              </w:rPr>
              <w:t>东莞市安居建设投资有限公司</w:t>
            </w:r>
            <w:r>
              <w:rPr>
                <w:rFonts w:hint="eastAsia" w:cs="宋体" w:asciiTheme="minorEastAsia" w:hAnsiTheme="minorEastAsia" w:eastAsiaTheme="minorEastAsia"/>
                <w:color w:val="auto"/>
                <w:kern w:val="2"/>
                <w:szCs w:val="21"/>
                <w:highlight w:val="none"/>
                <w:lang w:val="zh-CN"/>
              </w:rPr>
              <w:t>；</w:t>
            </w:r>
          </w:p>
          <w:p>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hint="eastAsia" w:cs="宋体" w:asciiTheme="minorEastAsia" w:hAnsiTheme="minorEastAsia" w:eastAsiaTheme="minorEastAsia"/>
                <w:color w:val="auto"/>
                <w:kern w:val="2"/>
                <w:szCs w:val="21"/>
                <w:highlight w:val="none"/>
                <w:u w:val="single"/>
              </w:rPr>
              <w:t>中国建设银行东莞愉景支行</w:t>
            </w:r>
            <w:r>
              <w:rPr>
                <w:rFonts w:hint="eastAsia" w:cs="宋体" w:asciiTheme="minorEastAsia" w:hAnsiTheme="minorEastAsia" w:eastAsiaTheme="minorEastAsia"/>
                <w:color w:val="auto"/>
                <w:kern w:val="2"/>
                <w:szCs w:val="21"/>
                <w:highlight w:val="none"/>
                <w:lang w:val="zh-CN"/>
              </w:rPr>
              <w:t>；</w:t>
            </w:r>
          </w:p>
          <w:p>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银行账号：</w:t>
            </w:r>
            <w:r>
              <w:rPr>
                <w:rFonts w:cs="宋体" w:asciiTheme="minorEastAsia" w:hAnsiTheme="minorEastAsia" w:eastAsiaTheme="minorEastAsia"/>
                <w:color w:val="auto"/>
                <w:kern w:val="2"/>
                <w:szCs w:val="21"/>
                <w:highlight w:val="none"/>
                <w:u w:val="single"/>
              </w:rPr>
              <w:t>4405 0177 5937 0000 0219</w:t>
            </w:r>
            <w:r>
              <w:rPr>
                <w:rFonts w:hint="eastAsia" w:cs="宋体" w:asciiTheme="minorEastAsia" w:hAnsiTheme="minorEastAsia" w:eastAsiaTheme="minorEastAsia"/>
                <w:color w:val="auto"/>
                <w:kern w:val="2"/>
                <w:szCs w:val="21"/>
                <w:highlight w:val="none"/>
                <w:lang w:val="zh-CN"/>
              </w:rPr>
              <w:t>；</w:t>
            </w:r>
          </w:p>
          <w:p>
            <w:pPr>
              <w:jc w:val="both"/>
              <w:rPr>
                <w:rFonts w:ascii="宋体" w:hAnsi="宋体" w:cs="宋体"/>
                <w:color w:val="auto"/>
                <w:szCs w:val="21"/>
                <w:highlight w:val="none"/>
              </w:rPr>
            </w:pPr>
            <w:r>
              <w:rPr>
                <w:rFonts w:hint="eastAsia" w:ascii="宋体" w:hAnsi="宋体" w:cs="宋体"/>
                <w:color w:val="auto"/>
                <w:szCs w:val="21"/>
                <w:highlight w:val="none"/>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pPr>
              <w:jc w:val="both"/>
              <w:rPr>
                <w:rFonts w:ascii="宋体" w:hAnsi="宋体" w:cs="宋体"/>
                <w:color w:val="auto"/>
                <w:szCs w:val="21"/>
                <w:highlight w:val="none"/>
              </w:rPr>
            </w:pPr>
            <w:r>
              <w:rPr>
                <w:rFonts w:hint="eastAsia" w:ascii="宋体" w:hAnsi="宋体" w:cs="宋体"/>
                <w:color w:val="auto"/>
                <w:szCs w:val="21"/>
                <w:highlight w:val="none"/>
              </w:rPr>
              <w:t>4.履约担保期限从合同签订之日起至项目完工验收合格并结算完毕后，经双方签字</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天内保持有效。</w:t>
            </w:r>
          </w:p>
          <w:p>
            <w:pPr>
              <w:jc w:val="both"/>
              <w:rPr>
                <w:rFonts w:ascii="宋体" w:hAnsi="宋体" w:cs="宋体"/>
                <w:color w:val="auto"/>
                <w:szCs w:val="21"/>
                <w:highlight w:val="none"/>
              </w:rPr>
            </w:pPr>
            <w:r>
              <w:rPr>
                <w:rFonts w:hint="eastAsia" w:ascii="宋体" w:hAnsi="宋体" w:cs="宋体"/>
                <w:color w:val="auto"/>
                <w:szCs w:val="21"/>
                <w:highlight w:val="none"/>
              </w:rPr>
              <w:t>5、履约担保要求：</w:t>
            </w:r>
          </w:p>
          <w:p>
            <w:pPr>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pPr>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pPr>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pPr>
              <w:jc w:val="both"/>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pPr>
              <w:jc w:val="both"/>
              <w:rPr>
                <w:rFonts w:ascii="宋体" w:hAnsi="宋体" w:cs="宋体"/>
                <w:color w:val="auto"/>
                <w:szCs w:val="21"/>
                <w:highlight w:val="none"/>
              </w:rPr>
            </w:pPr>
            <w:r>
              <w:rPr>
                <w:rFonts w:hint="eastAsia" w:ascii="宋体" w:hAnsi="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jc w:val="both"/>
              <w:rPr>
                <w:rFonts w:ascii="宋体" w:hAnsi="宋体" w:cs="宋体"/>
                <w:color w:val="auto"/>
                <w:szCs w:val="21"/>
                <w:highlight w:val="none"/>
              </w:rPr>
            </w:pPr>
            <w:r>
              <w:rPr>
                <w:rFonts w:hint="eastAsia" w:ascii="宋体" w:hAnsi="宋体" w:cs="宋体"/>
                <w:color w:val="auto"/>
                <w:szCs w:val="21"/>
                <w:highlight w:val="none"/>
              </w:rPr>
              <w:t>（4）为取得履约担保所需的费用，由中标人承担；若工期延误，履约担保时间延长，延长费用由中标人承担。</w:t>
            </w:r>
          </w:p>
          <w:p>
            <w:pPr>
              <w:jc w:val="both"/>
              <w:rPr>
                <w:rFonts w:ascii="宋体" w:hAnsi="宋体" w:cs="宋体"/>
                <w:color w:val="auto"/>
                <w:szCs w:val="21"/>
                <w:highlight w:val="none"/>
              </w:rPr>
            </w:pPr>
            <w:r>
              <w:rPr>
                <w:rFonts w:hint="eastAsia" w:ascii="宋体" w:hAnsi="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jc w:val="both"/>
              <w:rPr>
                <w:rFonts w:ascii="宋体" w:hAnsi="宋体" w:cs="宋体"/>
                <w:color w:val="auto"/>
                <w:szCs w:val="21"/>
                <w:highlight w:val="none"/>
              </w:rPr>
            </w:pPr>
            <w:r>
              <w:rPr>
                <w:rFonts w:hint="eastAsia" w:ascii="宋体" w:hAnsi="宋体" w:cs="宋体"/>
                <w:color w:val="auto"/>
                <w:szCs w:val="21"/>
                <w:highlight w:val="none"/>
              </w:rPr>
              <w:t>（6）下列任何情况发生时，采购人有权行使享有的担保权利：</w:t>
            </w:r>
          </w:p>
          <w:p>
            <w:pPr>
              <w:jc w:val="both"/>
              <w:rPr>
                <w:rFonts w:ascii="宋体" w:hAnsi="宋体" w:cs="宋体"/>
                <w:color w:val="auto"/>
                <w:szCs w:val="21"/>
                <w:highlight w:val="none"/>
              </w:rPr>
            </w:pPr>
            <w:r>
              <w:rPr>
                <w:rFonts w:hint="eastAsia" w:ascii="宋体" w:hAnsi="宋体" w:cs="宋体"/>
                <w:color w:val="auto"/>
                <w:szCs w:val="21"/>
                <w:highlight w:val="none"/>
              </w:rPr>
              <w:t>①中标人将本项目转让给他人，或者在投标文件中未说明，且未经采购人同意，将中标项目分包给他人的；</w:t>
            </w:r>
          </w:p>
          <w:p>
            <w:pPr>
              <w:jc w:val="both"/>
              <w:rPr>
                <w:rFonts w:ascii="宋体" w:hAnsi="宋体" w:cs="宋体"/>
                <w:color w:val="auto"/>
                <w:szCs w:val="21"/>
                <w:highlight w:val="none"/>
              </w:rPr>
            </w:pPr>
            <w:r>
              <w:rPr>
                <w:rFonts w:hint="eastAsia" w:ascii="宋体" w:hAnsi="宋体" w:cs="宋体"/>
                <w:color w:val="auto"/>
                <w:szCs w:val="21"/>
                <w:highlight w:val="none"/>
              </w:rPr>
              <w:t>②中标人在履行采购合同期间，违反有关法律法规的规定及合同约定的条款，损害了采购人的利益。</w:t>
            </w:r>
          </w:p>
          <w:p>
            <w:pPr>
              <w:jc w:val="both"/>
              <w:rPr>
                <w:rFonts w:ascii="宋体" w:hAnsi="宋体" w:cs="宋体"/>
                <w:b/>
                <w:color w:val="auto"/>
                <w:szCs w:val="21"/>
                <w:highlight w:val="none"/>
              </w:rPr>
            </w:pPr>
            <w:r>
              <w:rPr>
                <w:rFonts w:hint="eastAsia" w:ascii="宋体" w:hAnsi="宋体" w:cs="宋体"/>
                <w:color w:val="auto"/>
                <w:szCs w:val="21"/>
                <w:highlight w:val="none"/>
              </w:rPr>
              <w:t>（7）在整个项目验收合格后，中标人向采购人提交退回履约担保的申请，采购人办理履约担保退还手续。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restart"/>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532" w:type="dxa"/>
            <w:gridSpan w:val="2"/>
            <w:tcBorders>
              <w:tl2br w:val="nil"/>
              <w:tr2bl w:val="nil"/>
            </w:tcBorders>
            <w:vAlign w:val="center"/>
          </w:tcPr>
          <w:p>
            <w:pPr>
              <w:jc w:val="both"/>
              <w:rPr>
                <w:rFonts w:ascii="宋体" w:hAnsi="宋体" w:cs="宋体"/>
                <w:b/>
                <w:color w:val="auto"/>
                <w:szCs w:val="21"/>
                <w:highlight w:val="none"/>
              </w:rPr>
            </w:pPr>
            <w:r>
              <w:rPr>
                <w:rFonts w:hint="eastAsia" w:ascii="宋体" w:hAnsi="宋体" w:cs="宋体"/>
                <w:b/>
                <w:color w:val="auto"/>
                <w:szCs w:val="21"/>
                <w:highlight w:val="none"/>
              </w:rPr>
              <w:t>中标服务费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878" w:type="dxa"/>
            <w:vMerge w:val="continue"/>
            <w:tcBorders>
              <w:tl2br w:val="nil"/>
              <w:tr2bl w:val="nil"/>
            </w:tcBorders>
            <w:vAlign w:val="center"/>
          </w:tcPr>
          <w:p>
            <w:pPr>
              <w:jc w:val="center"/>
              <w:rPr>
                <w:rFonts w:ascii="宋体" w:hAnsi="宋体" w:cs="宋体"/>
                <w:color w:val="auto"/>
                <w:szCs w:val="21"/>
                <w:highlight w:val="none"/>
              </w:rPr>
            </w:pPr>
          </w:p>
        </w:tc>
        <w:tc>
          <w:tcPr>
            <w:tcW w:w="7532" w:type="dxa"/>
            <w:gridSpan w:val="2"/>
            <w:tcBorders>
              <w:tl2br w:val="nil"/>
              <w:tr2bl w:val="nil"/>
            </w:tcBorders>
            <w:vAlign w:val="center"/>
          </w:tcPr>
          <w:p>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本项目中标服务费由采购人支付。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rPr>
        <w:tc>
          <w:tcPr>
            <w:tcW w:w="878"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7532" w:type="dxa"/>
            <w:gridSpan w:val="2"/>
            <w:tcBorders>
              <w:tl2br w:val="nil"/>
              <w:tr2bl w:val="nil"/>
            </w:tcBorders>
            <w:vAlign w:val="center"/>
          </w:tcPr>
          <w:p>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3"/>
            <w:tcBorders>
              <w:tl2br w:val="nil"/>
              <w:tr2bl w:val="nil"/>
            </w:tcBorders>
            <w:vAlign w:val="center"/>
          </w:tcPr>
          <w:p>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pPr>
        <w:jc w:val="center"/>
        <w:rPr>
          <w:rFonts w:ascii="宋体" w:hAnsi="宋体" w:cs="宋体"/>
          <w:color w:val="auto"/>
          <w:highlight w:val="none"/>
        </w:rPr>
      </w:pPr>
      <w:r>
        <w:rPr>
          <w:rFonts w:hint="eastAsia" w:ascii="宋体" w:hAnsi="宋体" w:cs="宋体"/>
          <w:color w:val="auto"/>
          <w:highlight w:val="none"/>
        </w:rPr>
        <w:br w:type="page"/>
      </w:r>
    </w:p>
    <w:p>
      <w:pPr>
        <w:pStyle w:val="7"/>
        <w:spacing w:before="0" w:after="0" w:line="240" w:lineRule="auto"/>
        <w:jc w:val="center"/>
        <w:rPr>
          <w:rFonts w:ascii="宋体" w:hAnsi="宋体" w:cs="宋体"/>
          <w:color w:val="auto"/>
          <w:sz w:val="21"/>
          <w:szCs w:val="21"/>
          <w:highlight w:val="none"/>
        </w:rPr>
      </w:pPr>
      <w:bookmarkStart w:id="4" w:name="_Toc1445"/>
      <w:r>
        <w:rPr>
          <w:rFonts w:hint="eastAsia" w:ascii="宋体" w:hAnsi="宋体" w:cs="宋体"/>
          <w:color w:val="auto"/>
          <w:sz w:val="24"/>
          <w:szCs w:val="24"/>
          <w:highlight w:val="none"/>
        </w:rPr>
        <w:t>附表二：商务技术评分及价格权重表（满分100分）</w:t>
      </w:r>
      <w:bookmarkEnd w:id="4"/>
    </w:p>
    <w:tbl>
      <w:tblPr>
        <w:tblStyle w:val="2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32"/>
        <w:gridCol w:w="911"/>
        <w:gridCol w:w="28"/>
        <w:gridCol w:w="5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58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432" w:type="dxa"/>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业绩情况</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c>
          <w:tcPr>
            <w:tcW w:w="558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投标人自2019年1月1日至今电梯维保项目业绩，每提供1个合同业绩得2分，最高得</w:t>
            </w:r>
            <w:r>
              <w:rPr>
                <w:rFonts w:hint="eastAsia" w:ascii="宋体" w:eastAsia="宋体" w:cs="宋体"/>
                <w:bCs/>
                <w:color w:val="auto"/>
                <w:sz w:val="21"/>
                <w:szCs w:val="21"/>
                <w:highlight w:val="none"/>
                <w:lang w:val="en-US" w:eastAsia="zh-CN"/>
              </w:rPr>
              <w:t>12</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
                <w:color w:val="auto"/>
                <w:sz w:val="21"/>
                <w:szCs w:val="21"/>
                <w:highlight w:val="none"/>
                <w:lang w:val="zh-CN"/>
              </w:rPr>
              <w:t>注：须提供合同</w:t>
            </w:r>
            <w:r>
              <w:rPr>
                <w:rFonts w:hint="eastAsia" w:ascii="宋体" w:eastAsia="宋体" w:cs="宋体"/>
                <w:b/>
                <w:color w:val="auto"/>
                <w:sz w:val="21"/>
                <w:szCs w:val="21"/>
                <w:highlight w:val="none"/>
              </w:rPr>
              <w:t>关键页</w:t>
            </w:r>
            <w:r>
              <w:rPr>
                <w:rFonts w:hint="eastAsia" w:ascii="宋体" w:eastAsia="宋体" w:cs="宋体"/>
                <w:b/>
                <w:color w:val="auto"/>
                <w:sz w:val="21"/>
                <w:szCs w:val="21"/>
                <w:highlight w:val="none"/>
                <w:lang w:val="zh-CN"/>
              </w:rPr>
              <w:t>复印件（包含但不限于合同首页、合同金额页、合同签字页等）加盖投标人公章，日期以合同签订时间为准；</w:t>
            </w:r>
            <w:r>
              <w:rPr>
                <w:rFonts w:ascii="宋体" w:eastAsia="宋体" w:cs="宋体"/>
                <w:bCs/>
                <w:color w:val="auto"/>
                <w:sz w:val="21"/>
                <w:szCs w:val="21"/>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拟投入项目人员</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c>
          <w:tcPr>
            <w:tcW w:w="558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拟投入项目团队人员具有电梯类特种设备作业人员资格证书，每提供1人，得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5</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
                <w:color w:val="auto"/>
                <w:sz w:val="21"/>
                <w:szCs w:val="21"/>
                <w:highlight w:val="none"/>
                <w:lang w:val="zh-CN"/>
              </w:rPr>
              <w:t>注：须提供相关人员相关证书</w:t>
            </w:r>
            <w:r>
              <w:rPr>
                <w:rFonts w:hint="eastAsia" w:ascii="宋体" w:eastAsia="宋体" w:cs="宋体"/>
                <w:b/>
                <w:color w:val="auto"/>
                <w:sz w:val="21"/>
                <w:szCs w:val="21"/>
                <w:highlight w:val="none"/>
                <w:lang w:val="zh-CN" w:eastAsia="zh-CN"/>
              </w:rPr>
              <w:t>及近半年（不含开标当月）内的任意一个月社保复印件</w:t>
            </w:r>
            <w:r>
              <w:rPr>
                <w:rFonts w:hint="eastAsia" w:ascii="宋体" w:eastAsia="宋体" w:cs="宋体"/>
                <w:b/>
                <w:color w:val="auto"/>
                <w:sz w:val="21"/>
                <w:szCs w:val="21"/>
                <w:highlight w:val="none"/>
                <w:lang w:val="zh-CN"/>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432"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服务便利性</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分</w:t>
            </w:r>
          </w:p>
        </w:tc>
        <w:tc>
          <w:tcPr>
            <w:tcW w:w="558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1.供应商在东莞市内有分支机构或售后服务点的得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ascii="宋体" w:eastAsia="宋体" w:cs="宋体"/>
                <w:bCs/>
                <w:color w:val="auto"/>
                <w:sz w:val="21"/>
                <w:szCs w:val="21"/>
                <w:highlight w:val="none"/>
                <w:lang w:val="zh-CN"/>
              </w:rPr>
              <w:t>2</w:t>
            </w:r>
            <w:r>
              <w:rPr>
                <w:rFonts w:hint="eastAsia" w:ascii="宋体" w:eastAsia="宋体" w:cs="宋体"/>
                <w:bCs/>
                <w:color w:val="auto"/>
                <w:sz w:val="21"/>
                <w:szCs w:val="21"/>
                <w:highlight w:val="none"/>
                <w:lang w:val="zh-CN"/>
              </w:rPr>
              <w:t>.在广东省内（除东莞市内）有分支机构或售后服务点的得</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ascii="宋体" w:eastAsia="宋体" w:cs="宋体"/>
                <w:bCs/>
                <w:color w:val="auto"/>
                <w:sz w:val="21"/>
                <w:szCs w:val="21"/>
                <w:highlight w:val="none"/>
                <w:lang w:val="zh-CN"/>
              </w:rPr>
              <w:t>3</w:t>
            </w:r>
            <w:r>
              <w:rPr>
                <w:rFonts w:hint="eastAsia" w:ascii="宋体" w:eastAsia="宋体" w:cs="宋体"/>
                <w:bCs/>
                <w:color w:val="auto"/>
                <w:sz w:val="21"/>
                <w:szCs w:val="21"/>
                <w:highlight w:val="none"/>
                <w:lang w:val="zh-CN"/>
              </w:rPr>
              <w:t>.其他地方得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ascii="宋体" w:eastAsia="宋体" w:cs="宋体"/>
                <w:bCs/>
                <w:color w:val="auto"/>
                <w:sz w:val="21"/>
                <w:szCs w:val="21"/>
                <w:highlight w:val="none"/>
                <w:lang w:val="zh-CN"/>
              </w:rPr>
              <w:t>4</w:t>
            </w:r>
            <w:r>
              <w:rPr>
                <w:rFonts w:hint="eastAsia" w:ascii="宋体" w:eastAsia="宋体" w:cs="宋体"/>
                <w:bCs/>
                <w:color w:val="auto"/>
                <w:sz w:val="21"/>
                <w:szCs w:val="21"/>
                <w:highlight w:val="none"/>
                <w:lang w:val="zh-CN"/>
              </w:rPr>
              <w:t>.不接受外包形式的售后服务。</w:t>
            </w:r>
          </w:p>
          <w:p>
            <w:pPr>
              <w:pStyle w:val="42"/>
              <w:spacing w:line="360" w:lineRule="auto"/>
              <w:ind w:firstLine="0" w:firstLineChars="0"/>
              <w:rPr>
                <w:rFonts w:ascii="宋体" w:eastAsia="宋体" w:cs="宋体"/>
                <w:b/>
                <w:color w:val="auto"/>
                <w:sz w:val="21"/>
                <w:szCs w:val="21"/>
                <w:highlight w:val="none"/>
                <w:lang w:val="zh-CN"/>
              </w:rPr>
            </w:pPr>
            <w:r>
              <w:rPr>
                <w:rFonts w:hint="eastAsia" w:ascii="宋体" w:eastAsia="宋体" w:cs="宋体"/>
                <w:b/>
                <w:color w:val="auto"/>
                <w:sz w:val="21"/>
                <w:szCs w:val="21"/>
                <w:highlight w:val="none"/>
                <w:lang w:val="zh-CN"/>
              </w:rPr>
              <w:t>注：（须提供工商营业执照复印件；或者提供办公场地租赁合同复印件；或产权证明材料复印件）加盖公章。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ascii="宋体" w:eastAsia="宋体" w:cs="宋体"/>
                <w:b/>
                <w:bCs/>
                <w:color w:val="auto"/>
                <w:sz w:val="21"/>
                <w:szCs w:val="21"/>
                <w:highlight w:val="none"/>
              </w:rPr>
              <w:t>30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43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szCs w:val="21"/>
                <w:highlight w:val="none"/>
              </w:rPr>
            </w:pPr>
            <w:r>
              <w:rPr>
                <w:rFonts w:hint="eastAsia" w:hAnsi="宋体" w:cs="宋体"/>
                <w:color w:val="auto"/>
                <w:spacing w:val="2"/>
                <w:szCs w:val="21"/>
                <w:highlight w:val="none"/>
              </w:rPr>
              <w:t>售后服务</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szCs w:val="21"/>
                <w:highlight w:val="none"/>
              </w:rPr>
            </w:pPr>
            <w:r>
              <w:rPr>
                <w:rFonts w:hint="eastAsia" w:ascii="宋体" w:hAnsi="宋体" w:cs="宋体"/>
                <w:color w:val="auto"/>
                <w:szCs w:val="21"/>
                <w:highlight w:val="none"/>
              </w:rPr>
              <w:t>8分</w:t>
            </w:r>
          </w:p>
        </w:tc>
        <w:tc>
          <w:tcPr>
            <w:tcW w:w="5581"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根据投标人提供的售后服务方案（包括但不限于售后服务人员的专业性、售后服务内容的完整性、服务响应时间等）进行综合评审：</w:t>
            </w:r>
          </w:p>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w:t>
            </w:r>
            <w:r>
              <w:rPr>
                <w:rFonts w:ascii="宋体" w:eastAsia="宋体" w:cs="宋体"/>
                <w:bCs/>
                <w:color w:val="auto"/>
                <w:sz w:val="21"/>
                <w:szCs w:val="21"/>
                <w:highlight w:val="none"/>
                <w:lang w:val="zh-CN"/>
              </w:rPr>
              <w:t>.</w:t>
            </w:r>
            <w:r>
              <w:rPr>
                <w:rFonts w:hint="eastAsia" w:ascii="宋体" w:eastAsia="宋体" w:cs="宋体"/>
                <w:bCs/>
                <w:color w:val="auto"/>
                <w:sz w:val="21"/>
                <w:szCs w:val="21"/>
                <w:highlight w:val="none"/>
                <w:lang w:val="zh-CN"/>
              </w:rPr>
              <w:t>方案完整合理，可行性强，有利于项目实施的得</w:t>
            </w:r>
            <w:r>
              <w:rPr>
                <w:rFonts w:ascii="宋体" w:eastAsia="宋体" w:cs="宋体"/>
                <w:bCs/>
                <w:color w:val="auto"/>
                <w:sz w:val="21"/>
                <w:szCs w:val="21"/>
                <w:highlight w:val="none"/>
                <w:lang w:val="zh-CN"/>
              </w:rPr>
              <w:t>8</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w:t>
            </w:r>
            <w:r>
              <w:rPr>
                <w:rFonts w:ascii="宋体" w:eastAsia="宋体" w:cs="宋体"/>
                <w:bCs/>
                <w:color w:val="auto"/>
                <w:sz w:val="21"/>
                <w:szCs w:val="21"/>
                <w:highlight w:val="none"/>
                <w:lang w:val="zh-CN"/>
              </w:rPr>
              <w:t>.</w:t>
            </w:r>
            <w:r>
              <w:rPr>
                <w:rFonts w:hint="eastAsia" w:ascii="宋体" w:eastAsia="宋体" w:cs="宋体"/>
                <w:bCs/>
                <w:color w:val="auto"/>
                <w:sz w:val="21"/>
                <w:szCs w:val="21"/>
                <w:highlight w:val="none"/>
                <w:lang w:val="zh-CN"/>
              </w:rPr>
              <w:t>方案基本完整，可行性较强，对项目实施有一定促进作用的得</w:t>
            </w:r>
            <w:r>
              <w:rPr>
                <w:rFonts w:ascii="宋体" w:eastAsia="宋体" w:cs="宋体"/>
                <w:bCs/>
                <w:color w:val="auto"/>
                <w:sz w:val="21"/>
                <w:szCs w:val="21"/>
                <w:highlight w:val="none"/>
                <w:lang w:val="zh-CN"/>
              </w:rPr>
              <w:t>5</w:t>
            </w:r>
            <w:r>
              <w:rPr>
                <w:rFonts w:hint="eastAsia" w:ascii="宋体" w:eastAsia="宋体" w:cs="宋体"/>
                <w:bCs/>
                <w:color w:val="auto"/>
                <w:sz w:val="21"/>
                <w:szCs w:val="21"/>
                <w:highlight w:val="none"/>
                <w:lang w:val="zh-CN"/>
              </w:rPr>
              <w:t>分；</w:t>
            </w:r>
          </w:p>
          <w:p>
            <w:pPr>
              <w:pStyle w:val="42"/>
              <w:spacing w:line="360" w:lineRule="auto"/>
              <w:ind w:firstLine="0" w:firstLineChars="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3</w:t>
            </w:r>
            <w:r>
              <w:rPr>
                <w:rFonts w:ascii="宋体" w:eastAsia="宋体" w:cs="宋体"/>
                <w:bCs/>
                <w:color w:val="auto"/>
                <w:sz w:val="21"/>
                <w:szCs w:val="21"/>
                <w:highlight w:val="none"/>
                <w:lang w:val="zh-CN"/>
              </w:rPr>
              <w:t>.</w:t>
            </w:r>
            <w:r>
              <w:rPr>
                <w:rFonts w:hint="eastAsia" w:ascii="宋体" w:eastAsia="宋体" w:cs="宋体"/>
                <w:bCs/>
                <w:color w:val="auto"/>
                <w:sz w:val="21"/>
                <w:szCs w:val="21"/>
                <w:highlight w:val="none"/>
                <w:lang w:val="zh-CN"/>
              </w:rPr>
              <w:t>方案存在缺漏，可行性差得2分；</w:t>
            </w:r>
          </w:p>
          <w:p>
            <w:pPr>
              <w:pStyle w:val="42"/>
              <w:spacing w:line="360" w:lineRule="auto"/>
              <w:ind w:firstLine="0" w:firstLineChars="0"/>
              <w:rPr>
                <w:rFonts w:ascii="宋体" w:eastAsia="宋体" w:cs="宋体"/>
                <w:bCs/>
                <w:color w:val="auto"/>
                <w:sz w:val="21"/>
                <w:szCs w:val="21"/>
                <w:highlight w:val="none"/>
              </w:rPr>
            </w:pPr>
            <w:r>
              <w:rPr>
                <w:rFonts w:hint="eastAsia" w:ascii="宋体" w:eastAsia="宋体" w:cs="宋体"/>
                <w:bCs/>
                <w:color w:val="auto"/>
                <w:sz w:val="21"/>
                <w:szCs w:val="21"/>
                <w:highlight w:val="none"/>
              </w:rPr>
              <w:t>4</w:t>
            </w:r>
            <w:r>
              <w:rPr>
                <w:rFonts w:ascii="宋体" w:eastAsia="宋体" w:cs="宋体"/>
                <w:bCs/>
                <w:color w:val="auto"/>
                <w:sz w:val="21"/>
                <w:szCs w:val="21"/>
                <w:highlight w:val="none"/>
              </w:rPr>
              <w:t>.</w:t>
            </w:r>
            <w:r>
              <w:rPr>
                <w:rFonts w:hint="eastAsia" w:ascii="宋体" w:eastAsia="宋体" w:cs="宋体"/>
                <w:bCs/>
                <w:color w:val="auto"/>
                <w:sz w:val="21"/>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432" w:type="dxa"/>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szCs w:val="21"/>
                <w:highlight w:val="none"/>
              </w:rPr>
            </w:pPr>
            <w:r>
              <w:rPr>
                <w:rFonts w:hint="eastAsia" w:hAnsi="宋体" w:cs="宋体"/>
                <w:color w:val="auto"/>
                <w:spacing w:val="2"/>
                <w:szCs w:val="21"/>
                <w:highlight w:val="none"/>
              </w:rPr>
              <w:t>应急处置方案</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spacing w:before="36" w:beforeLines="10" w:after="30" w:line="440" w:lineRule="exact"/>
              <w:jc w:val="center"/>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分</w:t>
            </w:r>
          </w:p>
        </w:tc>
        <w:tc>
          <w:tcPr>
            <w:tcW w:w="5581" w:type="dxa"/>
            <w:tcBorders>
              <w:top w:val="single" w:color="auto" w:sz="4" w:space="0"/>
              <w:left w:val="single" w:color="auto" w:sz="4" w:space="0"/>
              <w:bottom w:val="single" w:color="auto" w:sz="4" w:space="0"/>
              <w:right w:val="single" w:color="auto" w:sz="4" w:space="0"/>
            </w:tcBorders>
            <w:vAlign w:val="center"/>
          </w:tcPr>
          <w:p>
            <w:pPr>
              <w:pStyle w:val="3"/>
              <w:ind w:left="0"/>
              <w:rPr>
                <w:color w:val="auto"/>
                <w:sz w:val="21"/>
                <w:szCs w:val="21"/>
                <w:highlight w:val="none"/>
                <w:lang w:bidi="ar-SA"/>
              </w:rPr>
            </w:pPr>
            <w:r>
              <w:rPr>
                <w:rFonts w:hint="eastAsia"/>
                <w:color w:val="auto"/>
                <w:sz w:val="21"/>
                <w:szCs w:val="21"/>
                <w:highlight w:val="none"/>
                <w:lang w:bidi="ar-SA"/>
              </w:rPr>
              <w:t>根据投标人的应急处理措施和抵抗风险的措施，抵抗风险的能力进行评审：</w:t>
            </w:r>
          </w:p>
          <w:p>
            <w:pPr>
              <w:pStyle w:val="3"/>
              <w:ind w:left="0"/>
              <w:rPr>
                <w:color w:val="auto"/>
                <w:sz w:val="21"/>
                <w:szCs w:val="21"/>
                <w:highlight w:val="none"/>
                <w:lang w:bidi="ar-SA"/>
              </w:rPr>
            </w:pPr>
            <w:r>
              <w:rPr>
                <w:rFonts w:hint="eastAsia"/>
                <w:color w:val="auto"/>
                <w:sz w:val="21"/>
                <w:szCs w:val="21"/>
                <w:highlight w:val="none"/>
                <w:lang w:bidi="ar-SA"/>
              </w:rPr>
              <w:t>1</w:t>
            </w:r>
            <w:r>
              <w:rPr>
                <w:color w:val="auto"/>
                <w:sz w:val="21"/>
                <w:szCs w:val="21"/>
                <w:highlight w:val="none"/>
                <w:lang w:bidi="ar-SA"/>
              </w:rPr>
              <w:t>.</w:t>
            </w:r>
            <w:r>
              <w:rPr>
                <w:rFonts w:hint="eastAsia"/>
                <w:color w:val="auto"/>
                <w:sz w:val="21"/>
                <w:szCs w:val="21"/>
                <w:highlight w:val="none"/>
                <w:lang w:bidi="ar-SA"/>
              </w:rPr>
              <w:t>方案详细、科学合理、可行性高的，得</w:t>
            </w:r>
            <w:r>
              <w:rPr>
                <w:color w:val="auto"/>
                <w:sz w:val="21"/>
                <w:szCs w:val="21"/>
                <w:highlight w:val="none"/>
                <w:lang w:bidi="ar-SA"/>
              </w:rPr>
              <w:t>7</w:t>
            </w:r>
            <w:r>
              <w:rPr>
                <w:rFonts w:hint="eastAsia"/>
                <w:color w:val="auto"/>
                <w:sz w:val="21"/>
                <w:szCs w:val="21"/>
                <w:highlight w:val="none"/>
                <w:lang w:bidi="ar-SA"/>
              </w:rPr>
              <w:t xml:space="preserve">分； </w:t>
            </w:r>
          </w:p>
          <w:p>
            <w:pPr>
              <w:pStyle w:val="3"/>
              <w:ind w:left="0"/>
              <w:rPr>
                <w:color w:val="auto"/>
                <w:sz w:val="21"/>
                <w:szCs w:val="21"/>
                <w:highlight w:val="none"/>
                <w:lang w:bidi="ar-SA"/>
              </w:rPr>
            </w:pPr>
            <w:r>
              <w:rPr>
                <w:rFonts w:hint="eastAsia"/>
                <w:color w:val="auto"/>
                <w:sz w:val="21"/>
                <w:szCs w:val="21"/>
                <w:highlight w:val="none"/>
                <w:lang w:bidi="ar-SA"/>
              </w:rPr>
              <w:t>2</w:t>
            </w:r>
            <w:r>
              <w:rPr>
                <w:color w:val="auto"/>
                <w:sz w:val="21"/>
                <w:szCs w:val="21"/>
                <w:highlight w:val="none"/>
                <w:lang w:bidi="ar-SA"/>
              </w:rPr>
              <w:t>.</w:t>
            </w:r>
            <w:r>
              <w:rPr>
                <w:rFonts w:hint="eastAsia"/>
                <w:color w:val="auto"/>
                <w:sz w:val="21"/>
                <w:szCs w:val="21"/>
                <w:highlight w:val="none"/>
                <w:lang w:bidi="ar-SA"/>
              </w:rPr>
              <w:t>方案基本完善，具有一定合理性和可行性，得</w:t>
            </w:r>
            <w:r>
              <w:rPr>
                <w:color w:val="auto"/>
                <w:sz w:val="21"/>
                <w:szCs w:val="21"/>
                <w:highlight w:val="none"/>
                <w:lang w:bidi="ar-SA"/>
              </w:rPr>
              <w:t>4</w:t>
            </w:r>
            <w:r>
              <w:rPr>
                <w:rFonts w:hint="eastAsia"/>
                <w:color w:val="auto"/>
                <w:sz w:val="21"/>
                <w:szCs w:val="21"/>
                <w:highlight w:val="none"/>
                <w:lang w:bidi="ar-SA"/>
              </w:rPr>
              <w:t xml:space="preserve">分； </w:t>
            </w:r>
          </w:p>
          <w:p>
            <w:pPr>
              <w:pStyle w:val="3"/>
              <w:ind w:left="0"/>
              <w:rPr>
                <w:color w:val="auto"/>
                <w:sz w:val="21"/>
                <w:szCs w:val="21"/>
                <w:highlight w:val="none"/>
                <w:lang w:bidi="ar-SA"/>
              </w:rPr>
            </w:pPr>
            <w:r>
              <w:rPr>
                <w:rFonts w:hint="eastAsia"/>
                <w:color w:val="auto"/>
                <w:sz w:val="21"/>
                <w:szCs w:val="21"/>
                <w:highlight w:val="none"/>
                <w:lang w:bidi="ar-SA"/>
              </w:rPr>
              <w:t>3</w:t>
            </w:r>
            <w:r>
              <w:rPr>
                <w:color w:val="auto"/>
                <w:sz w:val="21"/>
                <w:szCs w:val="21"/>
                <w:highlight w:val="none"/>
                <w:lang w:bidi="ar-SA"/>
              </w:rPr>
              <w:t>.</w:t>
            </w:r>
            <w:r>
              <w:rPr>
                <w:rFonts w:hint="eastAsia"/>
                <w:color w:val="auto"/>
                <w:sz w:val="21"/>
                <w:szCs w:val="21"/>
                <w:highlight w:val="none"/>
                <w:lang w:bidi="ar-SA"/>
              </w:rPr>
              <w:t>方案不够完善，可行性较差得1分；</w:t>
            </w:r>
          </w:p>
          <w:p>
            <w:pPr>
              <w:pStyle w:val="3"/>
              <w:ind w:left="0"/>
              <w:rPr>
                <w:bCs/>
                <w:color w:val="auto"/>
                <w:sz w:val="21"/>
                <w:szCs w:val="21"/>
                <w:highlight w:val="none"/>
              </w:rPr>
            </w:pPr>
            <w:r>
              <w:rPr>
                <w:rFonts w:hint="eastAsia"/>
                <w:color w:val="auto"/>
                <w:sz w:val="21"/>
                <w:szCs w:val="21"/>
                <w:highlight w:val="none"/>
                <w:lang w:bidi="ar-SA"/>
              </w:rPr>
              <w:t>4</w:t>
            </w:r>
            <w:r>
              <w:rPr>
                <w:color w:val="auto"/>
                <w:sz w:val="21"/>
                <w:szCs w:val="21"/>
                <w:highlight w:val="none"/>
                <w:lang w:bidi="ar-SA"/>
              </w:rPr>
              <w:t>.</w:t>
            </w:r>
            <w:r>
              <w:rPr>
                <w:rFonts w:hint="eastAsia"/>
                <w:color w:val="auto"/>
                <w:sz w:val="21"/>
                <w:szCs w:val="21"/>
                <w:highlight w:val="none"/>
                <w:lang w:bidi="ar-SA"/>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3</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项目实施方案</w:t>
            </w:r>
          </w:p>
        </w:tc>
        <w:tc>
          <w:tcPr>
            <w:tcW w:w="9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分</w:t>
            </w:r>
          </w:p>
        </w:tc>
        <w:tc>
          <w:tcPr>
            <w:tcW w:w="5581" w:type="dxa"/>
            <w:tcBorders>
              <w:top w:val="single" w:color="auto" w:sz="4" w:space="0"/>
              <w:left w:val="single" w:color="auto" w:sz="4" w:space="0"/>
              <w:bottom w:val="single" w:color="auto" w:sz="4" w:space="0"/>
              <w:right w:val="single" w:color="auto" w:sz="4" w:space="0"/>
            </w:tcBorders>
            <w:vAlign w:val="center"/>
          </w:tcPr>
          <w:p>
            <w:pPr>
              <w:adjustRightInd/>
              <w:snapToGrid/>
              <w:rPr>
                <w:rFonts w:ascii="宋体" w:hAnsi="宋体" w:cs="宋体"/>
                <w:color w:val="auto"/>
                <w:szCs w:val="21"/>
                <w:highlight w:val="none"/>
                <w:lang w:val="zh-CN"/>
              </w:rPr>
            </w:pPr>
            <w:r>
              <w:rPr>
                <w:rFonts w:hint="eastAsia" w:ascii="宋体" w:hAnsi="宋体" w:cs="宋体"/>
                <w:color w:val="auto"/>
                <w:szCs w:val="21"/>
                <w:highlight w:val="none"/>
                <w:lang w:val="zh-CN"/>
              </w:rPr>
              <w:t>根据投标人对服务项目的工作流程、</w:t>
            </w:r>
            <w:r>
              <w:rPr>
                <w:rFonts w:hint="eastAsia" w:ascii="宋体" w:hAnsi="宋体" w:cs="宋体"/>
                <w:color w:val="auto"/>
                <w:szCs w:val="21"/>
                <w:highlight w:val="none"/>
              </w:rPr>
              <w:t>进度计划、</w:t>
            </w:r>
            <w:r>
              <w:rPr>
                <w:rFonts w:hint="eastAsia" w:ascii="宋体" w:hAnsi="宋体" w:cs="宋体"/>
                <w:color w:val="auto"/>
                <w:szCs w:val="21"/>
                <w:highlight w:val="none"/>
                <w:lang w:val="zh-CN"/>
              </w:rPr>
              <w:t>组织配合、应急处理等内容进行评分</w:t>
            </w:r>
          </w:p>
          <w:p>
            <w:pPr>
              <w:adjustRightInd/>
              <w:snapToGrid/>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针对本项目特征制定的实施方案的可靠性、可行性、安全性非常高的，工作流程、进度计划安排非常科学合理，可行性强的，得</w:t>
            </w:r>
            <w:r>
              <w:rPr>
                <w:rFonts w:ascii="宋体" w:hAnsi="宋体" w:cs="宋体"/>
                <w:color w:val="auto"/>
                <w:szCs w:val="21"/>
                <w:highlight w:val="none"/>
              </w:rPr>
              <w:t>15</w:t>
            </w:r>
            <w:r>
              <w:rPr>
                <w:rFonts w:hint="eastAsia" w:ascii="宋体" w:hAnsi="宋体" w:cs="宋体"/>
                <w:color w:val="auto"/>
                <w:szCs w:val="21"/>
                <w:highlight w:val="none"/>
              </w:rPr>
              <w:t>分；</w:t>
            </w:r>
          </w:p>
          <w:p>
            <w:pPr>
              <w:adjustRightInd/>
              <w:snapToGrid/>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针对本项目特征制定的实施方案的可靠性、可行性、安全性比较高的，工作流程、进度计划安排比较科学合理，可行性较强的，得</w:t>
            </w:r>
            <w:r>
              <w:rPr>
                <w:rFonts w:ascii="宋体" w:hAnsi="宋体" w:cs="宋体"/>
                <w:color w:val="auto"/>
                <w:szCs w:val="21"/>
                <w:highlight w:val="none"/>
              </w:rPr>
              <w:t>10</w:t>
            </w:r>
            <w:r>
              <w:rPr>
                <w:rFonts w:hint="eastAsia" w:ascii="宋体" w:hAnsi="宋体" w:cs="宋体"/>
                <w:color w:val="auto"/>
                <w:szCs w:val="21"/>
                <w:highlight w:val="none"/>
              </w:rPr>
              <w:t>分；</w:t>
            </w:r>
          </w:p>
          <w:p>
            <w:pPr>
              <w:adjustRightInd/>
              <w:snapToGrid/>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针对本项目特征制定的实施方案的可靠性、可行性、安全性一般的，工作流程、进度计划安排基本科学合理，可行性一般的，得</w:t>
            </w:r>
            <w:r>
              <w:rPr>
                <w:rFonts w:ascii="宋体" w:hAnsi="宋体" w:cs="宋体"/>
                <w:color w:val="auto"/>
                <w:szCs w:val="21"/>
                <w:highlight w:val="none"/>
              </w:rPr>
              <w:t>5</w:t>
            </w:r>
            <w:r>
              <w:rPr>
                <w:rFonts w:hint="eastAsia" w:ascii="宋体" w:hAnsi="宋体" w:cs="宋体"/>
                <w:color w:val="auto"/>
                <w:szCs w:val="21"/>
                <w:highlight w:val="none"/>
              </w:rPr>
              <w:t>分；</w:t>
            </w:r>
          </w:p>
          <w:p>
            <w:pPr>
              <w:adjustRightInd/>
              <w:snapToGrid/>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针对本项目特征制定的实施方案的可靠性、可行性、安全性差的，工作流程、进度计划安排比较简单，可行性差的，不得1分；</w:t>
            </w:r>
          </w:p>
          <w:p>
            <w:pPr>
              <w:adjustRightInd/>
              <w:snapToGrid/>
              <w:rPr>
                <w:color w:val="auto"/>
                <w:highlight w:val="none"/>
              </w:rPr>
            </w:pPr>
            <w:r>
              <w:rPr>
                <w:rFonts w:ascii="宋体" w:hAnsi="宋体" w:cs="宋体"/>
                <w:color w:val="auto"/>
                <w:szCs w:val="21"/>
                <w:highlight w:val="none"/>
              </w:rPr>
              <w:t>5.</w:t>
            </w:r>
            <w:r>
              <w:rPr>
                <w:rFonts w:hint="eastAsia" w:ascii="宋体" w:hAnsi="宋体" w:cs="宋体"/>
                <w:color w:val="auto"/>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w:t>
            </w:r>
          </w:p>
          <w:p>
            <w:pPr>
              <w:widowControl w:val="0"/>
              <w:tabs>
                <w:tab w:val="left" w:pos="907"/>
              </w:tabs>
              <w:adjustRightInd/>
              <w:snapToGrid/>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（1）无特殊说明外，以上评审项，同一证明文件不重复计分。</w:t>
            </w:r>
          </w:p>
          <w:p>
            <w:pPr>
              <w:widowControl w:val="0"/>
              <w:tabs>
                <w:tab w:val="left" w:pos="907"/>
              </w:tabs>
              <w:adjustRightInd/>
              <w:snapToGrid/>
              <w:ind w:firstLine="422" w:firstLineChars="200"/>
              <w:jc w:val="both"/>
              <w:rPr>
                <w:rFonts w:hint="eastAsia" w:ascii="宋体" w:hAnsi="宋体" w:cs="宋体"/>
                <w:b/>
                <w:color w:val="auto"/>
                <w:szCs w:val="21"/>
                <w:highlight w:val="none"/>
              </w:rPr>
            </w:pPr>
            <w:r>
              <w:rPr>
                <w:rFonts w:hint="eastAsia" w:ascii="宋体" w:hAnsi="宋体" w:cs="宋体"/>
                <w:b/>
                <w:color w:val="auto"/>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50</w:t>
            </w:r>
            <w:r>
              <w:rPr>
                <w:rFonts w:hint="eastAsia" w:ascii="宋体" w:eastAsia="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rPr>
              <w:t>投标总价</w:t>
            </w:r>
          </w:p>
        </w:tc>
        <w:tc>
          <w:tcPr>
            <w:tcW w:w="911"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ascii="宋体" w:hAnsi="宋体" w:cs="宋体"/>
                <w:color w:val="auto"/>
                <w:kern w:val="2"/>
                <w:szCs w:val="21"/>
                <w:highlight w:val="none"/>
              </w:rPr>
            </w:pPr>
            <w:r>
              <w:rPr>
                <w:rFonts w:hint="eastAsia" w:ascii="宋体" w:hAnsi="宋体" w:cs="宋体"/>
                <w:color w:val="auto"/>
                <w:kern w:val="2"/>
                <w:szCs w:val="21"/>
                <w:highlight w:val="none"/>
                <w:lang w:val="en-US" w:eastAsia="zh-CN"/>
              </w:rPr>
              <w:t>50</w:t>
            </w:r>
            <w:r>
              <w:rPr>
                <w:rFonts w:hint="eastAsia" w:ascii="宋体" w:hAnsi="宋体" w:cs="宋体"/>
                <w:color w:val="auto"/>
                <w:kern w:val="2"/>
                <w:szCs w:val="21"/>
                <w:highlight w:val="none"/>
              </w:rPr>
              <w:t>分</w:t>
            </w:r>
          </w:p>
        </w:tc>
        <w:tc>
          <w:tcPr>
            <w:tcW w:w="5609"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价格分计算方法：满足采购文件要求且投标价格最低的投标报价为评标基准价，其价格分为满分。其他投标人的价格分统一按照下列公式计算：</w:t>
            </w:r>
          </w:p>
          <w:p>
            <w:pPr>
              <w:widowControl w:val="0"/>
              <w:adjustRightInd/>
              <w:snapToGrid/>
              <w:ind w:firstLine="420" w:firstLineChars="200"/>
              <w:rPr>
                <w:rFonts w:ascii="宋体" w:hAnsi="宋体" w:cs="宋体"/>
                <w:color w:val="auto"/>
                <w:kern w:val="2"/>
                <w:szCs w:val="21"/>
                <w:highlight w:val="none"/>
              </w:rPr>
            </w:pPr>
            <w:r>
              <w:rPr>
                <w:rFonts w:hint="eastAsia" w:ascii="宋体" w:hAnsi="宋体" w:cs="宋体"/>
                <w:color w:val="auto"/>
                <w:kern w:val="2"/>
                <w:szCs w:val="21"/>
                <w:highlight w:val="none"/>
                <w:lang w:val="zh-CN"/>
              </w:rPr>
              <w:t>投标报价得分=(评标基准价／投标报价)×价格权</w:t>
            </w:r>
            <w:r>
              <w:rPr>
                <w:rFonts w:hint="eastAsia" w:ascii="宋体" w:hAnsi="宋体" w:cs="宋体"/>
                <w:color w:val="auto"/>
                <w:kern w:val="2"/>
                <w:szCs w:val="21"/>
                <w:highlight w:val="none"/>
              </w:rPr>
              <w:t>重</w:t>
            </w:r>
          </w:p>
        </w:tc>
      </w:tr>
    </w:tbl>
    <w:p>
      <w:pPr>
        <w:ind w:firstLine="420" w:firstLineChars="200"/>
        <w:rPr>
          <w:rFonts w:ascii="宋体" w:hAnsi="宋体" w:cs="宋体"/>
          <w:color w:val="auto"/>
          <w:highlight w:val="none"/>
        </w:rPr>
      </w:pPr>
      <w:r>
        <w:rPr>
          <w:rFonts w:hint="eastAsia" w:ascii="宋体" w:hAnsi="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highlight w:val="none"/>
        </w:rPr>
        <w:br w:type="page"/>
      </w:r>
    </w:p>
    <w:p>
      <w:pPr>
        <w:pStyle w:val="6"/>
        <w:spacing w:before="0" w:after="0" w:line="240" w:lineRule="auto"/>
        <w:rPr>
          <w:rFonts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第三部分用户需求书</w:t>
      </w:r>
      <w:bookmarkEnd w:id="5"/>
    </w:p>
    <w:p>
      <w:pPr>
        <w:pStyle w:val="7"/>
        <w:spacing w:before="0" w:after="0" w:line="360" w:lineRule="auto"/>
        <w:jc w:val="center"/>
        <w:rPr>
          <w:rFonts w:ascii="宋体" w:hAnsi="宋体" w:cs="宋体"/>
          <w:color w:val="auto"/>
          <w:highlight w:val="none"/>
        </w:rPr>
      </w:pPr>
      <w:bookmarkStart w:id="6" w:name="_Toc1593"/>
      <w:bookmarkStart w:id="7" w:name="_Toc15266"/>
      <w:bookmarkStart w:id="8" w:name="_Toc308786492"/>
      <w:bookmarkStart w:id="9" w:name="_Toc31278"/>
      <w:bookmarkStart w:id="10" w:name="_Toc14462"/>
      <w:bookmarkStart w:id="11" w:name="_Toc24679"/>
      <w:bookmarkStart w:id="12" w:name="_Toc13112"/>
      <w:r>
        <w:rPr>
          <w:rFonts w:hint="eastAsia" w:ascii="宋体" w:hAnsi="宋体" w:cs="宋体"/>
          <w:color w:val="auto"/>
          <w:highlight w:val="none"/>
        </w:rPr>
        <w:t>第一章 商务需求书</w:t>
      </w:r>
      <w:bookmarkEnd w:id="6"/>
      <w:bookmarkEnd w:id="7"/>
    </w:p>
    <w:tbl>
      <w:tblPr>
        <w:tblStyle w:val="28"/>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pPr>
              <w:pStyle w:val="39"/>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服务期</w:t>
            </w:r>
          </w:p>
        </w:tc>
        <w:tc>
          <w:tcPr>
            <w:tcW w:w="6466" w:type="dxa"/>
            <w:vAlign w:val="center"/>
          </w:tcPr>
          <w:p>
            <w:pPr>
              <w:pStyle w:val="36"/>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自合同签订之日起2年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★付款方法和条件</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6.1预付款：本项目不设预付款。</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6.2</w:t>
            </w:r>
            <w:r>
              <w:rPr>
                <w:rFonts w:hint="eastAsia" w:ascii="宋体" w:hAnsi="宋体" w:cs="宋体"/>
                <w:color w:val="auto"/>
                <w:szCs w:val="21"/>
                <w:highlight w:val="none"/>
                <w:lang w:eastAsia="zh-CN"/>
              </w:rPr>
              <w:t>电梯维保付款方式</w:t>
            </w:r>
            <w:r>
              <w:rPr>
                <w:rFonts w:hint="eastAsia" w:ascii="宋体" w:hAnsi="宋体" w:cs="宋体"/>
                <w:color w:val="auto"/>
                <w:szCs w:val="21"/>
                <w:highlight w:val="none"/>
              </w:rPr>
              <w:t>：每季度（满三个月）可申请一次费用，服务期限最后一个季度的费用结算后支付。投标人每季度提交当季度的保养记录（半月、季度保养记录）及请款资料，经采购人审核无误后支付当季度的费用。</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6.3</w:t>
            </w:r>
            <w:r>
              <w:rPr>
                <w:rFonts w:hint="eastAsia" w:ascii="宋体" w:hAnsi="宋体" w:cs="宋体"/>
                <w:color w:val="auto"/>
                <w:szCs w:val="21"/>
                <w:highlight w:val="none"/>
                <w:lang w:eastAsia="zh-CN"/>
              </w:rPr>
              <w:t>电梯配件更换付款方式</w:t>
            </w:r>
            <w:r>
              <w:rPr>
                <w:rFonts w:hint="eastAsia" w:ascii="宋体" w:hAnsi="宋体" w:cs="宋体"/>
                <w:color w:val="auto"/>
                <w:szCs w:val="21"/>
                <w:highlight w:val="none"/>
              </w:rPr>
              <w:t>：每季度（满三个月）可申请一次费用，服务期限最后一个季度的费用结算后支付。投标人每季度提交当季度的</w:t>
            </w:r>
            <w:r>
              <w:rPr>
                <w:rFonts w:hint="eastAsia" w:ascii="宋体" w:hAnsi="宋体" w:cs="宋体"/>
                <w:color w:val="auto"/>
                <w:szCs w:val="21"/>
                <w:highlight w:val="none"/>
                <w:lang w:eastAsia="zh-CN"/>
              </w:rPr>
              <w:t>配件更换记录等相关资料、请款资料，</w:t>
            </w:r>
            <w:r>
              <w:rPr>
                <w:rFonts w:hint="eastAsia" w:ascii="宋体" w:hAnsi="宋体" w:cs="宋体"/>
                <w:color w:val="auto"/>
                <w:szCs w:val="21"/>
                <w:highlight w:val="none"/>
              </w:rPr>
              <w:t>经采购人审核无误后支付当季度的费用</w:t>
            </w:r>
            <w:r>
              <w:rPr>
                <w:rFonts w:hint="eastAsia" w:ascii="宋体" w:hAnsi="宋体" w:cs="宋体"/>
                <w:color w:val="auto"/>
                <w:szCs w:val="21"/>
                <w:highlight w:val="none"/>
                <w:lang w:eastAsia="zh-CN"/>
              </w:rPr>
              <w:t>。</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6.4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pPr>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报价要求</w:t>
            </w:r>
          </w:p>
        </w:tc>
        <w:tc>
          <w:tcPr>
            <w:tcW w:w="6466" w:type="dxa"/>
            <w:vAlign w:val="center"/>
          </w:tcPr>
          <w:p>
            <w:pPr>
              <w:pStyle w:val="11"/>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报价包含：日常维保费（详见附件2-5）、限速器检测费、年检服务费（含取证）收费配件（详见附件7-9）更换费用、人工费、机械费、运输、保管、管理费、利润、安全防护、文明施工措施项目费、税费、保险费、各种综合费用等一切相关费用（收费配件的费用据实结算）。</w:t>
            </w:r>
          </w:p>
          <w:p>
            <w:pPr>
              <w:pStyle w:val="11"/>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2、电梯维保费用最高限价488400.00元、电梯配件费用最高限价403377.60元，</w:t>
            </w:r>
            <w:r>
              <w:rPr>
                <w:rFonts w:hint="eastAsia" w:hAnsi="宋体" w:cs="宋体"/>
                <w:color w:val="auto"/>
                <w:szCs w:val="21"/>
                <w:highlight w:val="none"/>
              </w:rPr>
              <w:t>投标报价超出最高限价金额的为投标无效。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71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50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66" w:type="dxa"/>
            <w:vAlign w:val="center"/>
          </w:tcPr>
          <w:p>
            <w:pPr>
              <w:ind w:firstLine="420" w:firstLineChars="200"/>
              <w:rPr>
                <w:rFonts w:ascii="宋体" w:hAnsi="宋体" w:cs="宋体"/>
                <w:color w:val="auto"/>
                <w:szCs w:val="21"/>
                <w:highlight w:val="none"/>
              </w:rPr>
            </w:pPr>
            <w:r>
              <w:rPr>
                <w:rFonts w:hint="eastAsia" w:ascii="宋体" w:hAnsi="宋体" w:cs="宋体"/>
                <w:bCs/>
                <w:color w:val="auto"/>
                <w:szCs w:val="21"/>
                <w:highlight w:val="none"/>
              </w:rPr>
              <w:t>合同签订为暂定总价合同，合同期间采购人有权按需求调整服务范围，合同期间以合同单价执行。</w:t>
            </w:r>
          </w:p>
        </w:tc>
      </w:tr>
    </w:tbl>
    <w:p>
      <w:pPr>
        <w:pStyle w:val="3"/>
        <w:rPr>
          <w:color w:val="auto"/>
          <w:highlight w:val="none"/>
          <w:lang w:val="en-US"/>
        </w:rPr>
      </w:pPr>
    </w:p>
    <w:p>
      <w:pPr>
        <w:rPr>
          <w:rFonts w:ascii="宋体" w:hAnsi="宋体" w:cs="宋体"/>
          <w:color w:val="auto"/>
          <w:highlight w:val="none"/>
        </w:rPr>
      </w:pPr>
      <w:bookmarkStart w:id="13" w:name="_Toc19316"/>
    </w:p>
    <w:p>
      <w:pPr>
        <w:pStyle w:val="7"/>
        <w:spacing w:before="0" w:after="0" w:line="360" w:lineRule="auto"/>
        <w:jc w:val="center"/>
        <w:rPr>
          <w:rFonts w:ascii="宋体" w:hAnsi="宋体" w:cs="宋体"/>
          <w:color w:val="auto"/>
          <w:highlight w:val="none"/>
        </w:rPr>
      </w:pPr>
      <w:bookmarkStart w:id="14" w:name="_Toc30066"/>
      <w:r>
        <w:rPr>
          <w:rFonts w:hint="eastAsia" w:ascii="宋体" w:hAnsi="宋体" w:cs="宋体"/>
          <w:color w:val="auto"/>
          <w:highlight w:val="none"/>
        </w:rPr>
        <w:t>第二章 技术需求书</w:t>
      </w:r>
      <w:bookmarkEnd w:id="13"/>
      <w:bookmarkEnd w:id="14"/>
    </w:p>
    <w:bookmarkEnd w:id="8"/>
    <w:p>
      <w:pPr>
        <w:ind w:firstLine="420"/>
        <w:rPr>
          <w:rFonts w:ascii="宋体" w:hAnsi="宋体" w:cs="宋体"/>
          <w:bCs/>
          <w:color w:val="auto"/>
          <w:szCs w:val="21"/>
          <w:highlight w:val="none"/>
        </w:rPr>
      </w:pPr>
      <w:r>
        <w:rPr>
          <w:rFonts w:hint="eastAsia" w:ascii="宋体" w:hAnsi="宋体" w:cs="宋体"/>
          <w:bCs/>
          <w:color w:val="auto"/>
          <w:szCs w:val="21"/>
          <w:highlight w:val="none"/>
        </w:rPr>
        <w:t>1.服务范围：包括莞寓自营项目，包括但不限于：莞寓·智荟谷1号店、莞寓·都会广场店、莞寓·创业新村1号店、莞寓·创业新村2号店、莞寓·市人才安居社、莞寓·汇众店等项目，</w:t>
      </w:r>
      <w:r>
        <w:rPr>
          <w:rFonts w:hint="eastAsia" w:ascii="宋体" w:hAnsi="宋体" w:cs="宋体"/>
          <w:bCs/>
          <w:color w:val="auto"/>
          <w:szCs w:val="21"/>
          <w:highlight w:val="none"/>
        </w:rPr>
        <w:t>电梯共3</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樘</w:t>
      </w:r>
      <w:r>
        <w:rPr>
          <w:rFonts w:hint="eastAsia" w:ascii="宋体" w:hAnsi="宋体" w:cs="宋体"/>
          <w:bCs/>
          <w:color w:val="auto"/>
          <w:szCs w:val="21"/>
          <w:highlight w:val="none"/>
        </w:rPr>
        <w:t>，其中莞寓市人才安居社区</w:t>
      </w:r>
      <w:r>
        <w:rPr>
          <w:rFonts w:hint="eastAsia" w:ascii="宋体" w:hAnsi="宋体" w:cs="宋体"/>
          <w:bCs/>
          <w:color w:val="auto"/>
          <w:szCs w:val="21"/>
          <w:highlight w:val="none"/>
        </w:rPr>
        <w:t>3</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樘</w:t>
      </w:r>
      <w:r>
        <w:rPr>
          <w:rFonts w:hint="eastAsia" w:ascii="宋体" w:hAnsi="宋体" w:cs="宋体"/>
          <w:bCs/>
          <w:color w:val="auto"/>
          <w:szCs w:val="21"/>
          <w:highlight w:val="none"/>
        </w:rPr>
        <w:t>、</w:t>
      </w:r>
      <w:r>
        <w:rPr>
          <w:rFonts w:hint="eastAsia" w:ascii="宋体" w:hAnsi="宋体" w:cs="宋体"/>
          <w:bCs/>
          <w:color w:val="auto"/>
          <w:szCs w:val="21"/>
          <w:highlight w:val="none"/>
        </w:rPr>
        <w:t>智荟谷1樘、汇众店1樘、创业新村1号店1樘、创业新村2号店1樘、都会广场店1樘</w:t>
      </w:r>
      <w:r>
        <w:rPr>
          <w:rFonts w:hint="eastAsia" w:ascii="宋体" w:hAnsi="宋体" w:cs="宋体"/>
          <w:bCs/>
          <w:color w:val="auto"/>
          <w:szCs w:val="21"/>
          <w:highlight w:val="none"/>
        </w:rPr>
        <w:t>。</w:t>
      </w:r>
    </w:p>
    <w:p>
      <w:pPr>
        <w:ind w:firstLine="420"/>
        <w:rPr>
          <w:rFonts w:ascii="宋体" w:hAnsi="宋体" w:cs="宋体"/>
          <w:bCs/>
          <w:color w:val="auto"/>
          <w:szCs w:val="21"/>
          <w:highlight w:val="none"/>
        </w:rPr>
      </w:pPr>
      <w:r>
        <w:rPr>
          <w:rFonts w:hint="eastAsia" w:ascii="宋体" w:hAnsi="宋体" w:cs="宋体"/>
          <w:bCs/>
          <w:color w:val="auto"/>
          <w:szCs w:val="21"/>
          <w:highlight w:val="none"/>
        </w:rPr>
        <w:t>2.服务要求：电梯日常维护保养需执行的国家相关标准、行业标准、地方标准或者其他标准、规范，包括但不限于如下:</w:t>
      </w:r>
    </w:p>
    <w:p>
      <w:pPr>
        <w:ind w:firstLine="420"/>
        <w:rPr>
          <w:rFonts w:ascii="宋体" w:hAnsi="宋体" w:cs="宋体"/>
          <w:bCs/>
          <w:color w:val="auto"/>
          <w:szCs w:val="21"/>
          <w:highlight w:val="none"/>
        </w:rPr>
      </w:pPr>
      <w:r>
        <w:rPr>
          <w:rFonts w:hint="eastAsia" w:ascii="宋体" w:hAnsi="宋体" w:cs="宋体"/>
          <w:bCs/>
          <w:color w:val="auto"/>
          <w:szCs w:val="21"/>
          <w:highlight w:val="none"/>
        </w:rPr>
        <w:t>2.1电梯使用管理与维修保养规则TSG T5001-2009</w:t>
      </w:r>
    </w:p>
    <w:p>
      <w:pPr>
        <w:ind w:firstLine="420"/>
        <w:rPr>
          <w:rFonts w:ascii="宋体" w:hAnsi="宋体" w:cs="宋体"/>
          <w:bCs/>
          <w:color w:val="auto"/>
          <w:szCs w:val="21"/>
          <w:highlight w:val="none"/>
        </w:rPr>
      </w:pPr>
      <w:r>
        <w:rPr>
          <w:rFonts w:hint="eastAsia" w:ascii="宋体" w:hAnsi="宋体" w:cs="宋体"/>
          <w:bCs/>
          <w:color w:val="auto"/>
          <w:szCs w:val="21"/>
          <w:highlight w:val="none"/>
        </w:rPr>
        <w:t>2.2广东省电梯维修保养安全管理规范</w:t>
      </w:r>
    </w:p>
    <w:p>
      <w:pPr>
        <w:ind w:firstLine="420"/>
        <w:rPr>
          <w:rFonts w:ascii="宋体" w:hAnsi="宋体" w:cs="宋体"/>
          <w:bCs/>
          <w:color w:val="auto"/>
          <w:szCs w:val="21"/>
          <w:highlight w:val="none"/>
        </w:rPr>
      </w:pPr>
      <w:r>
        <w:rPr>
          <w:rFonts w:hint="eastAsia" w:ascii="宋体" w:hAnsi="宋体" w:cs="宋体"/>
          <w:bCs/>
          <w:color w:val="auto"/>
          <w:szCs w:val="21"/>
          <w:highlight w:val="none"/>
        </w:rPr>
        <w:t>2.3电梯维修规范GB/T  18775-2002</w:t>
      </w:r>
    </w:p>
    <w:p>
      <w:pPr>
        <w:ind w:firstLine="420"/>
        <w:rPr>
          <w:rFonts w:ascii="宋体" w:hAnsi="宋体" w:cs="宋体"/>
          <w:bCs/>
          <w:color w:val="auto"/>
          <w:szCs w:val="21"/>
          <w:highlight w:val="none"/>
        </w:rPr>
      </w:pPr>
      <w:r>
        <w:rPr>
          <w:rFonts w:hint="eastAsia" w:ascii="宋体" w:hAnsi="宋体" w:cs="宋体"/>
          <w:bCs/>
          <w:color w:val="auto"/>
          <w:szCs w:val="21"/>
          <w:highlight w:val="none"/>
        </w:rPr>
        <w:t>2.4电梯安装使用维护说明书</w:t>
      </w:r>
    </w:p>
    <w:p>
      <w:pPr>
        <w:ind w:firstLine="420"/>
        <w:rPr>
          <w:rFonts w:ascii="宋体" w:hAnsi="宋体" w:cs="宋体"/>
          <w:bCs/>
          <w:color w:val="auto"/>
          <w:szCs w:val="21"/>
          <w:highlight w:val="none"/>
        </w:rPr>
      </w:pPr>
      <w:r>
        <w:rPr>
          <w:rFonts w:hint="eastAsia" w:ascii="宋体" w:hAnsi="宋体" w:cs="宋体"/>
          <w:bCs/>
          <w:color w:val="auto"/>
          <w:szCs w:val="21"/>
          <w:highlight w:val="none"/>
        </w:rPr>
        <w:t>2.5《中华人民共和国特种设备安全法》</w:t>
      </w:r>
    </w:p>
    <w:p>
      <w:pPr>
        <w:ind w:firstLine="420"/>
        <w:rPr>
          <w:rFonts w:ascii="宋体" w:hAnsi="宋体" w:cs="宋体"/>
          <w:bCs/>
          <w:color w:val="auto"/>
          <w:szCs w:val="21"/>
          <w:highlight w:val="none"/>
        </w:rPr>
      </w:pPr>
      <w:r>
        <w:rPr>
          <w:rFonts w:hint="eastAsia" w:ascii="宋体" w:hAnsi="宋体" w:cs="宋体"/>
          <w:bCs/>
          <w:color w:val="auto"/>
          <w:szCs w:val="21"/>
          <w:highlight w:val="none"/>
        </w:rPr>
        <w:t>2.6电梯维护和保养内容包括但不限于以下内容: 电梯例行检查、维修、保养及相关物料、测试服务费；维护、保养用的实验设备费；维保期内因电梯质量问题造成乘客及第三方人身意外伤害的费用及赔偿；维保所需设备搬运、吊装（含二次搬运及吊装）、安装及调试费用；维保用脚手架所需费用；维保时采用的安全措施所需费用；在电梯维保过程中从指定的电源接驳点（单体指定位置）到电梯现场所需临时电缆费用；维保期间所需的水电费用；垃圾清运费：维保期间清理及运走所有与电梯工程有关的废料和垃圾至采购人现场指定地点；技术服务费(包括维保调试、试运行指导以及相关技术人员的差旅费)；对采购人所属人员进行的培训费；维保期内办理相关法定检验机构的年检及更换合格证，并承担所涉及的一切费用。每月提供不少于两次定期保养，每次保养均应填写保养记录表并由采购人签字确认。定期检验时，保养记录交检验人员查阅。</w:t>
      </w:r>
    </w:p>
    <w:p>
      <w:pPr>
        <w:ind w:firstLine="420"/>
        <w:rPr>
          <w:rFonts w:ascii="宋体" w:hAnsi="宋体" w:cs="宋体"/>
          <w:bCs/>
          <w:color w:val="auto"/>
          <w:szCs w:val="21"/>
          <w:highlight w:val="none"/>
        </w:rPr>
      </w:pPr>
      <w:r>
        <w:rPr>
          <w:rFonts w:hint="eastAsia" w:ascii="宋体" w:hAnsi="宋体" w:cs="宋体"/>
          <w:bCs/>
          <w:color w:val="auto"/>
          <w:szCs w:val="21"/>
          <w:highlight w:val="none"/>
        </w:rPr>
        <w:t>2.7常驻人员交通费、住宿费等所有费用。</w:t>
      </w:r>
    </w:p>
    <w:p>
      <w:pPr>
        <w:ind w:firstLine="420"/>
        <w:rPr>
          <w:rFonts w:ascii="宋体" w:hAnsi="宋体" w:cs="宋体"/>
          <w:bCs/>
          <w:color w:val="auto"/>
          <w:szCs w:val="21"/>
          <w:highlight w:val="none"/>
        </w:rPr>
      </w:pPr>
      <w:r>
        <w:rPr>
          <w:rFonts w:hint="eastAsia" w:ascii="宋体" w:hAnsi="宋体" w:cs="宋体"/>
          <w:bCs/>
          <w:color w:val="auto"/>
          <w:szCs w:val="21"/>
          <w:highlight w:val="none"/>
        </w:rPr>
        <w:t>3.驻场人员素质要求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3.1投入本项目的项目经理应具有电气或机械专业等相关中级资质。技术团队应具有电气或机械专业等相关资质。驻点服务要求派驻维保人员提供全年每天24小时的驻场服务，对所有电梯及电梯机房进行定期巡查并记录。驻点人员必须具备特种设备作业（维修）人员资格，要求具有两年或以上工作经验。驻点服务人员为固定人员，合同签署前，所有驻点服务人员应与采购人交底，并提供姓名、通迅号码及有效的特种设备作业人员资格证书复印件（须加盖聘用单位印章）。投标人如需更换人员应与采购人协商。</w:t>
      </w:r>
    </w:p>
    <w:p>
      <w:pPr>
        <w:ind w:firstLine="420"/>
        <w:rPr>
          <w:rFonts w:ascii="宋体" w:hAnsi="宋体" w:cs="宋体"/>
          <w:bCs/>
          <w:color w:val="auto"/>
          <w:szCs w:val="21"/>
          <w:highlight w:val="none"/>
        </w:rPr>
      </w:pPr>
      <w:r>
        <w:rPr>
          <w:rFonts w:hint="eastAsia" w:ascii="宋体" w:hAnsi="宋体" w:cs="宋体"/>
          <w:bCs/>
          <w:color w:val="auto"/>
          <w:szCs w:val="21"/>
          <w:highlight w:val="none"/>
        </w:rPr>
        <w:t>★3.2投入本项目的常驻人员应为具有相应作业项目资格证书的特种设备作业人员</w:t>
      </w:r>
      <w:r>
        <w:rPr>
          <w:rFonts w:hint="eastAsia" w:ascii="宋体" w:hAnsi="宋体" w:cs="宋体"/>
          <w:b/>
          <w:color w:val="auto"/>
          <w:szCs w:val="21"/>
          <w:highlight w:val="none"/>
        </w:rPr>
        <w:t>（投标人须单独提供承诺函，承诺中标后提供常驻人员的相关证明文件）</w:t>
      </w:r>
      <w:r>
        <w:rPr>
          <w:rFonts w:hint="eastAsia" w:ascii="宋体" w:hAnsi="宋体" w:cs="宋体"/>
          <w:bCs/>
          <w:color w:val="auto"/>
          <w:szCs w:val="21"/>
          <w:highlight w:val="none"/>
        </w:rPr>
        <w:t>。</w:t>
      </w:r>
    </w:p>
    <w:p>
      <w:pPr>
        <w:ind w:firstLine="420"/>
        <w:rPr>
          <w:rFonts w:ascii="宋体" w:hAnsi="宋体" w:cs="宋体"/>
          <w:bCs/>
          <w:color w:val="auto"/>
          <w:szCs w:val="21"/>
          <w:highlight w:val="none"/>
        </w:rPr>
      </w:pPr>
      <w:r>
        <w:rPr>
          <w:rFonts w:hint="eastAsia" w:ascii="宋体" w:hAnsi="宋体" w:cs="宋体"/>
          <w:bCs/>
          <w:color w:val="auto"/>
          <w:szCs w:val="21"/>
          <w:highlight w:val="none"/>
        </w:rPr>
        <w:t>3.3采购人需指派一名人员作为本项目的电梯安全负责人，负责对电梯钥匙的使用管理、维护保养记录、修理记录的签字确认，电梯安全隐患提示单的签字确认，对电梯保养、维修、更换的配件予以确认并验收。</w:t>
      </w:r>
    </w:p>
    <w:p>
      <w:pPr>
        <w:ind w:firstLine="420"/>
        <w:rPr>
          <w:rFonts w:ascii="宋体" w:hAnsi="宋体" w:cs="宋体"/>
          <w:bCs/>
          <w:color w:val="auto"/>
          <w:szCs w:val="21"/>
          <w:highlight w:val="none"/>
        </w:rPr>
      </w:pPr>
      <w:r>
        <w:rPr>
          <w:rFonts w:hint="eastAsia" w:ascii="宋体" w:hAnsi="宋体" w:cs="宋体"/>
          <w:bCs/>
          <w:color w:val="auto"/>
          <w:szCs w:val="21"/>
          <w:highlight w:val="none"/>
        </w:rPr>
        <w:t>4.服务费用说明</w:t>
      </w:r>
    </w:p>
    <w:p>
      <w:pPr>
        <w:ind w:firstLine="420"/>
        <w:rPr>
          <w:rFonts w:ascii="宋体" w:hAnsi="宋体" w:cs="宋体"/>
          <w:bCs/>
          <w:color w:val="auto"/>
          <w:szCs w:val="21"/>
          <w:highlight w:val="none"/>
        </w:rPr>
      </w:pPr>
      <w:r>
        <w:rPr>
          <w:rFonts w:hint="eastAsia" w:ascii="宋体" w:hAnsi="宋体" w:cs="宋体"/>
          <w:bCs/>
          <w:color w:val="auto"/>
          <w:szCs w:val="21"/>
          <w:highlight w:val="none"/>
        </w:rPr>
        <w:t>4.1投标人保证并负责所保养及维修的电梯能通过质量技术监督部门及其他有关政府部门主持的年检验或相应的质量资格审核。电梯年检工作由投标人全面负责。若由于中标人的原因而造成年检不合格，由投标人负责一切复检所需费用，直至复检合格为止；投标人未按照规定时间领取电梯检验合格使用证所造成的损失由投标人负责并需同时承担因电梯年检不合格而造成的责任（包括安全使用责任及赔偿责任）。</w:t>
      </w:r>
    </w:p>
    <w:p>
      <w:pPr>
        <w:ind w:firstLine="420"/>
        <w:rPr>
          <w:rFonts w:ascii="宋体" w:hAnsi="宋体" w:cs="宋体"/>
          <w:bCs/>
          <w:color w:val="auto"/>
          <w:szCs w:val="21"/>
          <w:highlight w:val="none"/>
        </w:rPr>
      </w:pPr>
      <w:r>
        <w:rPr>
          <w:rFonts w:hint="eastAsia" w:ascii="宋体" w:hAnsi="宋体" w:cs="宋体"/>
          <w:bCs/>
          <w:color w:val="auto"/>
          <w:szCs w:val="21"/>
          <w:highlight w:val="none"/>
        </w:rPr>
        <w:t>4.2合同期内，电梯维修需更换的设备、零部（配）件及相关材料，收费配件（详见附件7-9）由投标人负责，据实结算（如收费配件无列明，在合同总价中包干）。配件必须提供原厂同规格的全新产品，投标人负责设备、零部（配）件及相关材料的安装（人工费包含在本项目报价内），对更换下来的电梯部件、设备、零部（配）件及相关材料经采购人确认后，由投标人处理。如发现更换的配件非原厂同规格的全新产品，投标人必须立即更换，投标人每次按收费配件价格的20%进行处罚，并暂停支付进度款及结算款。</w:t>
      </w:r>
    </w:p>
    <w:p>
      <w:pPr>
        <w:ind w:firstLine="420"/>
        <w:rPr>
          <w:rFonts w:ascii="宋体" w:hAnsi="宋体" w:cs="宋体"/>
          <w:bCs/>
          <w:color w:val="auto"/>
          <w:szCs w:val="21"/>
          <w:highlight w:val="none"/>
        </w:rPr>
      </w:pPr>
      <w:r>
        <w:rPr>
          <w:rFonts w:hint="eastAsia" w:ascii="宋体" w:hAnsi="宋体" w:cs="宋体"/>
          <w:bCs/>
          <w:color w:val="auto"/>
          <w:szCs w:val="21"/>
          <w:highlight w:val="none"/>
        </w:rPr>
        <w:t>4.3如因使用不当造成电梯故障或损坏，投标人负责及时将其修复或更换，使电梯恢复安全、正常运行，费用按收费配件计算，据实结算（如收费配件无列明，在合同总价中包干）。</w:t>
      </w:r>
    </w:p>
    <w:p>
      <w:pPr>
        <w:ind w:firstLine="420"/>
        <w:rPr>
          <w:rFonts w:ascii="宋体" w:hAnsi="宋体" w:cs="宋体"/>
          <w:bCs/>
          <w:color w:val="auto"/>
          <w:szCs w:val="21"/>
          <w:highlight w:val="none"/>
        </w:rPr>
      </w:pPr>
      <w:r>
        <w:rPr>
          <w:rFonts w:hint="eastAsia" w:ascii="宋体" w:hAnsi="宋体" w:cs="宋体"/>
          <w:bCs/>
          <w:color w:val="auto"/>
          <w:szCs w:val="21"/>
          <w:highlight w:val="none"/>
        </w:rPr>
        <w:t>5.应急培训演练</w:t>
      </w:r>
    </w:p>
    <w:p>
      <w:pPr>
        <w:ind w:firstLine="420"/>
        <w:rPr>
          <w:rFonts w:ascii="宋体" w:hAnsi="宋体" w:cs="宋体"/>
          <w:bCs/>
          <w:color w:val="auto"/>
          <w:szCs w:val="21"/>
          <w:highlight w:val="none"/>
        </w:rPr>
      </w:pPr>
      <w:r>
        <w:rPr>
          <w:rFonts w:hint="eastAsia" w:ascii="宋体" w:hAnsi="宋体" w:cs="宋体"/>
          <w:bCs/>
          <w:color w:val="auto"/>
          <w:szCs w:val="21"/>
          <w:highlight w:val="none"/>
        </w:rPr>
        <w:t>5.1投标人负责制制定电梯应急救援预案，每年组织安排至少2次电梯困人事故演练及2次电梯安全教育培训。</w:t>
      </w:r>
    </w:p>
    <w:p>
      <w:pPr>
        <w:ind w:firstLine="420"/>
        <w:rPr>
          <w:rFonts w:ascii="宋体" w:hAnsi="宋体" w:cs="宋体"/>
          <w:bCs/>
          <w:color w:val="auto"/>
          <w:szCs w:val="21"/>
          <w:highlight w:val="none"/>
        </w:rPr>
      </w:pPr>
      <w:r>
        <w:rPr>
          <w:rFonts w:hint="eastAsia" w:ascii="宋体" w:hAnsi="宋体" w:cs="宋体"/>
          <w:bCs/>
          <w:color w:val="auto"/>
          <w:szCs w:val="21"/>
          <w:highlight w:val="none"/>
        </w:rPr>
        <w:t>5.2做好演练工作的现场照片和事后工作总结记录，并提交采购人存档管理。</w:t>
      </w:r>
    </w:p>
    <w:p>
      <w:pPr>
        <w:ind w:firstLine="420"/>
        <w:rPr>
          <w:rFonts w:ascii="宋体" w:hAnsi="宋体" w:cs="宋体"/>
          <w:bCs/>
          <w:color w:val="auto"/>
          <w:szCs w:val="21"/>
          <w:highlight w:val="none"/>
        </w:rPr>
      </w:pPr>
      <w:r>
        <w:rPr>
          <w:rFonts w:hint="eastAsia" w:ascii="宋体" w:hAnsi="宋体" w:cs="宋体"/>
          <w:bCs/>
          <w:color w:val="auto"/>
          <w:szCs w:val="21"/>
          <w:highlight w:val="none"/>
        </w:rPr>
        <w:t>5.3应急演练内容包括但不限于电梯困人时的应急分工、实操方案、紧急联络方式等。</w:t>
      </w:r>
    </w:p>
    <w:p>
      <w:pPr>
        <w:ind w:firstLine="420"/>
        <w:rPr>
          <w:rFonts w:ascii="宋体" w:hAnsi="宋体" w:cs="宋体"/>
          <w:bCs/>
          <w:color w:val="auto"/>
          <w:szCs w:val="21"/>
          <w:highlight w:val="none"/>
        </w:rPr>
      </w:pPr>
      <w:r>
        <w:rPr>
          <w:rFonts w:hint="eastAsia" w:ascii="宋体" w:hAnsi="宋体" w:cs="宋体"/>
          <w:bCs/>
          <w:color w:val="auto"/>
          <w:szCs w:val="21"/>
          <w:highlight w:val="none"/>
        </w:rPr>
        <w:t>6.应急响应服务要求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6.1投标人须提供24小时的应急响应服务（建立应急服务热线电话），投标人收到故障通知后应立即派员到现场处理（在30分钟内赶到现场）。收到电梯困人故障或电梯事故通知后应在（20分钟内）到达现场实施救援，对其它及电子板原因的故障应在3天时间内解决。一般故障，接到故障通知后应2小时内到现场进行处置；如属重大故障，则投标人需于三天内维修完成并调试完毕交付采购人使用，在维修电梯期间做好标识安全告示及设置围栏围闭管理。</w:t>
      </w:r>
    </w:p>
    <w:p>
      <w:pPr>
        <w:ind w:firstLine="420"/>
        <w:rPr>
          <w:rFonts w:ascii="宋体" w:hAnsi="宋体" w:cs="宋体"/>
          <w:bCs/>
          <w:color w:val="auto"/>
          <w:szCs w:val="21"/>
          <w:highlight w:val="none"/>
        </w:rPr>
      </w:pPr>
      <w:r>
        <w:rPr>
          <w:rFonts w:hint="eastAsia" w:ascii="宋体" w:hAnsi="宋体" w:cs="宋体"/>
          <w:bCs/>
          <w:color w:val="auto"/>
          <w:szCs w:val="21"/>
          <w:highlight w:val="none"/>
        </w:rPr>
        <w:t>6.2本项目投标人须保证合同期内电梯符合所在地政府有关部门对电梯的有关技术规定与规范要求，必须保证电梯安全运行，及时更换已磨损、失效不符合要求的设备、零部（配）件及其它相关的材料，收费配件（详见附件7-9）由投标人负责，据实结算（如收费配件无列明，在合同总价中包干）。配件必须提供原厂同规格的全新产品，中标人负责设备、零部（配）件及相关材料的安装（人工费包含在本项目报价内），对更换下来的电梯部件、设备、零部（配）件及相关材料经采购人确认后，由投标人处理。发现更换的配件非原厂同规格的全新产品，中标人必须立即更换。对于恒常设备、零部件及其他材料应在12小进内完成更换，非恒常的应在3天内完成更换。</w:t>
      </w:r>
    </w:p>
    <w:p>
      <w:pPr>
        <w:ind w:firstLine="420"/>
        <w:rPr>
          <w:rFonts w:ascii="宋体" w:hAnsi="宋体" w:cs="宋体"/>
          <w:bCs/>
          <w:color w:val="auto"/>
          <w:szCs w:val="21"/>
          <w:highlight w:val="none"/>
        </w:rPr>
      </w:pPr>
      <w:r>
        <w:rPr>
          <w:rFonts w:hint="eastAsia" w:ascii="宋体" w:hAnsi="宋体" w:cs="宋体"/>
          <w:bCs/>
          <w:color w:val="auto"/>
          <w:szCs w:val="21"/>
          <w:highlight w:val="none"/>
        </w:rPr>
        <w:t>7.电梯维保工作要求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7.1电梯日常维护保养项目（内容）和要求见附件。</w:t>
      </w:r>
    </w:p>
    <w:p>
      <w:pPr>
        <w:ind w:firstLine="420"/>
        <w:rPr>
          <w:rFonts w:ascii="宋体" w:hAnsi="宋体" w:cs="宋体"/>
          <w:bCs/>
          <w:color w:val="auto"/>
          <w:szCs w:val="21"/>
          <w:highlight w:val="none"/>
        </w:rPr>
      </w:pPr>
      <w:r>
        <w:rPr>
          <w:rFonts w:hint="eastAsia" w:ascii="宋体" w:hAnsi="宋体" w:cs="宋体"/>
          <w:bCs/>
          <w:color w:val="auto"/>
          <w:szCs w:val="21"/>
          <w:highlight w:val="none"/>
        </w:rPr>
        <w:t>7.2合同期内，投标人必须按照国家相关规定完成半月、季度、半年、年度例行巡检、维修保养以及合同具体要求维修保养服务的工作，维保需2人以上维保人员到场开展维保。</w:t>
      </w:r>
    </w:p>
    <w:p>
      <w:pPr>
        <w:ind w:firstLine="420"/>
        <w:rPr>
          <w:rFonts w:ascii="宋体" w:hAnsi="宋体" w:cs="宋体"/>
          <w:bCs/>
          <w:color w:val="auto"/>
          <w:szCs w:val="21"/>
          <w:highlight w:val="none"/>
        </w:rPr>
      </w:pPr>
      <w:r>
        <w:rPr>
          <w:rFonts w:hint="eastAsia" w:ascii="宋体" w:hAnsi="宋体" w:cs="宋体"/>
          <w:bCs/>
          <w:color w:val="auto"/>
          <w:szCs w:val="21"/>
          <w:highlight w:val="none"/>
        </w:rPr>
        <w:t>7.3投标人负责电梯机房、井道底坑、电梯空调等的清洁保养并负责根据天气及时调整电梯空调温度和风量。</w:t>
      </w:r>
    </w:p>
    <w:p>
      <w:pPr>
        <w:ind w:firstLine="420"/>
        <w:rPr>
          <w:rFonts w:ascii="宋体" w:hAnsi="宋体" w:cs="宋体"/>
          <w:bCs/>
          <w:color w:val="auto"/>
          <w:szCs w:val="21"/>
          <w:highlight w:val="none"/>
        </w:rPr>
      </w:pPr>
      <w:r>
        <w:rPr>
          <w:rFonts w:hint="eastAsia" w:ascii="宋体" w:hAnsi="宋体" w:cs="宋体"/>
          <w:bCs/>
          <w:color w:val="auto"/>
          <w:szCs w:val="21"/>
          <w:highlight w:val="none"/>
        </w:rPr>
        <w:t>7.4对更换下来的电梯部件、设备、零部（配）件及相关材料经采购人确认后，由投标人处理。</w:t>
      </w:r>
    </w:p>
    <w:p>
      <w:pPr>
        <w:ind w:firstLine="420"/>
        <w:rPr>
          <w:rFonts w:ascii="宋体" w:hAnsi="宋体" w:cs="宋体"/>
          <w:bCs/>
          <w:color w:val="auto"/>
          <w:szCs w:val="21"/>
          <w:highlight w:val="none"/>
        </w:rPr>
      </w:pPr>
      <w:r>
        <w:rPr>
          <w:rFonts w:hint="eastAsia" w:ascii="宋体" w:hAnsi="宋体" w:cs="宋体"/>
          <w:bCs/>
          <w:color w:val="auto"/>
          <w:szCs w:val="21"/>
          <w:highlight w:val="none"/>
        </w:rPr>
        <w:t>7.5在日常维护保养期届满时，须经法定定期检验并无因维护保养原因的不合格项目存在。</w:t>
      </w:r>
    </w:p>
    <w:p>
      <w:pPr>
        <w:ind w:firstLine="420"/>
        <w:rPr>
          <w:rFonts w:ascii="宋体" w:hAnsi="宋体" w:cs="宋体"/>
          <w:bCs/>
          <w:color w:val="auto"/>
          <w:szCs w:val="21"/>
          <w:highlight w:val="none"/>
        </w:rPr>
      </w:pPr>
      <w:r>
        <w:rPr>
          <w:rFonts w:hint="eastAsia" w:ascii="宋体" w:hAnsi="宋体" w:cs="宋体"/>
          <w:bCs/>
          <w:color w:val="auto"/>
          <w:szCs w:val="21"/>
          <w:highlight w:val="none"/>
        </w:rPr>
        <w:t>7.6对上级单位检查存在问题整改必须在3天内整改完毕，并报告采购人检查通过。</w:t>
      </w:r>
    </w:p>
    <w:p>
      <w:pPr>
        <w:ind w:firstLine="420"/>
        <w:rPr>
          <w:rFonts w:ascii="宋体" w:hAnsi="宋体" w:cs="宋体"/>
          <w:bCs/>
          <w:color w:val="auto"/>
          <w:szCs w:val="21"/>
          <w:highlight w:val="none"/>
        </w:rPr>
      </w:pPr>
      <w:r>
        <w:rPr>
          <w:rFonts w:hint="eastAsia" w:ascii="宋体" w:hAnsi="宋体" w:cs="宋体"/>
          <w:bCs/>
          <w:color w:val="auto"/>
          <w:szCs w:val="21"/>
          <w:highlight w:val="none"/>
        </w:rPr>
        <w:t>7.7电梯轿厢内安全检验标志、应急救援电话、保险投保标志等标识由投标人负责张贴，要求整洁、规范，并定期清洁电梯内饰、外面门面等不规范或脱落标识并及进更换补充。</w:t>
      </w:r>
    </w:p>
    <w:p>
      <w:pPr>
        <w:ind w:firstLine="420"/>
        <w:rPr>
          <w:rFonts w:ascii="宋体" w:hAnsi="宋体" w:cs="宋体"/>
          <w:bCs/>
          <w:color w:val="auto"/>
          <w:szCs w:val="21"/>
          <w:highlight w:val="none"/>
        </w:rPr>
      </w:pPr>
      <w:r>
        <w:rPr>
          <w:rFonts w:hint="eastAsia" w:ascii="宋体" w:hAnsi="宋体" w:cs="宋体"/>
          <w:bCs/>
          <w:color w:val="auto"/>
          <w:szCs w:val="21"/>
          <w:highlight w:val="none"/>
        </w:rPr>
        <w:t>7.8合同期内，每台电梯年审前投标人必须提供完整的自检报告书交采购人存档。</w:t>
      </w:r>
    </w:p>
    <w:p>
      <w:pPr>
        <w:ind w:firstLine="420"/>
        <w:rPr>
          <w:rFonts w:ascii="宋体" w:hAnsi="宋体" w:cs="宋体"/>
          <w:bCs/>
          <w:color w:val="auto"/>
          <w:szCs w:val="21"/>
          <w:highlight w:val="none"/>
        </w:rPr>
      </w:pPr>
      <w:r>
        <w:rPr>
          <w:rFonts w:hint="eastAsia" w:ascii="宋体" w:hAnsi="宋体" w:cs="宋体"/>
          <w:bCs/>
          <w:color w:val="auto"/>
          <w:szCs w:val="21"/>
          <w:highlight w:val="none"/>
        </w:rPr>
        <w:t>7.9由于投标人维修保养电梯不到位导致发生人身和机械事故，其事故责任和损失由投标人承担，并赔偿采购人因此造成的一切损失。</w:t>
      </w:r>
    </w:p>
    <w:p>
      <w:pPr>
        <w:ind w:firstLine="420"/>
        <w:rPr>
          <w:rFonts w:ascii="宋体" w:hAnsi="宋体" w:cs="宋体"/>
          <w:bCs/>
          <w:color w:val="auto"/>
          <w:szCs w:val="21"/>
          <w:highlight w:val="none"/>
        </w:rPr>
      </w:pPr>
      <w:r>
        <w:rPr>
          <w:rFonts w:hint="eastAsia" w:ascii="宋体" w:hAnsi="宋体" w:cs="宋体"/>
          <w:bCs/>
          <w:color w:val="auto"/>
          <w:szCs w:val="21"/>
          <w:highlight w:val="none"/>
        </w:rPr>
        <w:t>7.10每月双方根据发生的电梯故障分析表，采取百分制对投标人电梯维保质量作出总体考核评估，考核标准见附件。</w:t>
      </w:r>
    </w:p>
    <w:p>
      <w:pPr>
        <w:ind w:firstLine="420"/>
        <w:rPr>
          <w:rFonts w:ascii="宋体" w:hAnsi="宋体" w:cs="宋体"/>
          <w:bCs/>
          <w:color w:val="auto"/>
          <w:szCs w:val="21"/>
          <w:highlight w:val="none"/>
        </w:rPr>
      </w:pPr>
      <w:r>
        <w:rPr>
          <w:rFonts w:hint="eastAsia" w:ascii="宋体" w:hAnsi="宋体" w:cs="宋体"/>
          <w:bCs/>
          <w:color w:val="auto"/>
          <w:szCs w:val="21"/>
          <w:highlight w:val="none"/>
        </w:rPr>
        <w:t>7.11投标人需每月如实统计并提供每台电梯运行情况数据（如发生故障或困人事件次数等），书面交给采购人。</w:t>
      </w: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rPr>
          <w:rFonts w:ascii="宋体" w:hAnsi="宋体" w:cs="宋体"/>
          <w:b/>
          <w:bCs/>
          <w:color w:val="auto"/>
          <w:szCs w:val="21"/>
          <w:highlight w:val="none"/>
        </w:rPr>
      </w:pPr>
      <w:r>
        <w:rPr>
          <w:rFonts w:hint="eastAsia" w:ascii="宋体" w:hAnsi="宋体" w:cs="宋体"/>
          <w:b/>
          <w:bCs/>
          <w:color w:val="auto"/>
          <w:szCs w:val="21"/>
          <w:highlight w:val="none"/>
        </w:rPr>
        <w:t>附件1</w:t>
      </w:r>
    </w:p>
    <w:tbl>
      <w:tblPr>
        <w:tblStyle w:val="28"/>
        <w:tblpPr w:leftFromText="180" w:rightFromText="180" w:vertAnchor="text" w:horzAnchor="page" w:tblpX="1500"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05"/>
        <w:gridCol w:w="1800"/>
        <w:gridCol w:w="1218"/>
        <w:gridCol w:w="724"/>
        <w:gridCol w:w="1182"/>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3"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5"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00"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218"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设备型号</w:t>
            </w:r>
          </w:p>
        </w:tc>
        <w:tc>
          <w:tcPr>
            <w:tcW w:w="724"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1182"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制造厂</w:t>
            </w:r>
          </w:p>
        </w:tc>
        <w:tc>
          <w:tcPr>
            <w:tcW w:w="2329"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使用证编号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莞寓·都会广场店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JOYMORE-6</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6/6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快意电梯股份有限公司</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311010104201902943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莞寓·创业新村1号店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10/10</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311010076201955102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莞寓·创业新村2号店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311010076201955103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莞寓·智荟谷1号店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5/5</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311010076201942383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莞寓·汇众店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8/8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快意电梯股份有限公司</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311010104201800666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6</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7</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莞寓·市人才安居社区-A区2栋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31104419002015090101</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8</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莞寓·市人才安居社区-A区3栋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31104419002015090104</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9</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莞寓·市人才安居社区-A区4栋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31104419002015090096</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10</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莞寓·市人才安居社区-A区5栋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31104419002015090093</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莞寓·市人才安居社区-A区6栋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31104419002015090094</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莞寓·市人才安居社区-A区7栋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31104419002015090106</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莞寓·市人才安居社区-A区8栋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31704419002007060164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莞寓·市人才安居社区-A区9栋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莞寓·市人才安居社区-A区10栋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16</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莞寓·市人才安居社区-A区11栋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9/9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17</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莞寓·市人才安居社区-A区12栋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31104419002007050238</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31104419002007050237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18</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莞寓·市人才安居社区-A区13栋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31104419002007050239</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31404419002007050236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19</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莞寓·市人才安居社区-A区14栋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20</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莞寓·市人才安居社区-A区15栋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31104419002015090092</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莞寓·市人才安居社区-B区16栋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31104419002007060322</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莞寓·市人才安居社区-B区17栋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311044190002007060320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莞寓·市人才安居社区-B区18栋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莞寓·市人才安居社区-B区19栋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莞寓·市人才安居社区-B区20栋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61" w:type="dxa"/>
            <w:gridSpan w:val="7"/>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1.莞寓·都会广场店原维保合同有效期至2024年8月14日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2.莞寓·智荟谷1号店原维保合同有效期至2024年3月7日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3.莞寓·创业新村1号店原维保合同有效期至2024年8月14日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4.莞寓·创业新村2号店原维保合同有效期至2024年6月25日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5.莞寓·市人才安居社区原维保合同有效期至2023年12月31日</w:t>
            </w:r>
          </w:p>
          <w:p>
            <w:pPr>
              <w:spacing w:line="25" w:lineRule="atLeast"/>
              <w:rPr>
                <w:rFonts w:ascii="宋体" w:hAnsi="宋体" w:cs="宋体"/>
                <w:color w:val="auto"/>
                <w:szCs w:val="21"/>
                <w:highlight w:val="none"/>
              </w:rPr>
            </w:pPr>
            <w:r>
              <w:rPr>
                <w:rFonts w:hint="eastAsia" w:ascii="宋体" w:hAnsi="宋体" w:cs="宋体"/>
                <w:bCs/>
                <w:color w:val="auto"/>
                <w:szCs w:val="21"/>
                <w:highlight w:val="none"/>
              </w:rPr>
              <w:t>6.莞寓·汇众店</w:t>
            </w:r>
            <w:r>
              <w:rPr>
                <w:rFonts w:hint="eastAsia" w:ascii="宋体" w:hAnsi="宋体" w:cs="宋体"/>
                <w:color w:val="auto"/>
                <w:szCs w:val="21"/>
                <w:highlight w:val="none"/>
              </w:rPr>
              <w:t>原维保合同有效期至2024年5月30日</w:t>
            </w:r>
          </w:p>
        </w:tc>
      </w:tr>
    </w:tbl>
    <w:p>
      <w:pPr>
        <w:ind w:firstLine="420"/>
        <w:rPr>
          <w:rFonts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color w:val="auto"/>
          <w:szCs w:val="21"/>
          <w:highlight w:val="none"/>
        </w:rPr>
        <w:t>电梯共</w:t>
      </w:r>
      <w:r>
        <w:rPr>
          <w:rFonts w:ascii="宋体" w:hAnsi="宋体" w:cs="宋体"/>
          <w:color w:val="auto"/>
          <w:szCs w:val="21"/>
          <w:highlight w:val="none"/>
        </w:rPr>
        <w:t>37</w:t>
      </w:r>
      <w:r>
        <w:rPr>
          <w:rFonts w:hint="eastAsia" w:ascii="宋体" w:hAnsi="宋体" w:cs="宋体"/>
          <w:color w:val="auto"/>
          <w:szCs w:val="21"/>
          <w:highlight w:val="none"/>
        </w:rPr>
        <w:t>樘，其中莞寓市人才安居社区</w:t>
      </w:r>
      <w:r>
        <w:rPr>
          <w:rFonts w:ascii="宋体" w:hAnsi="宋体" w:cs="宋体"/>
          <w:color w:val="auto"/>
          <w:szCs w:val="21"/>
          <w:highlight w:val="none"/>
        </w:rPr>
        <w:t>32</w:t>
      </w:r>
      <w:r>
        <w:rPr>
          <w:rFonts w:hint="eastAsia" w:ascii="宋体" w:hAnsi="宋体" w:cs="宋体"/>
          <w:color w:val="auto"/>
          <w:szCs w:val="21"/>
          <w:highlight w:val="none"/>
        </w:rPr>
        <w:t>樘、智荟谷1樘、汇众店1樘、创业新村1号店1樘、创业新村2号店1樘、都会广场店1樘。</w:t>
      </w:r>
    </w:p>
    <w:p>
      <w:pPr>
        <w:pStyle w:val="2"/>
        <w:spacing w:line="240" w:lineRule="auto"/>
        <w:ind w:firstLine="210"/>
        <w:rPr>
          <w:color w:val="auto"/>
          <w:sz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rPr>
          <w:rFonts w:ascii="宋体" w:hAnsi="宋体" w:cs="宋体"/>
          <w:b/>
          <w:bCs/>
          <w:color w:val="auto"/>
          <w:szCs w:val="21"/>
          <w:highlight w:val="none"/>
        </w:rPr>
      </w:pPr>
      <w:r>
        <w:rPr>
          <w:rFonts w:hint="eastAsia" w:ascii="宋体" w:hAnsi="宋体" w:cs="宋体"/>
          <w:b/>
          <w:bCs/>
          <w:color w:val="auto"/>
          <w:szCs w:val="21"/>
          <w:highlight w:val="none"/>
        </w:rPr>
        <w:t>附件2</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34"/>
        <w:gridCol w:w="3528"/>
        <w:gridCol w:w="4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27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b/>
                <w:bCs/>
                <w:color w:val="auto"/>
                <w:szCs w:val="21"/>
                <w:highlight w:val="none"/>
              </w:rPr>
            </w:pPr>
            <w:r>
              <w:rPr>
                <w:rFonts w:hint="eastAsia" w:ascii="宋体" w:hAnsi="宋体" w:cs="宋体"/>
                <w:b/>
                <w:bCs/>
                <w:color w:val="auto"/>
                <w:szCs w:val="21"/>
                <w:highlight w:val="none"/>
              </w:rPr>
              <w:t>半月保养项目内容及要求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528"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813"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rPr>
          <w:rFonts w:ascii="宋体" w:hAnsi="宋体" w:cs="宋体"/>
          <w:b/>
          <w:bCs/>
          <w:color w:val="auto"/>
          <w:szCs w:val="21"/>
          <w:highlight w:val="none"/>
        </w:rPr>
      </w:pPr>
    </w:p>
    <w:p>
      <w:pPr>
        <w:rPr>
          <w:rFonts w:ascii="宋体" w:hAnsi="宋体" w:cs="宋体"/>
          <w:b/>
          <w:bCs/>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rPr>
          <w:rFonts w:ascii="宋体" w:hAnsi="宋体" w:cs="宋体"/>
          <w:b/>
          <w:bCs/>
          <w:color w:val="auto"/>
          <w:szCs w:val="21"/>
          <w:highlight w:val="none"/>
        </w:rPr>
      </w:pPr>
      <w:r>
        <w:rPr>
          <w:rFonts w:hint="eastAsia" w:ascii="宋体" w:hAnsi="宋体" w:cs="宋体"/>
          <w:b/>
          <w:bCs/>
          <w:color w:val="auto"/>
          <w:szCs w:val="21"/>
          <w:highlight w:val="none"/>
        </w:rPr>
        <w:t xml:space="preserve">附件3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8"/>
        <w:gridCol w:w="3395"/>
        <w:gridCol w:w="4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292"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季度保养项目内容及要求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292"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95"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939"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spacing w:line="25" w:lineRule="atLeast"/>
        <w:rPr>
          <w:rFonts w:ascii="宋体" w:hAnsi="宋体" w:cs="宋体"/>
          <w:b/>
          <w:bCs/>
          <w:color w:val="auto"/>
          <w:szCs w:val="21"/>
          <w:highlight w:val="none"/>
        </w:rPr>
      </w:pPr>
    </w:p>
    <w:p>
      <w:pPr>
        <w:spacing w:line="25" w:lineRule="atLeast"/>
        <w:rPr>
          <w:rFonts w:ascii="宋体" w:hAnsi="宋体" w:cs="宋体"/>
          <w:b/>
          <w:bCs/>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spacing w:line="25" w:lineRule="atLeast"/>
        <w:rPr>
          <w:rFonts w:ascii="宋体" w:hAnsi="宋体" w:cs="宋体"/>
          <w:b/>
          <w:bCs/>
          <w:color w:val="auto"/>
          <w:szCs w:val="21"/>
          <w:highlight w:val="none"/>
        </w:rPr>
      </w:pPr>
      <w:r>
        <w:rPr>
          <w:rFonts w:hint="eastAsia" w:ascii="宋体" w:hAnsi="宋体" w:cs="宋体"/>
          <w:b/>
          <w:bCs/>
          <w:color w:val="auto"/>
          <w:szCs w:val="21"/>
          <w:highlight w:val="none"/>
        </w:rPr>
        <w:t xml:space="preserve">附件4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3"/>
        <w:gridCol w:w="3384"/>
        <w:gridCol w:w="4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32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半年度保养项目内容及要求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电动机与减速机联轴器螺栓</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曳引轮、导向轮轴承部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制动器上检测开关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控制柜内各接线端子</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控制柜各仪表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显示正确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井道、对重、轿顶各反绳轮轴承部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曳引绳、补偿绳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曳引绳绳头组合</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螺母无松动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层门、轿门门扇</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对重缓冲距</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补偿链(绳)与轿厢、对重接合处</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上下极限开关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56</w:t>
            </w:r>
          </w:p>
        </w:tc>
        <w:tc>
          <w:tcPr>
            <w:tcW w:w="3384"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958"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rPr>
          <w:rFonts w:ascii="宋体" w:hAnsi="宋体" w:cs="宋体"/>
          <w:color w:val="auto"/>
          <w:szCs w:val="21"/>
          <w:highlight w:val="none"/>
        </w:rPr>
      </w:pPr>
    </w:p>
    <w:p>
      <w:pPr>
        <w:pStyle w:val="2"/>
        <w:spacing w:line="240" w:lineRule="auto"/>
        <w:ind w:firstLine="210"/>
        <w:rPr>
          <w:color w:val="auto"/>
          <w:sz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rPr>
          <w:rFonts w:ascii="宋体" w:hAnsi="宋体" w:cs="宋体"/>
          <w:b/>
          <w:bCs/>
          <w:color w:val="auto"/>
          <w:szCs w:val="21"/>
          <w:highlight w:val="none"/>
        </w:rPr>
      </w:pPr>
      <w:r>
        <w:rPr>
          <w:rFonts w:hint="eastAsia" w:ascii="宋体" w:hAnsi="宋体" w:cs="宋体"/>
          <w:b/>
          <w:bCs/>
          <w:color w:val="auto"/>
          <w:szCs w:val="21"/>
          <w:highlight w:val="none"/>
        </w:rPr>
        <w:t>附件5</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5"/>
        <w:gridCol w:w="3388"/>
        <w:gridCol w:w="5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46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年度保养项目内容及要求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电动机与减速机联轴器螺栓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曳引轮、导向轮轴承部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制动器上检测开关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控制柜内各接线端子</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控制柜各仪表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显示正确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井道、对重、轿顶各反绳轮轴承部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曳引绳、补偿绳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曳引绳绳头组合</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螺母无松动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层门、轿门门扇</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对重缓冲距</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补偿链(绳)与轿厢、对重接合处</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上下极限开关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控制柜接触器，继电器触点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接触良好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制动器铁芯(柱塞)</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制动器制动弹簧压缩量</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导电回路绝缘性能测试</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限速器安全钳联动试验(每 2年进行一次限速器动作速度校验)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上行超速保护装置动作试验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轿顶、轿厢架、轿门及其附件安装螺栓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轿厢和对重的导轨支架</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轿厢和对重的导轨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清洁，压板牢固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随行电缆</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无损伤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层门装置和地坎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轿厢称重装置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准确有效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安全钳钳座</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轿底各安装螺栓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71</w:t>
            </w:r>
          </w:p>
        </w:tc>
        <w:tc>
          <w:tcPr>
            <w:tcW w:w="3388"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缓冲器</w:t>
            </w:r>
          </w:p>
        </w:tc>
        <w:tc>
          <w:tcPr>
            <w:tcW w:w="5312"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bl>
    <w:p>
      <w:pPr>
        <w:pStyle w:val="39"/>
        <w:spacing w:line="25" w:lineRule="atLeast"/>
        <w:ind w:firstLine="0" w:firstLineChars="0"/>
        <w:rPr>
          <w:rFonts w:ascii="宋体" w:hAnsi="宋体" w:cs="宋体"/>
          <w:b/>
          <w:bCs/>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39"/>
        <w:spacing w:line="25" w:lineRule="atLeast"/>
        <w:ind w:firstLine="0" w:firstLineChars="0"/>
        <w:rPr>
          <w:rFonts w:ascii="宋体" w:hAnsi="宋体" w:cs="宋体"/>
          <w:color w:val="auto"/>
          <w:szCs w:val="21"/>
          <w:highlight w:val="none"/>
        </w:rPr>
      </w:pPr>
      <w:r>
        <w:rPr>
          <w:rFonts w:hint="eastAsia" w:ascii="宋体" w:hAnsi="宋体" w:cs="宋体"/>
          <w:b/>
          <w:bCs/>
          <w:color w:val="auto"/>
          <w:szCs w:val="21"/>
          <w:highlight w:val="none"/>
        </w:rPr>
        <w:t>附件6 电梯维保质量考核标准</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3"/>
        <w:gridCol w:w="2340"/>
        <w:gridCol w:w="4376"/>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tcBorders>
              <w:top w:val="single" w:color="auto" w:sz="12"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项目</w:t>
            </w:r>
          </w:p>
        </w:tc>
        <w:tc>
          <w:tcPr>
            <w:tcW w:w="2743" w:type="dxa"/>
            <w:gridSpan w:val="2"/>
            <w:tcBorders>
              <w:top w:val="single" w:color="auto" w:sz="12" w:space="0"/>
              <w:left w:val="single" w:color="auto" w:sz="4" w:space="0"/>
              <w:bottom w:val="single" w:color="auto" w:sz="4" w:space="0"/>
              <w:right w:val="single" w:color="auto" w:sz="4" w:space="0"/>
            </w:tcBorders>
            <w:vAlign w:val="center"/>
          </w:tcPr>
          <w:p>
            <w:pPr>
              <w:spacing w:line="25" w:lineRule="atLeast"/>
              <w:ind w:left="-355" w:leftChars="-169" w:firstLine="1673" w:firstLineChars="797"/>
              <w:rPr>
                <w:rFonts w:ascii="宋体" w:hAnsi="宋体" w:cs="宋体"/>
                <w:color w:val="auto"/>
                <w:szCs w:val="21"/>
                <w:highlight w:val="none"/>
                <w:lang w:val="zh-CN"/>
              </w:rPr>
            </w:pPr>
            <w:r>
              <w:rPr>
                <w:rFonts w:hint="eastAsia" w:ascii="宋体" w:hAnsi="宋体" w:cs="宋体"/>
                <w:color w:val="auto"/>
                <w:szCs w:val="21"/>
                <w:highlight w:val="none"/>
                <w:lang w:val="zh-CN"/>
              </w:rPr>
              <w:t>内容</w:t>
            </w:r>
          </w:p>
        </w:tc>
        <w:tc>
          <w:tcPr>
            <w:tcW w:w="4376" w:type="dxa"/>
            <w:tcBorders>
              <w:top w:val="single" w:color="auto" w:sz="12" w:space="0"/>
              <w:left w:val="single" w:color="auto" w:sz="4" w:space="0"/>
              <w:bottom w:val="single" w:color="auto" w:sz="4" w:space="0"/>
              <w:right w:val="single" w:color="auto" w:sz="4" w:space="0"/>
            </w:tcBorders>
            <w:vAlign w:val="center"/>
          </w:tcPr>
          <w:p>
            <w:pPr>
              <w:spacing w:line="25" w:lineRule="atLeast"/>
              <w:ind w:firstLine="1365" w:firstLineChars="650"/>
              <w:rPr>
                <w:rFonts w:ascii="宋体" w:hAnsi="宋体" w:cs="宋体"/>
                <w:color w:val="auto"/>
                <w:szCs w:val="21"/>
                <w:highlight w:val="none"/>
                <w:lang w:val="zh-CN"/>
              </w:rPr>
            </w:pPr>
            <w:r>
              <w:rPr>
                <w:rFonts w:hint="eastAsia" w:ascii="宋体" w:hAnsi="宋体" w:cs="宋体"/>
                <w:color w:val="auto"/>
                <w:szCs w:val="21"/>
                <w:highlight w:val="none"/>
                <w:lang w:val="zh-CN"/>
              </w:rPr>
              <w:t>内容</w:t>
            </w:r>
          </w:p>
        </w:tc>
        <w:tc>
          <w:tcPr>
            <w:tcW w:w="1805" w:type="dxa"/>
            <w:tcBorders>
              <w:top w:val="single" w:color="auto" w:sz="12"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扣分方式</w:t>
            </w:r>
          </w:p>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按每月统计计算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A类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投标人工作完毕后电梯未能恢复运行</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投标人工作完毕后并签订（电梯维保报告书）电梯未能恢复运行</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发生电梯故障困人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发生电梯故障困人（电梯停电，客户原因除外）</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B类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维保过程中，因漏做保养项目而造成电梯故障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维保过程中，因漏做保养项目（按合同维保项目表内容保养）而造成电梯故障</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每次扣2分（困人扣2分）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维保过程中，工作不认真，造成电梯故障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维保过程中，工作不认真，造成电梯故障</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对机械元件变化，老化情况，没有及时作出检查，而造成电梯故障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对机械元件在变化情况下，没有及时作出检查，而造成故障发生（非人为损坏，非目测可判断老化除外）</w:t>
            </w:r>
          </w:p>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对电器元件在损坏情况下，没有及时作出检查，而造成故障发生（非人为损坏，自然老化除外）</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C类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在维保工作前后，未能向采购人相关管理部门通报</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在维保工作前，后。未能向采购人相关管理部门通报（请明确各项目需向其申请负责人）</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接获困人故障通知后，未能合同约定到达现场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接获困人故障通知后，未能在20分钟内到达现场处理</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每次扣5分，并按合同扣除该电梯当月维保费10﹪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接获一般故障通知后，未能在</w:t>
            </w:r>
            <w:r>
              <w:rPr>
                <w:rFonts w:hint="eastAsia" w:ascii="宋体" w:hAnsi="宋体" w:cs="宋体"/>
                <w:color w:val="auto"/>
                <w:szCs w:val="21"/>
                <w:highlight w:val="none"/>
              </w:rPr>
              <w:t>3</w:t>
            </w:r>
            <w:r>
              <w:rPr>
                <w:rFonts w:hint="eastAsia" w:ascii="宋体" w:hAnsi="宋体" w:cs="宋体"/>
                <w:color w:val="auto"/>
                <w:szCs w:val="21"/>
                <w:highlight w:val="none"/>
                <w:lang w:val="zh-CN"/>
              </w:rPr>
              <w:t>0分钟内到达现场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接获一般故障（困人故障除外）通知后，未能在</w:t>
            </w:r>
            <w:r>
              <w:rPr>
                <w:rFonts w:hint="eastAsia" w:ascii="宋体" w:hAnsi="宋体" w:cs="宋体"/>
                <w:color w:val="auto"/>
                <w:szCs w:val="21"/>
                <w:highlight w:val="none"/>
              </w:rPr>
              <w:t>3</w:t>
            </w:r>
            <w:r>
              <w:rPr>
                <w:rFonts w:hint="eastAsia" w:ascii="宋体" w:hAnsi="宋体" w:cs="宋体"/>
                <w:color w:val="auto"/>
                <w:szCs w:val="21"/>
                <w:highlight w:val="none"/>
                <w:lang w:val="zh-CN"/>
              </w:rPr>
              <w:t>0分钟内到达故障现场处理</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每次扣2分，并按合同扣除该电梯当月维保费10﹪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D类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如在工作过程中，不慎损坏/破坏公寓设施</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如在工作过程中，不慎损坏/破坏公寓之设施</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按价赔偿，并每次扣2分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发生电梯照明，楼层指示灯，按钮出现故障时，未能在接到通知后12小时内解决</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发生电梯照明，楼层指示灯，按钮出现故障时，未能在接到通知后12小时内解决</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如接获客方要求提供协助工作，但未能准时安排人员到场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如接获采购人要求提供协助工作（在合同条款内容需协助工作范围内），但未能于1小时内安排人员到场</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E类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着装不整齐，待人不礼貌引起客户投诉</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着装不整齐，待人不礼貌引起客户投诉</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维保时无设置围栏围闭及工作完毕无及时清理遗留垃圾</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维保时无设置围栏围闭及工作完毕无及时清理遗留垃圾</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F类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已确定设备发生故障，但3天内无法确定引起故障的原因</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已确定设备发生故障，但3天内无法确定引起故障的原因</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已找到故障位置，但3天内无法确定引起故障的原因</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已找到故障位置，但3天内无法确定引起故障的原因</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无法从技术上判别客方所投诉的故障现象是误解还是虚报</w:t>
            </w:r>
          </w:p>
        </w:tc>
        <w:tc>
          <w:tcPr>
            <w:tcW w:w="4376"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无法从技术上判别客方所投诉的故障现象是误解还是虚报</w:t>
            </w:r>
          </w:p>
        </w:tc>
        <w:tc>
          <w:tcPr>
            <w:tcW w:w="1805"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bl>
    <w:p>
      <w:pPr>
        <w:pStyle w:val="39"/>
        <w:numPr>
          <w:ilvl w:val="0"/>
          <w:numId w:val="1"/>
        </w:numPr>
        <w:spacing w:line="25" w:lineRule="atLeast"/>
        <w:ind w:firstLineChars="0"/>
        <w:rPr>
          <w:rFonts w:ascii="宋体" w:hAnsi="宋体" w:cs="宋体"/>
          <w:color w:val="auto"/>
          <w:szCs w:val="21"/>
          <w:highlight w:val="none"/>
        </w:rPr>
      </w:pPr>
      <w:r>
        <w:rPr>
          <w:rFonts w:hint="eastAsia" w:ascii="宋体" w:hAnsi="宋体" w:cs="宋体"/>
          <w:color w:val="auto"/>
          <w:szCs w:val="21"/>
          <w:highlight w:val="none"/>
        </w:rPr>
        <w:t>满分100分，每月进行考核分值达80分以上（含80分），表示服务质量达标，可全额支付费用。</w:t>
      </w:r>
    </w:p>
    <w:p>
      <w:pPr>
        <w:pStyle w:val="39"/>
        <w:numPr>
          <w:ilvl w:val="0"/>
          <w:numId w:val="1"/>
        </w:numPr>
        <w:spacing w:line="25" w:lineRule="atLeast"/>
        <w:ind w:firstLineChars="0"/>
        <w:rPr>
          <w:rFonts w:ascii="宋体" w:hAnsi="宋体" w:cs="宋体"/>
          <w:color w:val="auto"/>
          <w:szCs w:val="21"/>
          <w:highlight w:val="none"/>
        </w:rPr>
      </w:pPr>
      <w:r>
        <w:rPr>
          <w:rFonts w:hint="eastAsia" w:ascii="宋体" w:hAnsi="宋体" w:cs="宋体"/>
          <w:color w:val="auto"/>
          <w:szCs w:val="21"/>
          <w:highlight w:val="none"/>
        </w:rPr>
        <w:t>按满分100分，每月进行考核分值低于80分，表示服务质量达不到要求，每分按2000元扣减费用。（如发生电梯工作维保要求第1点所述情况，则累计扣除相应费用）</w:t>
      </w:r>
    </w:p>
    <w:p>
      <w:pPr>
        <w:pStyle w:val="39"/>
        <w:spacing w:line="25" w:lineRule="atLeast"/>
        <w:ind w:firstLine="0" w:firstLineChars="0"/>
        <w:rPr>
          <w:rFonts w:ascii="宋体" w:hAnsi="宋体" w:cs="宋体"/>
          <w:color w:val="auto"/>
          <w:szCs w:val="21"/>
          <w:highlight w:val="none"/>
        </w:rPr>
      </w:pPr>
    </w:p>
    <w:p>
      <w:pPr>
        <w:pStyle w:val="39"/>
        <w:spacing w:line="25" w:lineRule="atLeast"/>
        <w:ind w:firstLine="0" w:firstLineChars="0"/>
        <w:rPr>
          <w:rFonts w:ascii="宋体" w:hAnsi="宋体" w:cs="宋体"/>
          <w:color w:val="auto"/>
          <w:szCs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39"/>
        <w:spacing w:line="25" w:lineRule="atLeast"/>
        <w:ind w:firstLine="0" w:firstLineChars="0"/>
        <w:rPr>
          <w:rFonts w:hint="eastAsia" w:ascii="宋体" w:hAnsi="宋体" w:cs="宋体"/>
          <w:b/>
          <w:bCs/>
          <w:color w:val="auto"/>
          <w:szCs w:val="21"/>
          <w:highlight w:val="none"/>
        </w:rPr>
        <w:sectPr>
          <w:headerReference r:id="rId13" w:type="first"/>
          <w:footerReference r:id="rId15" w:type="first"/>
          <w:headerReference r:id="rId11" w:type="default"/>
          <w:footerReference r:id="rId14" w:type="default"/>
          <w:headerReference r:id="rId12" w:type="even"/>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pPr>
        <w:pStyle w:val="39"/>
        <w:spacing w:line="25" w:lineRule="atLeast"/>
        <w:ind w:firstLine="0" w:firstLineChars="0"/>
        <w:rPr>
          <w:rFonts w:ascii="宋体" w:hAnsi="宋体" w:cs="宋体"/>
          <w:bCs/>
          <w:color w:val="auto"/>
          <w:szCs w:val="21"/>
          <w:highlight w:val="none"/>
        </w:rPr>
      </w:pPr>
      <w:r>
        <w:rPr>
          <w:rFonts w:hint="eastAsia" w:ascii="宋体" w:hAnsi="宋体" w:cs="宋体"/>
          <w:b/>
          <w:bCs/>
          <w:color w:val="auto"/>
          <w:szCs w:val="21"/>
          <w:highlight w:val="none"/>
        </w:rPr>
        <w:t>附件7 奥的斯电梯配件定价表</w:t>
      </w:r>
    </w:p>
    <w:tbl>
      <w:tblPr>
        <w:tblStyle w:val="28"/>
        <w:tblW w:w="139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9"/>
        <w:gridCol w:w="3050"/>
        <w:gridCol w:w="1038"/>
        <w:gridCol w:w="2487"/>
        <w:gridCol w:w="1088"/>
        <w:gridCol w:w="1062"/>
        <w:gridCol w:w="2050"/>
        <w:gridCol w:w="1013"/>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04" w:type="dxa"/>
            <w:gridSpan w:val="9"/>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sz w:val="20"/>
                <w:szCs w:val="20"/>
                <w:highlight w:val="none"/>
                <w:u w:val="none"/>
              </w:rPr>
              <w:t>奥的斯电梯配件定价表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04" w:type="dxa"/>
            <w:gridSpan w:val="9"/>
            <w:tcBorders>
              <w:top w:val="nil"/>
              <w:left w:val="single" w:color="000000" w:sz="4" w:space="0"/>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注：关于规格型号投标人可提供平替品参加投标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6"/>
                <w:color w:val="auto"/>
                <w:highlight w:val="none"/>
                <w:lang w:val="en-US" w:eastAsia="zh-CN" w:bidi="ar"/>
              </w:rPr>
              <w:t>序</w:t>
            </w:r>
            <w:r>
              <w:rPr>
                <w:rStyle w:val="87"/>
                <w:color w:val="auto"/>
                <w:highlight w:val="none"/>
                <w:lang w:val="en-US" w:eastAsia="zh-CN" w:bidi="ar"/>
              </w:rPr>
              <w:t xml:space="preserve"> </w:t>
            </w:r>
            <w:r>
              <w:rPr>
                <w:rStyle w:val="86"/>
                <w:color w:val="auto"/>
                <w:highlight w:val="none"/>
                <w:lang w:val="en-US" w:eastAsia="zh-CN" w:bidi="ar"/>
              </w:rPr>
              <w:t>号</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6"/>
                <w:color w:val="auto"/>
                <w:highlight w:val="none"/>
                <w:lang w:val="en-US" w:eastAsia="zh-CN" w:bidi="ar"/>
              </w:rPr>
              <w:t>配件名称</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6"/>
                <w:color w:val="auto"/>
                <w:highlight w:val="none"/>
                <w:lang w:val="en-US" w:eastAsia="zh-CN" w:bidi="ar"/>
              </w:rPr>
              <w:t>品牌</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计价单位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适用梯型</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单价最高限价（元）</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24V 单显外呼</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BST-DAA23501DL999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平层感应器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电梯主板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通讯板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指令板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钢丝绳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超速触发控制器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4680.00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门机编码器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D200SL 光幕电源盒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DAA24591C 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二合一光幕支架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DEK3UF0259B</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呼梯按钮和液晶显示装(并)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DAA23500K403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呼梯按钮组件</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DAA23500AH 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旁开门光幕</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DEA3015943C</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外呼点阵显示板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EMA610AW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外呼显示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EMA23800AF 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外呼显示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DAA25140NNP 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外呼显示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DAA25140NNP 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外呼显示(双显)</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DAA25140NNN 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抱闸电源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EMA225D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抱闸检测开关短杆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DAA177DH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抱闸线圈</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DAA330E 1-13VTR</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抱闸闸衬</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TAA416P 2-13VTR</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机房对讲</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DEA3010916A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机房紧急救援电源盒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DAA21750E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主机轴承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6224-2RS</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DBR 制动电阻</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DAA232J 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导向轮轴承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NSK-6314ZZ</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导向装置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DAA22640A 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R SEB 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DBA26800J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风机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DAA24720NNN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风机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PAA24720A 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警铃电源盒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DAA21750B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光幕</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SANS I-GM-94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光幕保护装置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DAA24591C 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轿厢到站钟 CCM</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OE CCT 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804.00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轿厢液晶显示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DEA3017323A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948.00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秤量装置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DAA24270F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2976.00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轿内显示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COP-DISPLAY</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强迫门刀</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S1110081A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数码显示指示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DAA25140NPD201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应急灯</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DAA417C1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补偿链导向装配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DAA22640A2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补偿链导向装置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DAA22640A3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补偿链</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地坎</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FBA280AW 105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底坑急停开关盒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DAA175AG 1-BST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钢带式称量传感器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DAA24270N 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2640.00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滚动导靴</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AAA24180AW11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1380.00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滚动导靴轮 D125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DEK3R58359A</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滚轮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456CL4-SV-L-1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紧涨轮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主变频器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11640.00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门机变频器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3216.00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30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电梯门机控制器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30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一体化控制器</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8880.00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滑轮群</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DAAB32N 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检修电源开关</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DAA177NPY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轿顶检修盒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DAA24831L 062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轿顶接线盒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DAA313AT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轿顶五方对讲电源板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DAA26801F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1920.00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门刀</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EXP477A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744.00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门刀装配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DAA24390H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门导靴滑轮</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EPC0BR</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门头</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FAA409DX 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厅门(带三角锁侧)</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DEA3016498D</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厅门钩子锁</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EXP431E1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底坑检修盒</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DAA7004D4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干簧管装配</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DAA29505E2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金属对重块</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DAA345J12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24V 对讲机电源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DY-DJ624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ICU 对讲机电源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ICU 对讲机电源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到站钟芯片</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DAA23801C 992-CHIP</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电路板</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DBA26800CA 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76</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对讲电源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77</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对讲机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78</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对讲机</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79</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对讲机电源</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Style w:val="87"/>
                <w:color w:val="auto"/>
                <w:highlight w:val="none"/>
                <w:lang w:val="en-US" w:eastAsia="zh-CN" w:bidi="ar"/>
              </w:rPr>
              <w:t>DAA25301J 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3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有机房电梯对讲系统</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奥的斯</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OE CCT 25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个</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7"/>
                <w:color w:val="auto"/>
                <w:highlight w:val="none"/>
                <w:lang w:val="en-US" w:eastAsia="zh-CN" w:bidi="ar"/>
              </w:rPr>
              <w:t>直梯</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2500.00</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pStyle w:val="2"/>
        <w:ind w:left="0" w:firstLine="0" w:firstLineChars="0"/>
        <w:rPr>
          <w:color w:val="auto"/>
          <w:sz w:val="21"/>
          <w:highlight w:val="none"/>
        </w:rPr>
      </w:pPr>
    </w:p>
    <w:p>
      <w:pPr>
        <w:rPr>
          <w:rFonts w:hint="eastAsia" w:ascii="宋体" w:hAnsi="宋体" w:cs="宋体"/>
          <w:b/>
          <w:bCs/>
          <w:color w:val="auto"/>
          <w:szCs w:val="21"/>
          <w:highlight w:val="none"/>
        </w:rPr>
        <w:sectPr>
          <w:pgSz w:w="16838" w:h="11906" w:orient="landscape"/>
          <w:pgMar w:top="1803" w:right="1440" w:bottom="1803" w:left="1440" w:header="708" w:footer="709" w:gutter="0"/>
          <w:pgBorders>
            <w:top w:val="none" w:sz="0" w:space="0"/>
            <w:left w:val="none" w:sz="0" w:space="0"/>
            <w:bottom w:val="none" w:sz="0" w:space="0"/>
            <w:right w:val="none" w:sz="0" w:space="0"/>
          </w:pgBorders>
          <w:cols w:space="0" w:num="1"/>
          <w:titlePg/>
          <w:rtlGutter w:val="0"/>
          <w:docGrid w:type="lines" w:linePitch="360" w:charSpace="0"/>
        </w:sectPr>
      </w:pPr>
    </w:p>
    <w:p>
      <w:pPr>
        <w:pStyle w:val="39"/>
        <w:spacing w:line="25" w:lineRule="atLeast"/>
        <w:ind w:firstLine="0" w:firstLineChars="0"/>
        <w:rPr>
          <w:rFonts w:ascii="宋体" w:hAnsi="宋体" w:cs="宋体"/>
          <w:bCs/>
          <w:color w:val="auto"/>
          <w:szCs w:val="21"/>
          <w:highlight w:val="none"/>
        </w:rPr>
      </w:pPr>
      <w:r>
        <w:rPr>
          <w:rFonts w:hint="eastAsia" w:ascii="宋体" w:hAnsi="宋体" w:cs="宋体"/>
          <w:b/>
          <w:bCs/>
          <w:color w:val="auto"/>
          <w:szCs w:val="21"/>
          <w:highlight w:val="none"/>
        </w:rPr>
        <w:t>附件8 通力电梯配件清单清单及报价</w:t>
      </w:r>
    </w:p>
    <w:tbl>
      <w:tblPr>
        <w:tblStyle w:val="28"/>
        <w:tblW w:w="139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100"/>
        <w:gridCol w:w="4999"/>
        <w:gridCol w:w="1350"/>
        <w:gridCol w:w="2188"/>
        <w:gridCol w:w="1000"/>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通力电梯配件清单清单及报价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9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b/>
                <w:bCs/>
                <w:i w:val="0"/>
                <w:iCs w:val="0"/>
                <w:color w:val="auto"/>
                <w:sz w:val="20"/>
                <w:szCs w:val="20"/>
                <w:highlight w:val="none"/>
                <w:u w:val="none"/>
              </w:rPr>
            </w:pPr>
            <w:r>
              <w:rPr>
                <w:rFonts w:ascii="宋体" w:hAnsi="宋体" w:eastAsia="宋体" w:cs="宋体"/>
                <w:b/>
                <w:bCs/>
                <w:i w:val="0"/>
                <w:iCs w:val="0"/>
                <w:color w:val="auto"/>
                <w:kern w:val="0"/>
                <w:sz w:val="20"/>
                <w:szCs w:val="20"/>
                <w:highlight w:val="none"/>
                <w:u w:val="none"/>
                <w:lang w:val="en-US" w:eastAsia="zh-CN" w:bidi="ar"/>
              </w:rPr>
              <w:t>注：关于规格型号投标人可提供平替品参加投标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配件名称</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规格型号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单价最高限价（元）</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地坎</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铝 1000 开门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门套</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轿门门框</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厅门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发纹不锈钢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扇</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发纹不锈钢</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扇</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天花板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光幕</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E35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轿厢内门扶手</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轿厢门头</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门刀</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R2 带锁 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外呼面板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COB 轿厢通讯板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713720G71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CEB 轿厢通讯板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713730G71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外呼显示板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51410416G11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LOP-CB 操作板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763600G02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轿顶板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51070314G11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ADO 安全回路板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5006052G01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安全回路板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763610G02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井道通讯板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50014542G11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电源板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713140G04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通力U形感应器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86420G03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通力平层感应器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61U、61N、30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通力门机马达</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903375G04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通力测速发电机</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等线" w:cs="Arial"/>
                <w:i w:val="0"/>
                <w:iCs w:val="0"/>
                <w:color w:val="auto"/>
                <w:sz w:val="20"/>
                <w:szCs w:val="20"/>
                <w:highlight w:val="none"/>
                <w:u w:val="none"/>
              </w:rPr>
            </w:pPr>
            <w:r>
              <w:rPr>
                <w:rFonts w:hint="default" w:ascii="Arial" w:hAnsi="Arial" w:eastAsia="等线" w:cs="Arial"/>
                <w:i w:val="0"/>
                <w:iCs w:val="0"/>
                <w:color w:val="auto"/>
                <w:kern w:val="0"/>
                <w:sz w:val="20"/>
                <w:szCs w:val="20"/>
                <w:highlight w:val="none"/>
                <w:u w:val="none"/>
                <w:lang w:val="en-US" w:eastAsia="zh-CN" w:bidi="ar"/>
              </w:rPr>
              <w:t>276027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 375 主板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713100G01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通力CPU 主板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773390G04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通力无机房 A1板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713900G01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通力无机房 A2板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713930G01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通力门机板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606050G01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通力基站锁</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通力轿厢操纵箱锁</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把</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厅门钢丝绳</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重锤钢丝绳</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800 开门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散热电阻风扇</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机房对讲机</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底坑对讲</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KON12A2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轿厢对讲</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KON12B</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轿顶对讲</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KON12A3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监控室主机</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KON120A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台</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电源转换器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KON12P</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语音报站装置</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VA-24-KEF</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轿顶风扇</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FB-9B</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相序</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XJ12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门机皮带</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5M-12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门机皮带</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5M-25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条</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涨紧轮</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260*30*6003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对重反绳轮</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轿顶反绳轮</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门锁</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MKG161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门球支架</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限速器钢丝绳</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主钢丝绳 (半钢芯)</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8mm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主钢丝绳 (半钢芯)</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10mm</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米</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对重导靴</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轿厢导靴</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液压缓冲器</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YH29/425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通力原装缓冲器开关(带线)</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CR600-NZ</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涨紧轮开关</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SND4111-SP</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急停开关盒</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轿顶 12V 电池</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12V 5A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电池</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12V 7A</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抱闸电源</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50014396G01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LED 井道灯</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9W</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门挂轮</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等线" w:hAnsi="等线" w:eastAsia="等线" w:cs="等线"/>
                <w:i w:val="0"/>
                <w:iCs w:val="0"/>
                <w:color w:val="auto"/>
                <w:sz w:val="20"/>
                <w:szCs w:val="20"/>
                <w:highlight w:val="none"/>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个</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加装电梯 IC 刷</w:t>
            </w:r>
          </w:p>
        </w:tc>
        <w:tc>
          <w:tcPr>
            <w:tcW w:w="4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auto"/>
                <w:sz w:val="20"/>
                <w:szCs w:val="20"/>
                <w:highlight w:val="none"/>
                <w:u w:val="none"/>
              </w:rPr>
            </w:pPr>
            <w:r>
              <w:rPr>
                <w:rStyle w:val="89"/>
                <w:color w:val="auto"/>
                <w:sz w:val="20"/>
                <w:szCs w:val="20"/>
                <w:highlight w:val="none"/>
                <w:lang w:val="en-US" w:eastAsia="zh-CN" w:bidi="ar"/>
              </w:rPr>
              <w:t>分层控制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Style w:val="88"/>
                <w:color w:val="auto"/>
                <w:sz w:val="20"/>
                <w:szCs w:val="20"/>
                <w:highlight w:val="none"/>
                <w:lang w:val="en-US" w:eastAsia="zh-CN" w:bidi="ar"/>
              </w:rPr>
              <w:t>套</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pStyle w:val="2"/>
        <w:ind w:left="0" w:firstLine="0" w:firstLineChars="0"/>
        <w:rPr>
          <w:color w:val="auto"/>
          <w:sz w:val="21"/>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pPr>
        <w:pStyle w:val="39"/>
        <w:spacing w:line="25" w:lineRule="atLeast"/>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附件9 快意电梯零件清单及报价</w:t>
      </w:r>
    </w:p>
    <w:tbl>
      <w:tblPr>
        <w:tblStyle w:val="28"/>
        <w:tblW w:w="1387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887"/>
        <w:gridCol w:w="1325"/>
        <w:gridCol w:w="1725"/>
        <w:gridCol w:w="3925"/>
        <w:gridCol w:w="1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879" w:type="dxa"/>
            <w:gridSpan w:val="6"/>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快意电梯配件清单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3879" w:type="dxa"/>
            <w:gridSpan w:val="6"/>
            <w:tcBorders>
              <w:top w:val="nil"/>
              <w:left w:val="single" w:color="000000" w:sz="4" w:space="0"/>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注：关于规格型号投标人可提供平替品参加投标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90"/>
                <w:color w:val="auto"/>
                <w:sz w:val="20"/>
                <w:szCs w:val="20"/>
                <w:highlight w:val="none"/>
                <w:lang w:val="en-US" w:eastAsia="zh-CN" w:bidi="ar"/>
              </w:rPr>
              <w:t>序号</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90"/>
                <w:color w:val="auto"/>
                <w:sz w:val="20"/>
                <w:szCs w:val="20"/>
                <w:highlight w:val="none"/>
                <w:lang w:val="en-US" w:eastAsia="zh-CN" w:bidi="ar"/>
              </w:rPr>
              <w:t>产品名称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Style w:val="90"/>
                <w:color w:val="auto"/>
                <w:sz w:val="20"/>
                <w:szCs w:val="20"/>
                <w:highlight w:val="none"/>
                <w:lang w:val="en-US" w:eastAsia="zh-CN"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 量</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单价最高限价（元）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控制柜主板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轿厢主板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变频器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分频板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轿厢通讯板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936.00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轿厢通讯 B 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936.00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门机板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门机控制器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2040.00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继电器板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轿厢液晶显示屏</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轿厢显示板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轿厢指令板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外呼板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平层感应器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传感器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光电位置感应器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504.00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主机编码器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曳引轮钢丝绳含人工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限速器钢丝绳含人工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主机曳引轮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对重反绳轮和轴承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光幕微科 917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层门锁</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840.00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门挂板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624.00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轿顶风扇</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补偿链导向装置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27</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补偿链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69.60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主机轴承含人工</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29</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应急电源 12V</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电梯无线对讲</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2160.00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电梯试重费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24V 控制应急电源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主机抱闸</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涨紧轮装置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门刀</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1560.00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井道通讯板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570.00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37</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对重轮轴承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安全回路主板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门挂轮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限速器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聚氨酯缓冲器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590.00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液压缓冲器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开关电源</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裁主钢丝绳</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收补偿链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轿厢导靴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47</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对重导靴</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控制柜插件板</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1440.00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49</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接触器</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3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轿顶反绳轮</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4000.00</w:t>
            </w:r>
          </w:p>
        </w:tc>
        <w:tc>
          <w:tcPr>
            <w:tcW w:w="193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38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风幕机</w:t>
            </w:r>
          </w:p>
        </w:tc>
        <w:tc>
          <w:tcPr>
            <w:tcW w:w="13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17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39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1800.00</w:t>
            </w:r>
          </w:p>
        </w:tc>
        <w:tc>
          <w:tcPr>
            <w:tcW w:w="1937"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bl>
    <w:p>
      <w:pPr>
        <w:pStyle w:val="2"/>
        <w:ind w:left="0" w:leftChars="0" w:firstLine="0" w:firstLineChars="0"/>
        <w:rPr>
          <w:color w:val="auto"/>
          <w:sz w:val="21"/>
          <w:highlight w:val="none"/>
        </w:rPr>
      </w:pPr>
    </w:p>
    <w:p>
      <w:pPr>
        <w:pStyle w:val="3"/>
        <w:rPr>
          <w:color w:val="auto"/>
          <w:sz w:val="21"/>
          <w:highlight w:val="none"/>
          <w:lang w:val="en-US" w:bidi="ar-SA"/>
        </w:rPr>
        <w:sectPr>
          <w:pgSz w:w="16838" w:h="11906" w:orient="landscape"/>
          <w:pgMar w:top="1803" w:right="1440" w:bottom="1803" w:left="1440" w:header="708" w:footer="709" w:gutter="0"/>
          <w:pgBorders>
            <w:top w:val="none" w:sz="0" w:space="0"/>
            <w:left w:val="none" w:sz="0" w:space="0"/>
            <w:bottom w:val="none" w:sz="0" w:space="0"/>
            <w:right w:val="none" w:sz="0" w:space="0"/>
          </w:pgBorders>
          <w:cols w:space="0" w:num="1"/>
          <w:titlePg/>
          <w:rtlGutter w:val="0"/>
          <w:docGrid w:type="lines" w:linePitch="360" w:charSpace="0"/>
        </w:sectPr>
      </w:pPr>
    </w:p>
    <w:bookmarkEnd w:id="9"/>
    <w:bookmarkEnd w:id="10"/>
    <w:bookmarkEnd w:id="11"/>
    <w:bookmarkEnd w:id="12"/>
    <w:p>
      <w:pPr>
        <w:pStyle w:val="6"/>
        <w:spacing w:before="0" w:after="0" w:line="240" w:lineRule="auto"/>
        <w:rPr>
          <w:rFonts w:ascii="宋体" w:hAnsi="宋体" w:eastAsia="宋体" w:cs="宋体"/>
          <w:color w:val="auto"/>
          <w:sz w:val="24"/>
          <w:szCs w:val="24"/>
          <w:highlight w:val="none"/>
        </w:rPr>
      </w:pPr>
      <w:bookmarkStart w:id="15" w:name="_Toc31595"/>
      <w:r>
        <w:rPr>
          <w:rFonts w:hint="eastAsia" w:ascii="宋体" w:hAnsi="宋体" w:eastAsia="宋体" w:cs="宋体"/>
          <w:color w:val="auto"/>
          <w:sz w:val="28"/>
          <w:szCs w:val="28"/>
          <w:highlight w:val="none"/>
        </w:rPr>
        <w:t>第四部分投标人须知</w:t>
      </w:r>
      <w:bookmarkEnd w:id="15"/>
    </w:p>
    <w:p>
      <w:pPr>
        <w:pStyle w:val="7"/>
        <w:numPr>
          <w:ilvl w:val="0"/>
          <w:numId w:val="2"/>
        </w:numPr>
        <w:spacing w:before="0" w:after="0" w:line="480" w:lineRule="auto"/>
        <w:jc w:val="center"/>
        <w:rPr>
          <w:rFonts w:ascii="宋体" w:hAnsi="宋体" w:cs="宋体"/>
          <w:color w:val="auto"/>
          <w:highlight w:val="none"/>
        </w:rPr>
      </w:pPr>
      <w:bookmarkStart w:id="16" w:name="_Toc25201"/>
      <w:r>
        <w:rPr>
          <w:rFonts w:hint="eastAsia" w:ascii="宋体" w:hAnsi="宋体" w:cs="宋体"/>
          <w:color w:val="auto"/>
          <w:highlight w:val="none"/>
        </w:rPr>
        <w:t>说明</w:t>
      </w:r>
      <w:bookmarkEnd w:id="16"/>
    </w:p>
    <w:p>
      <w:pPr>
        <w:pStyle w:val="8"/>
        <w:widowControl w:val="0"/>
        <w:numPr>
          <w:ilvl w:val="0"/>
          <w:numId w:val="3"/>
        </w:numPr>
        <w:overflowPunct w:val="0"/>
        <w:rPr>
          <w:rFonts w:ascii="宋体" w:hAnsi="宋体" w:cs="宋体"/>
          <w:color w:val="auto"/>
          <w:sz w:val="21"/>
          <w:szCs w:val="21"/>
          <w:highlight w:val="none"/>
        </w:rPr>
      </w:pPr>
      <w:bookmarkStart w:id="17" w:name="_Toc3534"/>
      <w:bookmarkStart w:id="18" w:name="_Toc18690"/>
      <w:r>
        <w:rPr>
          <w:rFonts w:hint="eastAsia" w:ascii="宋体" w:hAnsi="宋体" w:cs="宋体"/>
          <w:color w:val="auto"/>
          <w:sz w:val="21"/>
          <w:szCs w:val="21"/>
          <w:highlight w:val="none"/>
        </w:rPr>
        <w:t>适用范围</w:t>
      </w:r>
      <w:bookmarkEnd w:id="17"/>
      <w:bookmarkEnd w:id="18"/>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19" w:name="_Toc1530"/>
      <w:bookmarkStart w:id="20" w:name="_Toc28435"/>
      <w:bookmarkStart w:id="21" w:name="_Toc20286"/>
      <w:bookmarkStart w:id="22" w:name="_Toc298847174"/>
      <w:bookmarkStart w:id="23" w:name="_Toc382049092"/>
      <w:bookmarkStart w:id="24" w:name="_Toc303084246"/>
      <w:r>
        <w:rPr>
          <w:rFonts w:hint="eastAsia" w:ascii="宋体" w:hAnsi="宋体" w:cs="宋体"/>
          <w:color w:val="auto"/>
          <w:sz w:val="21"/>
          <w:szCs w:val="21"/>
          <w:highlight w:val="none"/>
        </w:rPr>
        <w:t>定义</w:t>
      </w:r>
      <w:bookmarkEnd w:id="19"/>
      <w:bookmarkEnd w:id="20"/>
      <w:bookmarkEnd w:id="21"/>
      <w:bookmarkEnd w:id="22"/>
      <w:bookmarkEnd w:id="23"/>
      <w:bookmarkEnd w:id="24"/>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25" w:name="_Toc10625"/>
      <w:bookmarkStart w:id="26" w:name="_Toc11624"/>
      <w:r>
        <w:rPr>
          <w:rFonts w:hint="eastAsia" w:ascii="宋体" w:hAnsi="宋体" w:cs="宋体"/>
          <w:color w:val="auto"/>
          <w:sz w:val="21"/>
          <w:szCs w:val="21"/>
          <w:highlight w:val="none"/>
        </w:rPr>
        <w:t>货物和服务</w:t>
      </w:r>
      <w:bookmarkEnd w:id="25"/>
      <w:bookmarkEnd w:id="26"/>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27" w:name="_Toc15719"/>
      <w:bookmarkStart w:id="28" w:name="_Toc1673"/>
      <w:r>
        <w:rPr>
          <w:rFonts w:hint="eastAsia" w:ascii="宋体" w:hAnsi="宋体" w:cs="宋体"/>
          <w:color w:val="auto"/>
          <w:sz w:val="21"/>
          <w:szCs w:val="21"/>
          <w:highlight w:val="none"/>
        </w:rPr>
        <w:t>投标费用</w:t>
      </w:r>
      <w:bookmarkEnd w:id="27"/>
      <w:bookmarkEnd w:id="28"/>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29" w:name="_Toc21477"/>
      <w:bookmarkStart w:id="30" w:name="_Toc6180"/>
      <w:r>
        <w:rPr>
          <w:rFonts w:hint="eastAsia" w:ascii="宋体" w:hAnsi="宋体" w:cs="宋体"/>
          <w:color w:val="auto"/>
          <w:sz w:val="21"/>
          <w:szCs w:val="21"/>
          <w:highlight w:val="none"/>
        </w:rPr>
        <w:t>知识产权</w:t>
      </w:r>
      <w:bookmarkEnd w:id="29"/>
      <w:bookmarkEnd w:id="30"/>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widowControl w:val="0"/>
        <w:adjustRightInd/>
        <w:snapToGrid/>
        <w:ind w:left="567"/>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31" w:name="_Toc2352"/>
      <w:bookmarkStart w:id="32" w:name="_Toc25122"/>
      <w:r>
        <w:rPr>
          <w:rFonts w:hint="eastAsia" w:ascii="宋体" w:hAnsi="宋体" w:cs="宋体"/>
          <w:color w:val="auto"/>
          <w:sz w:val="21"/>
          <w:szCs w:val="21"/>
          <w:highlight w:val="none"/>
        </w:rPr>
        <w:t>关于联合体投标</w:t>
      </w:r>
      <w:bookmarkEnd w:id="31"/>
      <w:bookmarkEnd w:id="32"/>
    </w:p>
    <w:p>
      <w:pPr>
        <w:pStyle w:val="39"/>
        <w:widowControl w:val="0"/>
        <w:adjustRightInd/>
        <w:snapToGrid/>
        <w:ind w:left="425" w:hanging="425"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ind w:left="567"/>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33" w:name="_Toc3572"/>
      <w:bookmarkStart w:id="34" w:name="_Toc10603"/>
      <w:r>
        <w:rPr>
          <w:rFonts w:hint="eastAsia" w:ascii="宋体" w:hAnsi="宋体" w:cs="宋体"/>
          <w:color w:val="auto"/>
          <w:sz w:val="21"/>
          <w:szCs w:val="21"/>
          <w:highlight w:val="none"/>
        </w:rPr>
        <w:t>关于分支机构投标</w:t>
      </w:r>
      <w:bookmarkEnd w:id="33"/>
      <w:bookmarkEnd w:id="34"/>
    </w:p>
    <w:p>
      <w:pPr>
        <w:pStyle w:val="39"/>
        <w:widowControl w:val="0"/>
        <w:adjustRightInd/>
        <w:snapToGrid/>
        <w:ind w:left="425" w:hanging="425" w:firstLineChars="0"/>
        <w:jc w:val="both"/>
        <w:rPr>
          <w:rFonts w:ascii="宋体" w:hAnsi="宋体" w:cs="宋体"/>
          <w:vanish/>
          <w:color w:val="auto"/>
          <w:szCs w:val="21"/>
          <w:highlight w:val="none"/>
        </w:rPr>
      </w:pPr>
      <w:bookmarkStart w:id="35" w:name="EB389f116341dd4693875bc7987e7327f3"/>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pPr>
        <w:widowControl w:val="0"/>
        <w:adjustRightInd/>
        <w:snapToGrid/>
        <w:ind w:left="567"/>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36" w:name="_Toc16068"/>
      <w:r>
        <w:rPr>
          <w:rFonts w:hint="eastAsia" w:ascii="宋体" w:hAnsi="宋体" w:cs="宋体"/>
          <w:color w:val="auto"/>
          <w:sz w:val="21"/>
          <w:szCs w:val="21"/>
          <w:highlight w:val="none"/>
        </w:rPr>
        <w:t>踏勘现场</w:t>
      </w:r>
      <w:bookmarkEnd w:id="36"/>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pPr>
        <w:rPr>
          <w:rFonts w:ascii="宋体" w:hAnsi="宋体" w:cs="宋体"/>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37" w:name="_Toc14732"/>
      <w:bookmarkStart w:id="38" w:name="_Toc9444"/>
      <w:r>
        <w:rPr>
          <w:rFonts w:hint="eastAsia" w:ascii="宋体" w:hAnsi="宋体" w:cs="宋体"/>
          <w:color w:val="auto"/>
          <w:highlight w:val="none"/>
        </w:rPr>
        <w:t>采购文件</w:t>
      </w:r>
      <w:bookmarkEnd w:id="37"/>
      <w:bookmarkEnd w:id="38"/>
    </w:p>
    <w:p>
      <w:pPr>
        <w:pStyle w:val="8"/>
        <w:widowControl w:val="0"/>
        <w:numPr>
          <w:ilvl w:val="0"/>
          <w:numId w:val="3"/>
        </w:numPr>
        <w:overflowPunct w:val="0"/>
        <w:rPr>
          <w:rFonts w:ascii="宋体" w:hAnsi="宋体" w:cs="宋体"/>
          <w:color w:val="auto"/>
          <w:sz w:val="21"/>
          <w:szCs w:val="21"/>
          <w:highlight w:val="none"/>
        </w:rPr>
      </w:pPr>
      <w:bookmarkStart w:id="39" w:name="_Toc10638"/>
      <w:bookmarkStart w:id="40" w:name="_Toc25451"/>
      <w:r>
        <w:rPr>
          <w:rFonts w:hint="eastAsia" w:ascii="宋体" w:hAnsi="宋体" w:cs="宋体"/>
          <w:color w:val="auto"/>
          <w:sz w:val="21"/>
          <w:szCs w:val="21"/>
          <w:highlight w:val="none"/>
        </w:rPr>
        <w:t>采购文件的组成</w:t>
      </w:r>
      <w:bookmarkEnd w:id="39"/>
      <w:bookmarkEnd w:id="40"/>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（1）投标邀请书；</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（2）投标资料表；</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（3）用户需求书；</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（4）投标人须知；</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（5）拟签订的合同文本；</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widowControl w:val="0"/>
        <w:adjustRightInd/>
        <w:snapToGrid/>
        <w:jc w:val="both"/>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41" w:name="_Toc30490"/>
      <w:bookmarkStart w:id="42" w:name="_Toc21392"/>
      <w:r>
        <w:rPr>
          <w:rFonts w:hint="eastAsia" w:ascii="宋体" w:hAnsi="宋体" w:cs="宋体"/>
          <w:color w:val="auto"/>
          <w:sz w:val="21"/>
          <w:szCs w:val="21"/>
          <w:highlight w:val="none"/>
        </w:rPr>
        <w:t>采购文件的澄清或修改</w:t>
      </w:r>
      <w:bookmarkEnd w:id="41"/>
      <w:bookmarkEnd w:id="42"/>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pPr>
        <w:widowControl w:val="0"/>
        <w:adjustRightInd/>
        <w:snapToGrid/>
        <w:ind w:left="567"/>
        <w:jc w:val="both"/>
        <w:rPr>
          <w:rFonts w:ascii="宋体" w:hAnsi="宋体" w:cs="宋体"/>
          <w:color w:val="auto"/>
          <w:szCs w:val="21"/>
          <w:highlight w:val="none"/>
        </w:rPr>
      </w:pPr>
    </w:p>
    <w:p>
      <w:pPr>
        <w:pStyle w:val="7"/>
        <w:numPr>
          <w:ilvl w:val="0"/>
          <w:numId w:val="2"/>
        </w:numPr>
        <w:spacing w:before="0" w:after="0" w:line="360" w:lineRule="auto"/>
        <w:jc w:val="center"/>
        <w:rPr>
          <w:rFonts w:ascii="宋体" w:hAnsi="宋体" w:cs="宋体"/>
          <w:color w:val="auto"/>
          <w:highlight w:val="none"/>
        </w:rPr>
      </w:pPr>
      <w:bookmarkStart w:id="43" w:name="_Toc12343"/>
      <w:bookmarkStart w:id="44" w:name="_Toc10333"/>
      <w:r>
        <w:rPr>
          <w:rFonts w:hint="eastAsia" w:ascii="宋体" w:hAnsi="宋体" w:cs="宋体"/>
          <w:color w:val="auto"/>
          <w:highlight w:val="none"/>
        </w:rPr>
        <w:t>投标文件的编制</w:t>
      </w:r>
      <w:bookmarkEnd w:id="43"/>
      <w:bookmarkEnd w:id="44"/>
    </w:p>
    <w:p>
      <w:pPr>
        <w:pStyle w:val="8"/>
        <w:widowControl w:val="0"/>
        <w:numPr>
          <w:ilvl w:val="0"/>
          <w:numId w:val="3"/>
        </w:numPr>
        <w:overflowPunct w:val="0"/>
        <w:rPr>
          <w:rFonts w:ascii="宋体" w:hAnsi="宋体" w:cs="宋体"/>
          <w:color w:val="auto"/>
          <w:sz w:val="21"/>
          <w:szCs w:val="21"/>
          <w:highlight w:val="none"/>
        </w:rPr>
      </w:pPr>
      <w:bookmarkStart w:id="45" w:name="_Toc16938"/>
      <w:bookmarkStart w:id="46" w:name="_Toc12048"/>
      <w:r>
        <w:rPr>
          <w:rFonts w:hint="eastAsia" w:ascii="宋体" w:hAnsi="宋体" w:cs="宋体"/>
          <w:color w:val="auto"/>
          <w:sz w:val="21"/>
          <w:szCs w:val="21"/>
          <w:highlight w:val="none"/>
        </w:rPr>
        <w:t>投标文件的语言及度量衡单位</w:t>
      </w:r>
      <w:bookmarkEnd w:id="45"/>
      <w:bookmarkEnd w:id="46"/>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pPr>
        <w:widowControl w:val="0"/>
        <w:adjustRightInd/>
        <w:snapToGrid/>
        <w:ind w:left="567"/>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47" w:name="_Toc28866"/>
      <w:bookmarkStart w:id="48" w:name="_Toc11466"/>
      <w:bookmarkStart w:id="49" w:name="_Toc307934854"/>
      <w:bookmarkStart w:id="50" w:name="_Toc303084256"/>
      <w:bookmarkStart w:id="51" w:name="_Toc27953"/>
      <w:bookmarkStart w:id="52" w:name="_Toc382049103"/>
      <w:r>
        <w:rPr>
          <w:rFonts w:hint="eastAsia" w:ascii="宋体" w:hAnsi="宋体" w:cs="宋体"/>
          <w:color w:val="auto"/>
          <w:sz w:val="21"/>
          <w:szCs w:val="21"/>
          <w:highlight w:val="none"/>
        </w:rPr>
        <w:t>投标文件的组成</w:t>
      </w:r>
      <w:bookmarkEnd w:id="47"/>
      <w:bookmarkEnd w:id="48"/>
      <w:bookmarkEnd w:id="49"/>
      <w:bookmarkEnd w:id="50"/>
      <w:bookmarkEnd w:id="51"/>
      <w:bookmarkEnd w:id="52"/>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53" w:name="_Toc755"/>
      <w:bookmarkStart w:id="54" w:name="_Toc5904"/>
      <w:r>
        <w:rPr>
          <w:rFonts w:hint="eastAsia" w:ascii="宋体" w:hAnsi="宋体" w:cs="宋体"/>
          <w:color w:val="auto"/>
          <w:sz w:val="21"/>
          <w:szCs w:val="21"/>
          <w:highlight w:val="none"/>
        </w:rPr>
        <w:t>投标文件编制</w:t>
      </w:r>
      <w:bookmarkEnd w:id="53"/>
      <w:bookmarkEnd w:id="54"/>
    </w:p>
    <w:p>
      <w:pPr>
        <w:pStyle w:val="39"/>
        <w:widowControl w:val="0"/>
        <w:numPr>
          <w:ilvl w:val="0"/>
          <w:numId w:val="4"/>
        </w:numPr>
        <w:adjustRightInd/>
        <w:snapToGrid/>
        <w:ind w:firstLineChars="0"/>
        <w:jc w:val="both"/>
        <w:rPr>
          <w:rFonts w:ascii="宋体" w:hAnsi="宋体" w:cs="宋体"/>
          <w:vanish/>
          <w:color w:val="auto"/>
          <w:szCs w:val="21"/>
          <w:highlight w:val="none"/>
        </w:rPr>
      </w:pPr>
      <w:bookmarkStart w:id="55" w:name="_Toc303084258"/>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pPr>
        <w:pStyle w:val="39"/>
        <w:widowControl w:val="0"/>
        <w:numPr>
          <w:ilvl w:val="0"/>
          <w:numId w:val="5"/>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投标文件内出现无官方证明文件的行业地域排名或使用“国家级”、“最高级”、“最佳”等用语字眼的。</w:t>
      </w:r>
    </w:p>
    <w:p>
      <w:pPr>
        <w:pStyle w:val="39"/>
        <w:widowControl w:val="0"/>
        <w:numPr>
          <w:ilvl w:val="0"/>
          <w:numId w:val="5"/>
        </w:numPr>
        <w:adjustRightInd/>
        <w:snapToGrid/>
        <w:ind w:firstLineChars="0"/>
        <w:jc w:val="both"/>
        <w:rPr>
          <w:rFonts w:ascii="宋体" w:hAnsi="宋体" w:cs="宋体"/>
          <w:color w:val="auto"/>
          <w:szCs w:val="21"/>
          <w:highlight w:val="none"/>
        </w:rPr>
      </w:pPr>
      <w:r>
        <w:rPr>
          <w:rFonts w:hint="eastAsia" w:ascii="宋体" w:hAnsi="宋体" w:cs="宋体"/>
          <w:color w:val="auto"/>
          <w:szCs w:val="21"/>
          <w:highlight w:val="none"/>
        </w:rPr>
        <w:t>投标文件内出现恶意诋毁、贬低其他生产经营者的商品或者服务的内容。</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pPr>
        <w:widowControl w:val="0"/>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55"/>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56" w:name="_Toc7134"/>
      <w:bookmarkStart w:id="57" w:name="_Toc6154"/>
      <w:r>
        <w:rPr>
          <w:rFonts w:hint="eastAsia" w:ascii="宋体" w:hAnsi="宋体" w:cs="宋体"/>
          <w:color w:val="auto"/>
          <w:sz w:val="21"/>
          <w:szCs w:val="21"/>
          <w:highlight w:val="none"/>
        </w:rPr>
        <w:t>投标报价说明</w:t>
      </w:r>
      <w:bookmarkEnd w:id="56"/>
      <w:bookmarkEnd w:id="57"/>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58" w:name="_Toc14501"/>
      <w:bookmarkStart w:id="59" w:name="_Toc17669"/>
      <w:r>
        <w:rPr>
          <w:rFonts w:hint="eastAsia" w:ascii="宋体" w:hAnsi="宋体" w:cs="宋体"/>
          <w:color w:val="auto"/>
          <w:sz w:val="21"/>
          <w:szCs w:val="21"/>
          <w:highlight w:val="none"/>
        </w:rPr>
        <w:t>投标人所提供的服务或货物的证明文件</w:t>
      </w:r>
      <w:bookmarkEnd w:id="58"/>
      <w:bookmarkEnd w:id="59"/>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bookmarkStart w:id="60" w:name="_Hlt107925638"/>
      <w:bookmarkEnd w:id="60"/>
      <w:bookmarkStart w:id="61" w:name="_Hlt107925668"/>
      <w:bookmarkEnd w:id="61"/>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1、使用通过受让或者租借等方式获取的资格、资质证书投标的，属于以他人名义投标。</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（1）使用伪造、变造的许可证件；</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（2）提供虚假的财务状况或者业绩；</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（4）提供虚假的信用状况；</w:t>
      </w:r>
    </w:p>
    <w:p>
      <w:pPr>
        <w:pStyle w:val="39"/>
        <w:widowControl w:val="0"/>
        <w:adjustRightInd/>
        <w:snapToGrid/>
        <w:ind w:left="425" w:firstLine="0" w:firstLineChars="0"/>
        <w:jc w:val="both"/>
        <w:rPr>
          <w:rFonts w:ascii="宋体" w:hAnsi="宋体" w:cs="宋体"/>
          <w:color w:val="auto"/>
          <w:highlight w:val="none"/>
        </w:rPr>
      </w:pPr>
      <w:r>
        <w:rPr>
          <w:rFonts w:hint="eastAsia" w:ascii="宋体" w:hAnsi="宋体" w:cs="宋体"/>
          <w:color w:val="auto"/>
          <w:highlight w:val="none"/>
        </w:rPr>
        <w:t>（5）其他弄虚作假的行为。</w:t>
      </w:r>
    </w:p>
    <w:p>
      <w:pPr>
        <w:pStyle w:val="8"/>
        <w:widowControl w:val="0"/>
        <w:numPr>
          <w:ilvl w:val="0"/>
          <w:numId w:val="3"/>
        </w:numPr>
        <w:overflowPunct w:val="0"/>
        <w:rPr>
          <w:rFonts w:ascii="宋体" w:hAnsi="宋体" w:cs="宋体"/>
          <w:color w:val="auto"/>
          <w:sz w:val="21"/>
          <w:szCs w:val="21"/>
          <w:highlight w:val="none"/>
        </w:rPr>
      </w:pPr>
      <w:bookmarkStart w:id="62" w:name="_Toc2409"/>
      <w:bookmarkStart w:id="63" w:name="_Toc8324"/>
      <w:r>
        <w:rPr>
          <w:rFonts w:hint="eastAsia" w:ascii="宋体" w:hAnsi="宋体" w:cs="宋体"/>
          <w:color w:val="auto"/>
          <w:sz w:val="21"/>
          <w:szCs w:val="21"/>
          <w:highlight w:val="none"/>
        </w:rPr>
        <w:t>投标有效期</w:t>
      </w:r>
      <w:bookmarkEnd w:id="62"/>
      <w:bookmarkEnd w:id="63"/>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widowControl w:val="0"/>
        <w:adjustRightInd/>
        <w:snapToGrid/>
        <w:ind w:left="567"/>
        <w:jc w:val="both"/>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64" w:name="_Toc26564"/>
      <w:bookmarkStart w:id="65" w:name="_Toc12582"/>
      <w:r>
        <w:rPr>
          <w:rFonts w:hint="eastAsia" w:ascii="宋体" w:hAnsi="宋体" w:cs="宋体"/>
          <w:color w:val="auto"/>
          <w:sz w:val="21"/>
          <w:szCs w:val="21"/>
          <w:highlight w:val="none"/>
        </w:rPr>
        <w:t>投标保证金</w:t>
      </w:r>
      <w:bookmarkEnd w:id="64"/>
      <w:bookmarkEnd w:id="65"/>
    </w:p>
    <w:p>
      <w:pPr>
        <w:pStyle w:val="39"/>
        <w:widowControl w:val="0"/>
        <w:numPr>
          <w:ilvl w:val="0"/>
          <w:numId w:val="4"/>
        </w:numPr>
        <w:adjustRightInd/>
        <w:snapToGrid/>
        <w:ind w:firstLineChars="0"/>
        <w:jc w:val="both"/>
        <w:rPr>
          <w:rFonts w:ascii="宋体" w:hAnsi="宋体" w:cs="宋体"/>
          <w:vanish/>
          <w:color w:val="auto"/>
          <w:szCs w:val="21"/>
          <w:highlight w:val="none"/>
        </w:rPr>
      </w:pPr>
      <w:bookmarkStart w:id="66" w:name="_Ref179619405"/>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66"/>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pPr>
        <w:widowControl w:val="0"/>
        <w:adjustRightInd/>
        <w:snapToGrid/>
        <w:ind w:left="540" w:leftChars="257"/>
        <w:jc w:val="both"/>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pPr>
        <w:rPr>
          <w:rFonts w:ascii="宋体" w:hAnsi="宋体" w:cs="宋体"/>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67" w:name="_Toc18672"/>
      <w:bookmarkStart w:id="68" w:name="_Toc30352"/>
      <w:r>
        <w:rPr>
          <w:rFonts w:hint="eastAsia" w:ascii="宋体" w:hAnsi="宋体" w:cs="宋体"/>
          <w:color w:val="auto"/>
          <w:highlight w:val="none"/>
        </w:rPr>
        <w:t>投标文件的递交</w:t>
      </w:r>
      <w:bookmarkEnd w:id="67"/>
      <w:bookmarkEnd w:id="68"/>
    </w:p>
    <w:p>
      <w:pPr>
        <w:pStyle w:val="8"/>
        <w:widowControl w:val="0"/>
        <w:numPr>
          <w:ilvl w:val="0"/>
          <w:numId w:val="3"/>
        </w:numPr>
        <w:overflowPunct w:val="0"/>
        <w:rPr>
          <w:rFonts w:ascii="宋体" w:hAnsi="宋体" w:cs="宋体"/>
          <w:color w:val="auto"/>
          <w:sz w:val="21"/>
          <w:szCs w:val="21"/>
          <w:highlight w:val="none"/>
        </w:rPr>
      </w:pPr>
      <w:bookmarkStart w:id="69" w:name="_Toc24150"/>
      <w:bookmarkStart w:id="70" w:name="_Toc303084264"/>
      <w:bookmarkStart w:id="71" w:name="_Toc24997"/>
      <w:bookmarkStart w:id="72" w:name="_Toc9759"/>
      <w:bookmarkStart w:id="73" w:name="_Toc382049111"/>
      <w:r>
        <w:rPr>
          <w:rFonts w:hint="eastAsia" w:ascii="宋体" w:hAnsi="宋体" w:cs="宋体"/>
          <w:color w:val="auto"/>
          <w:sz w:val="21"/>
          <w:szCs w:val="21"/>
          <w:highlight w:val="none"/>
        </w:rPr>
        <w:t>投标文件的装订，签署，密封和标记</w:t>
      </w:r>
      <w:bookmarkEnd w:id="69"/>
      <w:bookmarkEnd w:id="70"/>
      <w:bookmarkEnd w:id="71"/>
      <w:bookmarkEnd w:id="72"/>
      <w:bookmarkEnd w:id="73"/>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投标人应按《投标资料表》的份数准备价格文件、商务文件、技术文件、唱标信封和电子文件（</w:t>
      </w:r>
      <w:r>
        <w:rPr>
          <w:rFonts w:hint="eastAsia" w:ascii="宋体" w:hAnsi="宋体" w:cs="宋体"/>
          <w:b/>
          <w:color w:val="auto"/>
          <w:szCs w:val="21"/>
          <w:highlight w:val="none"/>
        </w:rPr>
        <w:t>价格文件、商务文件、技术文件分别单独装订成册</w:t>
      </w:r>
      <w:r>
        <w:rPr>
          <w:rFonts w:hint="eastAsia" w:ascii="宋体" w:hAnsi="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 xml:space="preserve">收件人： </w:t>
      </w:r>
    </w:p>
    <w:p>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widowControl w:val="0"/>
        <w:numPr>
          <w:ilvl w:val="0"/>
          <w:numId w:val="6"/>
        </w:numPr>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项目采购项目编号：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74" w:name="_Toc27686"/>
      <w:bookmarkStart w:id="75" w:name="_Toc25895"/>
      <w:r>
        <w:rPr>
          <w:rFonts w:hint="eastAsia" w:ascii="宋体" w:hAnsi="宋体" w:cs="宋体"/>
          <w:color w:val="auto"/>
          <w:sz w:val="21"/>
          <w:szCs w:val="21"/>
          <w:highlight w:val="none"/>
        </w:rPr>
        <w:t>迟交的投标文件</w:t>
      </w:r>
      <w:bookmarkEnd w:id="74"/>
      <w:bookmarkEnd w:id="75"/>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76" w:name="_Toc9143"/>
      <w:bookmarkStart w:id="77" w:name="_Toc8776"/>
      <w:r>
        <w:rPr>
          <w:rFonts w:hint="eastAsia" w:ascii="宋体" w:hAnsi="宋体" w:cs="宋体"/>
          <w:color w:val="auto"/>
          <w:sz w:val="21"/>
          <w:szCs w:val="21"/>
          <w:highlight w:val="none"/>
        </w:rPr>
        <w:t>投标样品（如需提交）</w:t>
      </w:r>
      <w:bookmarkEnd w:id="76"/>
      <w:bookmarkEnd w:id="77"/>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78" w:name="_Toc9777"/>
      <w:bookmarkStart w:id="79" w:name="_Toc1712"/>
      <w:bookmarkStart w:id="80" w:name="_Toc303084265"/>
      <w:bookmarkStart w:id="81" w:name="_Toc17522"/>
      <w:bookmarkStart w:id="82" w:name="_Toc382049112"/>
      <w:r>
        <w:rPr>
          <w:rFonts w:hint="eastAsia" w:ascii="宋体" w:hAnsi="宋体" w:cs="宋体"/>
          <w:color w:val="auto"/>
          <w:sz w:val="21"/>
          <w:szCs w:val="21"/>
          <w:highlight w:val="none"/>
        </w:rPr>
        <w:t>投标截止期</w:t>
      </w:r>
      <w:bookmarkEnd w:id="78"/>
      <w:bookmarkEnd w:id="79"/>
      <w:bookmarkEnd w:id="80"/>
      <w:bookmarkEnd w:id="81"/>
      <w:bookmarkEnd w:id="82"/>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83" w:name="_Toc31417"/>
      <w:bookmarkStart w:id="84" w:name="_Toc14518"/>
      <w:r>
        <w:rPr>
          <w:rFonts w:hint="eastAsia" w:ascii="宋体" w:hAnsi="宋体" w:cs="宋体"/>
          <w:color w:val="auto"/>
          <w:sz w:val="21"/>
          <w:szCs w:val="21"/>
          <w:highlight w:val="none"/>
        </w:rPr>
        <w:t>投标文件的补充、修改与撤回</w:t>
      </w:r>
      <w:bookmarkEnd w:id="83"/>
      <w:bookmarkEnd w:id="84"/>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3"/>
        <w:rPr>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85" w:name="_Toc4693"/>
      <w:bookmarkStart w:id="86" w:name="_Toc7410"/>
      <w:r>
        <w:rPr>
          <w:rFonts w:hint="eastAsia" w:ascii="宋体" w:hAnsi="宋体" w:cs="宋体"/>
          <w:color w:val="auto"/>
          <w:highlight w:val="none"/>
        </w:rPr>
        <w:t>开标与评标</w:t>
      </w:r>
      <w:bookmarkEnd w:id="85"/>
      <w:bookmarkEnd w:id="86"/>
    </w:p>
    <w:p>
      <w:pPr>
        <w:pStyle w:val="8"/>
        <w:widowControl w:val="0"/>
        <w:numPr>
          <w:ilvl w:val="0"/>
          <w:numId w:val="3"/>
        </w:numPr>
        <w:overflowPunct w:val="0"/>
        <w:rPr>
          <w:rFonts w:ascii="宋体" w:hAnsi="宋体" w:cs="宋体"/>
          <w:color w:val="auto"/>
          <w:sz w:val="21"/>
          <w:szCs w:val="21"/>
          <w:highlight w:val="none"/>
        </w:rPr>
      </w:pPr>
      <w:bookmarkStart w:id="87" w:name="_Toc31671"/>
      <w:bookmarkStart w:id="88" w:name="_Toc20009"/>
      <w:r>
        <w:rPr>
          <w:rFonts w:hint="eastAsia" w:ascii="宋体" w:hAnsi="宋体" w:cs="宋体"/>
          <w:color w:val="auto"/>
          <w:sz w:val="21"/>
          <w:szCs w:val="21"/>
          <w:highlight w:val="none"/>
        </w:rPr>
        <w:t>开标</w:t>
      </w:r>
      <w:bookmarkEnd w:id="87"/>
      <w:bookmarkEnd w:id="88"/>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pPr>
        <w:widowControl w:val="0"/>
        <w:adjustRightInd/>
        <w:snapToGrid/>
        <w:ind w:left="567"/>
        <w:jc w:val="both"/>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89" w:name="_Toc3528"/>
      <w:bookmarkStart w:id="90" w:name="_Toc15560"/>
      <w:r>
        <w:rPr>
          <w:rFonts w:hint="eastAsia" w:ascii="宋体" w:hAnsi="宋体" w:cs="宋体"/>
          <w:color w:val="auto"/>
          <w:sz w:val="21"/>
          <w:szCs w:val="21"/>
          <w:highlight w:val="none"/>
        </w:rPr>
        <w:t>评标委员会及评标方法</w:t>
      </w:r>
      <w:bookmarkEnd w:id="89"/>
      <w:bookmarkEnd w:id="90"/>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91" w:name="_Toc4198"/>
      <w:bookmarkStart w:id="92" w:name="_Toc22022"/>
      <w:r>
        <w:rPr>
          <w:rFonts w:hint="eastAsia" w:ascii="宋体" w:hAnsi="宋体" w:cs="宋体"/>
          <w:color w:val="auto"/>
          <w:sz w:val="21"/>
          <w:szCs w:val="21"/>
          <w:highlight w:val="none"/>
        </w:rPr>
        <w:t>评审原则及评标过程的保密</w:t>
      </w:r>
      <w:bookmarkEnd w:id="91"/>
      <w:bookmarkEnd w:id="92"/>
    </w:p>
    <w:p>
      <w:pPr>
        <w:pStyle w:val="39"/>
        <w:widowControl w:val="0"/>
        <w:numPr>
          <w:ilvl w:val="0"/>
          <w:numId w:val="4"/>
        </w:numPr>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93" w:name="_Toc14506"/>
      <w:r>
        <w:rPr>
          <w:rFonts w:hint="eastAsia" w:ascii="宋体" w:hAnsi="宋体" w:cs="宋体"/>
          <w:color w:val="auto"/>
          <w:sz w:val="21"/>
          <w:szCs w:val="21"/>
          <w:highlight w:val="none"/>
        </w:rPr>
        <w:t>评标程序</w:t>
      </w:r>
      <w:bookmarkEnd w:id="93"/>
    </w:p>
    <w:p>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pPr>
        <w:jc w:val="center"/>
        <w:rPr>
          <w:rFonts w:ascii="宋体" w:hAnsi="宋体" w:cs="宋体"/>
          <w:b/>
          <w:bCs/>
          <w:color w:val="auto"/>
          <w:highlight w:val="none"/>
        </w:rPr>
      </w:pPr>
      <w:r>
        <w:rPr>
          <w:rFonts w:hint="eastAsia" w:ascii="宋体" w:hAnsi="宋体" w:cs="宋体"/>
          <w:b/>
          <w:bCs/>
          <w:color w:val="auto"/>
          <w:highlight w:val="none"/>
        </w:rPr>
        <w:t>《资格性、符合性审查表》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tcBorders>
              <w:top w:val="single" w:color="auto" w:sz="4" w:space="0"/>
              <w:left w:val="single" w:color="auto" w:sz="4" w:space="0"/>
              <w:right w:val="single" w:color="auto" w:sz="4" w:space="0"/>
              <w:tl2br w:val="nil"/>
              <w:tr2bl w:val="nil"/>
            </w:tcBorders>
            <w:vAlign w:val="center"/>
          </w:tcPr>
          <w:p>
            <w:pPr>
              <w:numPr>
                <w:ilvl w:val="0"/>
                <w:numId w:val="7"/>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bottom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auto"/>
                <w:szCs w:val="21"/>
                <w:highlight w:val="none"/>
              </w:rPr>
            </w:pPr>
            <w:r>
              <w:rPr>
                <w:rFonts w:hint="eastAsia" w:ascii="宋体" w:hAnsi="宋体" w:cs="宋体"/>
                <w:color w:val="auto"/>
                <w:szCs w:val="21"/>
                <w:highlight w:val="none"/>
              </w:rPr>
              <w:t>（6）投标人必须具有《中华人民共和国特种设备生产许可证》或《中华人民共和国特种设备安装改造维修许可证》（电梯）B级或以上资质。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7"/>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法律、法规和招标文件规定的其他无效情形。</w:t>
            </w:r>
          </w:p>
        </w:tc>
      </w:tr>
    </w:tbl>
    <w:p>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pPr>
        <w:widowControl w:val="0"/>
        <w:numPr>
          <w:ilvl w:val="1"/>
          <w:numId w:val="3"/>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widowControl w:val="0"/>
        <w:numPr>
          <w:ilvl w:val="0"/>
          <w:numId w:val="8"/>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Style w:val="3"/>
        <w:rPr>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94" w:name="_Toc4799"/>
      <w:bookmarkStart w:id="95" w:name="_Toc11415"/>
      <w:r>
        <w:rPr>
          <w:rFonts w:hint="eastAsia" w:ascii="宋体" w:hAnsi="宋体" w:cs="宋体"/>
          <w:color w:val="auto"/>
          <w:sz w:val="21"/>
          <w:szCs w:val="21"/>
          <w:highlight w:val="none"/>
        </w:rPr>
        <w:t>商务、技术、价格评审（具体评审项目详见投标资料表）</w:t>
      </w:r>
      <w:bookmarkEnd w:id="94"/>
      <w:bookmarkEnd w:id="95"/>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pPr>
        <w:widowControl w:val="0"/>
        <w:tabs>
          <w:tab w:val="left" w:pos="907"/>
        </w:tabs>
        <w:adjustRightInd/>
        <w:snapToGrid/>
        <w:ind w:left="567"/>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96" w:name="_Toc316375620"/>
      <w:bookmarkStart w:id="97" w:name="_Toc20328"/>
      <w:bookmarkStart w:id="98" w:name="_Toc382049120"/>
      <w:bookmarkStart w:id="99" w:name="_Toc18550"/>
      <w:bookmarkStart w:id="100" w:name="_Toc21663"/>
      <w:r>
        <w:rPr>
          <w:rFonts w:hint="eastAsia" w:ascii="宋体" w:hAnsi="宋体" w:cs="宋体"/>
          <w:color w:val="auto"/>
          <w:sz w:val="21"/>
          <w:szCs w:val="21"/>
          <w:highlight w:val="none"/>
        </w:rPr>
        <w:t>纪律和保密</w:t>
      </w:r>
      <w:bookmarkEnd w:id="96"/>
      <w:r>
        <w:rPr>
          <w:rFonts w:hint="eastAsia" w:ascii="宋体" w:hAnsi="宋体" w:cs="宋体"/>
          <w:color w:val="auto"/>
          <w:sz w:val="21"/>
          <w:szCs w:val="21"/>
          <w:highlight w:val="none"/>
        </w:rPr>
        <w:t>事项</w:t>
      </w:r>
      <w:bookmarkEnd w:id="97"/>
      <w:bookmarkEnd w:id="98"/>
      <w:bookmarkEnd w:id="99"/>
      <w:bookmarkEnd w:id="100"/>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pPr>
        <w:rPr>
          <w:rFonts w:ascii="宋体" w:hAnsi="宋体" w:cs="宋体"/>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101" w:name="_Toc27738"/>
      <w:bookmarkStart w:id="102" w:name="_Toc1109"/>
      <w:r>
        <w:rPr>
          <w:rFonts w:hint="eastAsia" w:ascii="宋体" w:hAnsi="宋体" w:cs="宋体"/>
          <w:color w:val="auto"/>
          <w:highlight w:val="none"/>
        </w:rPr>
        <w:t>授予合同</w:t>
      </w:r>
      <w:bookmarkEnd w:id="101"/>
      <w:bookmarkEnd w:id="102"/>
    </w:p>
    <w:p>
      <w:pPr>
        <w:pStyle w:val="8"/>
        <w:widowControl w:val="0"/>
        <w:numPr>
          <w:ilvl w:val="0"/>
          <w:numId w:val="3"/>
        </w:numPr>
        <w:overflowPunct w:val="0"/>
        <w:rPr>
          <w:rFonts w:ascii="宋体" w:hAnsi="宋体" w:cs="宋体"/>
          <w:color w:val="auto"/>
          <w:sz w:val="21"/>
          <w:szCs w:val="21"/>
          <w:highlight w:val="none"/>
        </w:rPr>
      </w:pPr>
      <w:bookmarkStart w:id="103" w:name="_Toc22623"/>
      <w:bookmarkStart w:id="104" w:name="_Toc16090"/>
      <w:bookmarkStart w:id="105" w:name="_Toc508284011"/>
      <w:r>
        <w:rPr>
          <w:rFonts w:hint="eastAsia" w:ascii="宋体" w:hAnsi="宋体" w:cs="宋体"/>
          <w:color w:val="auto"/>
          <w:sz w:val="21"/>
          <w:szCs w:val="21"/>
          <w:highlight w:val="none"/>
        </w:rPr>
        <w:t>合同授予标准</w:t>
      </w:r>
      <w:bookmarkEnd w:id="103"/>
      <w:bookmarkEnd w:id="104"/>
      <w:bookmarkEnd w:id="105"/>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106" w:name="_Toc24261"/>
      <w:bookmarkStart w:id="107" w:name="_Toc508284013"/>
      <w:bookmarkStart w:id="108" w:name="_Toc10545"/>
      <w:r>
        <w:rPr>
          <w:rFonts w:hint="eastAsia" w:ascii="宋体" w:hAnsi="宋体" w:cs="宋体"/>
          <w:color w:val="auto"/>
          <w:sz w:val="21"/>
          <w:szCs w:val="21"/>
          <w:highlight w:val="none"/>
        </w:rPr>
        <w:t>发布中标结果</w:t>
      </w:r>
      <w:bookmarkEnd w:id="106"/>
      <w:bookmarkEnd w:id="107"/>
      <w:bookmarkEnd w:id="108"/>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pPr>
        <w:widowControl w:val="0"/>
        <w:tabs>
          <w:tab w:val="left" w:pos="907"/>
        </w:tabs>
        <w:adjustRightInd/>
        <w:snapToGrid/>
        <w:jc w:val="both"/>
        <w:rPr>
          <w:rFonts w:ascii="宋体" w:hAnsi="宋体" w:cs="宋体"/>
          <w:color w:val="auto"/>
          <w:szCs w:val="21"/>
          <w:highlight w:val="none"/>
        </w:rPr>
      </w:pPr>
    </w:p>
    <w:p>
      <w:pPr>
        <w:pStyle w:val="8"/>
        <w:widowControl w:val="0"/>
        <w:numPr>
          <w:ilvl w:val="0"/>
          <w:numId w:val="3"/>
        </w:numPr>
        <w:overflowPunct w:val="0"/>
        <w:rPr>
          <w:rFonts w:ascii="宋体" w:hAnsi="宋体" w:cs="宋体"/>
          <w:color w:val="auto"/>
          <w:sz w:val="21"/>
          <w:szCs w:val="21"/>
          <w:highlight w:val="none"/>
        </w:rPr>
      </w:pPr>
      <w:bookmarkStart w:id="109" w:name="_Toc749"/>
      <w:bookmarkStart w:id="110" w:name="_Toc11420"/>
      <w:r>
        <w:rPr>
          <w:rFonts w:hint="eastAsia" w:ascii="宋体" w:hAnsi="宋体" w:cs="宋体"/>
          <w:color w:val="auto"/>
          <w:sz w:val="21"/>
          <w:szCs w:val="21"/>
          <w:highlight w:val="none"/>
        </w:rPr>
        <w:t>资格后审</w:t>
      </w:r>
      <w:bookmarkEnd w:id="109"/>
      <w:bookmarkEnd w:id="110"/>
    </w:p>
    <w:p>
      <w:pPr>
        <w:pStyle w:val="39"/>
        <w:widowControl w:val="0"/>
        <w:numPr>
          <w:ilvl w:val="0"/>
          <w:numId w:val="4"/>
        </w:numPr>
        <w:tabs>
          <w:tab w:val="left" w:pos="567"/>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111" w:name="_Toc27689"/>
      <w:bookmarkStart w:id="112" w:name="_Toc27302"/>
      <w:r>
        <w:rPr>
          <w:rFonts w:hint="eastAsia" w:ascii="宋体" w:hAnsi="宋体" w:cs="宋体"/>
          <w:color w:val="auto"/>
          <w:sz w:val="21"/>
          <w:szCs w:val="21"/>
          <w:highlight w:val="none"/>
        </w:rPr>
        <w:t>合同的签订与履行</w:t>
      </w:r>
      <w:bookmarkEnd w:id="111"/>
      <w:bookmarkEnd w:id="112"/>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pPr>
        <w:widowControl w:val="0"/>
        <w:tabs>
          <w:tab w:val="left" w:pos="907"/>
        </w:tabs>
        <w:adjustRightInd/>
        <w:snapToGrid/>
        <w:jc w:val="both"/>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113" w:name="_Toc382049124"/>
      <w:bookmarkStart w:id="114" w:name="_Toc303084277"/>
      <w:bookmarkStart w:id="115" w:name="_Toc29009"/>
      <w:bookmarkStart w:id="116" w:name="_Toc19211"/>
      <w:bookmarkStart w:id="117" w:name="_Toc6617"/>
      <w:r>
        <w:rPr>
          <w:rFonts w:hint="eastAsia" w:ascii="宋体" w:hAnsi="宋体" w:cs="宋体"/>
          <w:color w:val="auto"/>
          <w:sz w:val="21"/>
          <w:szCs w:val="21"/>
          <w:highlight w:val="none"/>
        </w:rPr>
        <w:t>履约</w:t>
      </w:r>
      <w:bookmarkEnd w:id="113"/>
      <w:bookmarkEnd w:id="114"/>
      <w:bookmarkEnd w:id="115"/>
      <w:r>
        <w:rPr>
          <w:rFonts w:hint="eastAsia" w:ascii="宋体" w:hAnsi="宋体" w:cs="宋体"/>
          <w:color w:val="auto"/>
          <w:sz w:val="21"/>
          <w:szCs w:val="21"/>
          <w:highlight w:val="none"/>
        </w:rPr>
        <w:t>担保</w:t>
      </w:r>
      <w:bookmarkEnd w:id="116"/>
      <w:bookmarkEnd w:id="117"/>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pPr>
        <w:widowControl w:val="0"/>
        <w:tabs>
          <w:tab w:val="left" w:pos="907"/>
        </w:tabs>
        <w:adjustRightInd/>
        <w:snapToGrid/>
        <w:jc w:val="both"/>
        <w:rPr>
          <w:rFonts w:ascii="宋体" w:hAnsi="宋体" w:cs="宋体"/>
          <w:color w:val="auto"/>
          <w:highlight w:val="none"/>
        </w:rPr>
      </w:pPr>
    </w:p>
    <w:p>
      <w:pPr>
        <w:pStyle w:val="8"/>
        <w:widowControl w:val="0"/>
        <w:numPr>
          <w:ilvl w:val="0"/>
          <w:numId w:val="3"/>
        </w:numPr>
        <w:overflowPunct w:val="0"/>
        <w:rPr>
          <w:rFonts w:ascii="宋体" w:hAnsi="宋体" w:cs="宋体"/>
          <w:color w:val="auto"/>
          <w:sz w:val="21"/>
          <w:szCs w:val="21"/>
          <w:highlight w:val="none"/>
        </w:rPr>
      </w:pPr>
      <w:bookmarkStart w:id="118" w:name="_Toc19347"/>
      <w:bookmarkStart w:id="119" w:name="_Toc18880"/>
      <w:r>
        <w:rPr>
          <w:rFonts w:hint="eastAsia" w:ascii="宋体" w:hAnsi="宋体" w:cs="宋体"/>
          <w:color w:val="auto"/>
          <w:sz w:val="21"/>
          <w:szCs w:val="21"/>
          <w:highlight w:val="none"/>
        </w:rPr>
        <w:t>预付款保函（适用于预付款支付）</w:t>
      </w:r>
      <w:bookmarkEnd w:id="118"/>
      <w:bookmarkEnd w:id="119"/>
    </w:p>
    <w:p>
      <w:pPr>
        <w:pStyle w:val="39"/>
        <w:widowControl w:val="0"/>
        <w:numPr>
          <w:ilvl w:val="0"/>
          <w:numId w:val="4"/>
        </w:numPr>
        <w:tabs>
          <w:tab w:val="left" w:pos="567"/>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pPr>
        <w:widowControl w:val="0"/>
        <w:tabs>
          <w:tab w:val="left" w:pos="907"/>
        </w:tabs>
        <w:adjustRightInd/>
        <w:snapToGrid/>
        <w:ind w:left="567"/>
        <w:jc w:val="both"/>
        <w:rPr>
          <w:rFonts w:ascii="宋体" w:hAnsi="宋体" w:cs="宋体"/>
          <w:color w:val="auto"/>
          <w:szCs w:val="21"/>
          <w:highlight w:val="none"/>
        </w:rPr>
      </w:pPr>
      <w:r>
        <w:rPr>
          <w:rFonts w:hint="eastAsia" w:ascii="宋体" w:hAnsi="宋体" w:cs="宋体"/>
          <w:color w:val="auto"/>
          <w:szCs w:val="21"/>
          <w:highlight w:val="none"/>
        </w:rPr>
        <w:t>（2）必须打印，手写、涂改无效</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pPr>
        <w:rPr>
          <w:rFonts w:ascii="宋体" w:hAnsi="宋体" w:cs="宋体"/>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120" w:name="_Toc27556"/>
      <w:bookmarkStart w:id="121" w:name="_Toc21814"/>
      <w:r>
        <w:rPr>
          <w:rFonts w:hint="eastAsia" w:ascii="宋体" w:hAnsi="宋体" w:cs="宋体"/>
          <w:color w:val="auto"/>
          <w:highlight w:val="none"/>
        </w:rPr>
        <w:t>异议</w:t>
      </w:r>
      <w:bookmarkEnd w:id="120"/>
      <w:bookmarkEnd w:id="121"/>
    </w:p>
    <w:p>
      <w:pPr>
        <w:pStyle w:val="8"/>
        <w:widowControl w:val="0"/>
        <w:numPr>
          <w:ilvl w:val="0"/>
          <w:numId w:val="3"/>
        </w:numPr>
        <w:overflowPunct w:val="0"/>
        <w:rPr>
          <w:rFonts w:ascii="宋体" w:hAnsi="宋体" w:cs="宋体"/>
          <w:color w:val="auto"/>
          <w:sz w:val="21"/>
          <w:szCs w:val="21"/>
          <w:highlight w:val="none"/>
        </w:rPr>
      </w:pPr>
      <w:bookmarkStart w:id="122" w:name="_Toc31457"/>
      <w:bookmarkStart w:id="123" w:name="_Toc9791"/>
      <w:r>
        <w:rPr>
          <w:rFonts w:hint="eastAsia" w:ascii="宋体" w:hAnsi="宋体" w:cs="宋体"/>
          <w:color w:val="auto"/>
          <w:sz w:val="21"/>
          <w:szCs w:val="21"/>
          <w:highlight w:val="none"/>
        </w:rPr>
        <w:t>异议</w:t>
      </w:r>
      <w:bookmarkEnd w:id="122"/>
      <w:bookmarkEnd w:id="123"/>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pPr>
        <w:widowControl w:val="0"/>
        <w:tabs>
          <w:tab w:val="left" w:pos="907"/>
        </w:tabs>
        <w:adjustRightInd/>
        <w:snapToGrid/>
        <w:ind w:firstLine="420" w:firstLineChars="200"/>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pPr>
        <w:rPr>
          <w:rFonts w:ascii="宋体" w:hAnsi="宋体" w:cs="宋体"/>
          <w:color w:val="auto"/>
          <w:highlight w:val="none"/>
        </w:rPr>
      </w:pPr>
    </w:p>
    <w:p>
      <w:pPr>
        <w:pStyle w:val="7"/>
        <w:numPr>
          <w:ilvl w:val="0"/>
          <w:numId w:val="2"/>
        </w:numPr>
        <w:spacing w:before="0" w:after="0" w:line="360" w:lineRule="auto"/>
        <w:jc w:val="center"/>
        <w:rPr>
          <w:rFonts w:ascii="宋体" w:hAnsi="宋体" w:cs="宋体"/>
          <w:color w:val="auto"/>
          <w:highlight w:val="none"/>
        </w:rPr>
      </w:pPr>
      <w:bookmarkStart w:id="124" w:name="_Toc16776"/>
      <w:bookmarkStart w:id="125" w:name="_Toc18965"/>
      <w:r>
        <w:rPr>
          <w:rFonts w:hint="eastAsia" w:ascii="宋体" w:hAnsi="宋体" w:cs="宋体"/>
          <w:color w:val="auto"/>
          <w:highlight w:val="none"/>
        </w:rPr>
        <w:t>其他</w:t>
      </w:r>
      <w:bookmarkEnd w:id="124"/>
      <w:bookmarkEnd w:id="125"/>
    </w:p>
    <w:p>
      <w:pPr>
        <w:pStyle w:val="8"/>
        <w:widowControl w:val="0"/>
        <w:numPr>
          <w:ilvl w:val="0"/>
          <w:numId w:val="3"/>
        </w:numPr>
        <w:overflowPunct w:val="0"/>
        <w:rPr>
          <w:rFonts w:ascii="宋体" w:hAnsi="宋体" w:cs="宋体"/>
          <w:color w:val="auto"/>
          <w:sz w:val="21"/>
          <w:szCs w:val="21"/>
          <w:highlight w:val="none"/>
        </w:rPr>
      </w:pPr>
      <w:bookmarkStart w:id="126" w:name="_Toc1587"/>
      <w:bookmarkStart w:id="127" w:name="_Toc2155"/>
      <w:r>
        <w:rPr>
          <w:rFonts w:hint="eastAsia" w:ascii="宋体" w:hAnsi="宋体" w:cs="宋体"/>
          <w:color w:val="auto"/>
          <w:sz w:val="21"/>
          <w:szCs w:val="21"/>
          <w:highlight w:val="none"/>
        </w:rPr>
        <w:t>采购文件的解释权</w:t>
      </w:r>
      <w:bookmarkEnd w:id="126"/>
      <w:bookmarkEnd w:id="127"/>
    </w:p>
    <w:p>
      <w:pPr>
        <w:pStyle w:val="39"/>
        <w:widowControl w:val="0"/>
        <w:numPr>
          <w:ilvl w:val="0"/>
          <w:numId w:val="4"/>
        </w:numPr>
        <w:tabs>
          <w:tab w:val="left" w:pos="907"/>
        </w:tabs>
        <w:adjustRightInd/>
        <w:snapToGrid/>
        <w:ind w:firstLineChars="0"/>
        <w:jc w:val="both"/>
        <w:rPr>
          <w:rFonts w:ascii="宋体" w:hAnsi="宋体" w:cs="宋体"/>
          <w:vanish/>
          <w:color w:val="auto"/>
          <w:szCs w:val="21"/>
          <w:highlight w:val="none"/>
        </w:rPr>
      </w:pPr>
    </w:p>
    <w:p>
      <w:pPr>
        <w:widowControl w:val="0"/>
        <w:numPr>
          <w:ilvl w:val="1"/>
          <w:numId w:val="3"/>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pPr>
        <w:widowControl w:val="0"/>
        <w:numPr>
          <w:ilvl w:val="1"/>
          <w:numId w:val="9"/>
        </w:numPr>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br w:type="page"/>
      </w:r>
    </w:p>
    <w:p>
      <w:pPr>
        <w:pStyle w:val="6"/>
        <w:spacing w:before="0" w:after="0" w:line="240" w:lineRule="auto"/>
        <w:rPr>
          <w:rFonts w:ascii="宋体" w:hAnsi="宋体" w:eastAsia="宋体" w:cs="宋体"/>
          <w:color w:val="auto"/>
          <w:sz w:val="28"/>
          <w:szCs w:val="28"/>
          <w:highlight w:val="none"/>
        </w:rPr>
      </w:pPr>
      <w:bookmarkStart w:id="128" w:name="_Toc15211"/>
      <w:r>
        <w:rPr>
          <w:rFonts w:hint="eastAsia" w:ascii="宋体" w:hAnsi="宋体" w:eastAsia="宋体" w:cs="宋体"/>
          <w:color w:val="auto"/>
          <w:sz w:val="28"/>
          <w:szCs w:val="28"/>
          <w:highlight w:val="none"/>
        </w:rPr>
        <w:t>第五部分  合同条款格式</w:t>
      </w:r>
      <w:bookmarkEnd w:id="128"/>
      <w:bookmarkStart w:id="129" w:name="_Toc15636"/>
    </w:p>
    <w:bookmarkEnd w:id="129"/>
    <w:p>
      <w:pPr>
        <w:rPr>
          <w:rFonts w:ascii="宋体" w:hAnsi="宋体" w:cs="宋体"/>
          <w:color w:val="auto"/>
          <w:highlight w:val="none"/>
          <w:lang w:bidi="zh-CN"/>
        </w:rPr>
      </w:pPr>
      <w:bookmarkStart w:id="130" w:name="_Hlt109815959"/>
      <w:bookmarkEnd w:id="130"/>
    </w:p>
    <w:p>
      <w:pPr>
        <w:tabs>
          <w:tab w:val="left" w:pos="0"/>
          <w:tab w:val="left" w:pos="993"/>
          <w:tab w:val="left" w:pos="1134"/>
        </w:tabs>
        <w:ind w:right="-71" w:rightChars="-34"/>
        <w:jc w:val="center"/>
        <w:rPr>
          <w:rFonts w:ascii="宋体" w:hAnsi="宋体" w:cs="宋体"/>
          <w:b/>
          <w:bCs/>
          <w:snapToGrid w:val="0"/>
          <w:color w:val="auto"/>
          <w:sz w:val="44"/>
          <w:szCs w:val="44"/>
          <w:highlight w:val="none"/>
        </w:rPr>
      </w:pPr>
      <w:r>
        <w:rPr>
          <w:rFonts w:hint="eastAsia" w:ascii="宋体" w:hAnsi="宋体" w:cs="宋体"/>
          <w:b/>
          <w:bCs/>
          <w:snapToGrid w:val="0"/>
          <w:color w:val="auto"/>
          <w:sz w:val="44"/>
          <w:szCs w:val="44"/>
          <w:highlight w:val="none"/>
        </w:rPr>
        <w:t>2023-2025年东莞市安居建设投资有限公司电梯维保项目合同</w:t>
      </w:r>
    </w:p>
    <w:p>
      <w:pPr>
        <w:tabs>
          <w:tab w:val="left" w:pos="0"/>
          <w:tab w:val="left" w:pos="993"/>
          <w:tab w:val="left" w:pos="1134"/>
        </w:tabs>
        <w:ind w:right="-71" w:rightChars="-34"/>
        <w:rPr>
          <w:rFonts w:ascii="宋体" w:hAnsi="宋体" w:cs="宋体"/>
          <w:snapToGrid w:val="0"/>
          <w:color w:val="auto"/>
          <w:highlight w:val="none"/>
        </w:rPr>
      </w:pPr>
      <w:r>
        <w:rPr>
          <w:rFonts w:hint="eastAsia" w:ascii="宋体" w:hAnsi="宋体" w:cs="宋体"/>
          <w:snapToGrid w:val="0"/>
          <w:color w:val="auto"/>
          <w:highlight w:val="none"/>
        </w:rPr>
        <w:t>甲方: 东莞市安居建设投资有限公司</w:t>
      </w:r>
    </w:p>
    <w:p>
      <w:pPr>
        <w:tabs>
          <w:tab w:val="left" w:pos="0"/>
          <w:tab w:val="left" w:pos="993"/>
          <w:tab w:val="left" w:pos="1134"/>
        </w:tabs>
        <w:ind w:right="-71" w:rightChars="-34"/>
        <w:rPr>
          <w:rFonts w:ascii="宋体" w:hAnsi="宋体" w:cs="宋体"/>
          <w:snapToGrid w:val="0"/>
          <w:color w:val="auto"/>
          <w:highlight w:val="none"/>
        </w:rPr>
      </w:pPr>
      <w:r>
        <w:rPr>
          <w:rFonts w:hint="eastAsia" w:ascii="宋体" w:hAnsi="宋体" w:cs="宋体"/>
          <w:snapToGrid w:val="0"/>
          <w:color w:val="auto"/>
          <w:highlight w:val="none"/>
        </w:rPr>
        <w:t xml:space="preserve">乙方: </w:t>
      </w:r>
    </w:p>
    <w:p>
      <w:pPr>
        <w:rPr>
          <w:rFonts w:ascii="宋体" w:hAnsi="宋体" w:cs="宋体"/>
          <w:color w:val="auto"/>
          <w:highlight w:val="none"/>
        </w:rPr>
      </w:pPr>
    </w:p>
    <w:p>
      <w:pPr>
        <w:tabs>
          <w:tab w:val="left" w:pos="0"/>
          <w:tab w:val="left" w:pos="993"/>
          <w:tab w:val="left" w:pos="1134"/>
        </w:tabs>
        <w:ind w:right="-71" w:rightChars="-34" w:firstLine="420" w:firstLineChars="200"/>
        <w:rPr>
          <w:rFonts w:ascii="宋体" w:hAnsi="宋体" w:cs="宋体"/>
          <w:snapToGrid w:val="0"/>
          <w:color w:val="auto"/>
          <w:highlight w:val="none"/>
        </w:rPr>
      </w:pPr>
      <w:r>
        <w:rPr>
          <w:rFonts w:hint="eastAsia" w:ascii="宋体" w:hAnsi="宋体" w:cs="宋体"/>
          <w:snapToGrid w:val="0"/>
          <w:color w:val="auto"/>
          <w:highlight w:val="none"/>
        </w:rPr>
        <w:t>双方根据国家相关法律、法规，遵循平等、自愿、公平和诚实的原则，经协商一致，订立本合同，详细情况如下：</w:t>
      </w:r>
    </w:p>
    <w:p>
      <w:pPr>
        <w:rPr>
          <w:rFonts w:ascii="宋体" w:hAnsi="宋体" w:cs="宋体"/>
          <w:b/>
          <w:bCs/>
          <w:color w:val="auto"/>
          <w:highlight w:val="none"/>
        </w:rPr>
      </w:pPr>
      <w:bookmarkStart w:id="131" w:name="_Toc38299755"/>
      <w:r>
        <w:rPr>
          <w:rFonts w:hint="eastAsia" w:ascii="宋体" w:hAnsi="宋体" w:cs="宋体"/>
          <w:b/>
          <w:bCs/>
          <w:color w:val="auto"/>
          <w:highlight w:val="none"/>
        </w:rPr>
        <w:t>一、合同价格及承包方式</w:t>
      </w:r>
      <w:bookmarkEnd w:id="131"/>
    </w:p>
    <w:p>
      <w:pPr>
        <w:tabs>
          <w:tab w:val="left" w:pos="0"/>
          <w:tab w:val="left" w:pos="993"/>
          <w:tab w:val="left" w:pos="1134"/>
        </w:tabs>
        <w:ind w:right="-71" w:rightChars="-34" w:firstLine="630" w:firstLineChars="3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bCs/>
          <w:color w:val="auto"/>
          <w:szCs w:val="21"/>
          <w:highlight w:val="none"/>
        </w:rPr>
        <w:t>本合同暂定含税总价款为￥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元（大写人民币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），其中：</w:t>
      </w:r>
      <w:r>
        <w:rPr>
          <w:rFonts w:hint="eastAsia" w:ascii="宋体" w:hAnsi="宋体" w:cs="宋体"/>
          <w:bCs/>
          <w:color w:val="auto"/>
          <w:szCs w:val="21"/>
          <w:highlight w:val="none"/>
          <w:lang w:eastAsia="zh-CN"/>
        </w:rPr>
        <w:t>电梯维保服务费用</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元（大写人民币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增值税税率为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%，税金金额￥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元，不含税合同总价款为￥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电梯配件费用</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元（大写人民币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增值税税率为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%，税金金额￥</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元，不含税合同总价款为￥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合同期间甲方有权按需求调整服务范围，合同期间以合同单价执行。</w:t>
      </w:r>
    </w:p>
    <w:p>
      <w:pPr>
        <w:tabs>
          <w:tab w:val="left" w:pos="0"/>
          <w:tab w:val="left" w:pos="993"/>
          <w:tab w:val="left" w:pos="1134"/>
        </w:tabs>
        <w:ind w:right="-71" w:rightChars="-34" w:firstLine="630" w:firstLineChars="300"/>
        <w:rPr>
          <w:rFonts w:ascii="宋体" w:hAnsi="宋体" w:cs="宋体"/>
          <w:color w:val="auto"/>
          <w:highlight w:val="none"/>
        </w:rPr>
      </w:pPr>
      <w:r>
        <w:rPr>
          <w:rFonts w:hint="eastAsia" w:ascii="宋体" w:hAnsi="宋体" w:cs="宋体"/>
          <w:color w:val="auto"/>
          <w:highlight w:val="none"/>
        </w:rPr>
        <w:t>2、承包方式：</w:t>
      </w:r>
      <w:r>
        <w:rPr>
          <w:rFonts w:hint="eastAsia" w:ascii="宋体" w:hAnsi="宋体" w:cs="宋体"/>
          <w:bCs/>
          <w:color w:val="auto"/>
          <w:szCs w:val="21"/>
          <w:highlight w:val="none"/>
        </w:rPr>
        <w:t>投标报价包含：日常维保费（详见附件2-5）、限速器检测费、年检服务费（含取证）收费配件（详见附件7-9）更换费用、人工费、机械费、运输、保管、管理费、利润、安全防护、文明施工措施项目费、税费、保险费、各种综合费用等一切相关费用（收费配件的费用据实结算）。</w:t>
      </w:r>
    </w:p>
    <w:p>
      <w:pPr>
        <w:rPr>
          <w:rFonts w:ascii="宋体" w:hAnsi="宋体" w:cs="宋体"/>
          <w:b/>
          <w:bCs/>
          <w:color w:val="auto"/>
          <w:highlight w:val="none"/>
        </w:rPr>
      </w:pPr>
      <w:bookmarkStart w:id="132" w:name="_Toc38299756"/>
      <w:r>
        <w:rPr>
          <w:rFonts w:hint="eastAsia" w:ascii="宋体" w:hAnsi="宋体" w:cs="宋体"/>
          <w:b/>
          <w:bCs/>
          <w:color w:val="auto"/>
          <w:highlight w:val="none"/>
        </w:rPr>
        <w:t>二、付款方式</w:t>
      </w:r>
      <w:bookmarkEnd w:id="132"/>
    </w:p>
    <w:p>
      <w:pPr>
        <w:tabs>
          <w:tab w:val="left" w:pos="0"/>
          <w:tab w:val="left" w:pos="993"/>
          <w:tab w:val="left" w:pos="1134"/>
        </w:tabs>
        <w:ind w:right="-71" w:rightChars="-34" w:firstLine="420" w:firstLineChars="200"/>
        <w:rPr>
          <w:rFonts w:ascii="宋体" w:hAnsi="宋体" w:cs="宋体"/>
          <w:bCs/>
          <w:color w:val="auto"/>
          <w:szCs w:val="21"/>
          <w:highlight w:val="none"/>
        </w:rPr>
      </w:pPr>
      <w:r>
        <w:rPr>
          <w:rFonts w:hint="eastAsia" w:ascii="宋体" w:hAnsi="宋体" w:cs="宋体"/>
          <w:bCs/>
          <w:color w:val="auto"/>
          <w:szCs w:val="21"/>
          <w:highlight w:val="none"/>
        </w:rPr>
        <w:t>1、预付款：本项目不设预付款。</w:t>
      </w:r>
    </w:p>
    <w:p>
      <w:pPr>
        <w:ind w:firstLine="420" w:firstLineChars="200"/>
        <w:rPr>
          <w:rFonts w:ascii="宋体" w:hAnsi="宋体" w:cs="宋体"/>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lang w:eastAsia="zh-CN"/>
        </w:rPr>
        <w:t>电梯维保付款方式</w:t>
      </w:r>
      <w:r>
        <w:rPr>
          <w:rFonts w:hint="eastAsia" w:ascii="宋体" w:hAnsi="宋体" w:cs="宋体"/>
          <w:color w:val="auto"/>
          <w:szCs w:val="21"/>
          <w:highlight w:val="none"/>
        </w:rPr>
        <w:t>：每季度（满三个月）可申请一次费用，服务期限最后一个季度的费用结算后支付。投标人每季度提交当季度的保养记录（半月、季度保养记录）及请款资料，经采购人审核无误后支付当季度的费用。</w:t>
      </w:r>
    </w:p>
    <w:p>
      <w:pPr>
        <w:ind w:firstLine="420" w:firstLineChars="200"/>
        <w:rPr>
          <w:rFonts w:ascii="宋体" w:hAnsi="宋体" w:cs="宋体"/>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电梯配件更换付款方式</w:t>
      </w:r>
      <w:r>
        <w:rPr>
          <w:rFonts w:hint="eastAsia" w:ascii="宋体" w:hAnsi="宋体" w:cs="宋体"/>
          <w:color w:val="auto"/>
          <w:szCs w:val="21"/>
          <w:highlight w:val="none"/>
        </w:rPr>
        <w:t>：每季度（满三个月）可申请一次费用，服务期限最后一个季度的费用结算后支付。投标人每季度提交当季度的</w:t>
      </w:r>
      <w:r>
        <w:rPr>
          <w:rFonts w:hint="eastAsia" w:ascii="宋体" w:hAnsi="宋体" w:cs="宋体"/>
          <w:color w:val="auto"/>
          <w:szCs w:val="21"/>
          <w:highlight w:val="none"/>
          <w:lang w:eastAsia="zh-CN"/>
        </w:rPr>
        <w:t>配件更换记录等相关资料、请款资料，</w:t>
      </w:r>
      <w:r>
        <w:rPr>
          <w:rFonts w:hint="eastAsia" w:ascii="宋体" w:hAnsi="宋体" w:cs="宋体"/>
          <w:color w:val="auto"/>
          <w:szCs w:val="21"/>
          <w:highlight w:val="none"/>
        </w:rPr>
        <w:t>经采购人审核无误后支付当季度的费用</w:t>
      </w:r>
      <w:r>
        <w:rPr>
          <w:rFonts w:hint="eastAsia" w:ascii="宋体" w:hAnsi="宋体" w:cs="宋体"/>
          <w:color w:val="auto"/>
          <w:szCs w:val="21"/>
          <w:highlight w:val="none"/>
          <w:lang w:eastAsia="zh-CN"/>
        </w:rPr>
        <w:t>。</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bCs/>
          <w:color w:val="auto"/>
          <w:szCs w:val="21"/>
          <w:highlight w:val="none"/>
        </w:rPr>
        <w:t>4、按照现行税收政策规定，每次付款前，乙方必须提供合法有效、与本合同总价款条款中增值税税率一致的增值税专用发票给甲方，否则甲方有权拒绝付款且不构成违约；若合同执行期间，遇国家税务政策调整所引起的合同价格变化，按照不含税价格调整结算价格。。</w:t>
      </w:r>
    </w:p>
    <w:p>
      <w:pPr>
        <w:rPr>
          <w:rFonts w:ascii="宋体" w:hAnsi="宋体" w:cs="宋体"/>
          <w:b/>
          <w:bCs/>
          <w:color w:val="auto"/>
          <w:highlight w:val="none"/>
        </w:rPr>
      </w:pPr>
      <w:bookmarkStart w:id="133" w:name="_Toc38299757"/>
      <w:r>
        <w:rPr>
          <w:rFonts w:hint="eastAsia" w:ascii="宋体" w:hAnsi="宋体" w:cs="宋体"/>
          <w:b/>
          <w:bCs/>
          <w:color w:val="auto"/>
          <w:highlight w:val="none"/>
        </w:rPr>
        <w:t>三、</w:t>
      </w:r>
      <w:bookmarkEnd w:id="133"/>
      <w:r>
        <w:rPr>
          <w:rFonts w:hint="eastAsia" w:ascii="宋体" w:hAnsi="宋体" w:cs="宋体"/>
          <w:b/>
          <w:bCs/>
          <w:color w:val="auto"/>
          <w:highlight w:val="none"/>
        </w:rPr>
        <w:t>服务期限</w:t>
      </w:r>
    </w:p>
    <w:p>
      <w:pPr>
        <w:tabs>
          <w:tab w:val="left" w:pos="0"/>
          <w:tab w:val="left" w:pos="993"/>
          <w:tab w:val="left" w:pos="1134"/>
        </w:tabs>
        <w:ind w:right="-71" w:rightChars="-34" w:firstLine="420" w:firstLineChars="200"/>
        <w:rPr>
          <w:rFonts w:ascii="宋体" w:hAnsi="宋体" w:cs="宋体"/>
          <w:bCs/>
          <w:color w:val="auto"/>
          <w:szCs w:val="21"/>
          <w:highlight w:val="none"/>
        </w:rPr>
      </w:pPr>
      <w:r>
        <w:rPr>
          <w:rFonts w:hint="eastAsia" w:ascii="宋体" w:hAnsi="宋体" w:cs="宋体"/>
          <w:bCs/>
          <w:color w:val="auto"/>
          <w:szCs w:val="21"/>
          <w:highlight w:val="none"/>
        </w:rPr>
        <w:t>具体服务期限为原维保合同有效期到期后两年。</w:t>
      </w:r>
    </w:p>
    <w:p>
      <w:pPr>
        <w:rPr>
          <w:rFonts w:ascii="宋体" w:hAnsi="宋体" w:cs="宋体"/>
          <w:b/>
          <w:bCs/>
          <w:color w:val="auto"/>
          <w:highlight w:val="none"/>
        </w:rPr>
      </w:pPr>
      <w:r>
        <w:rPr>
          <w:rFonts w:hint="eastAsia" w:ascii="宋体" w:hAnsi="宋体" w:cs="宋体"/>
          <w:b/>
          <w:bCs/>
          <w:color w:val="auto"/>
          <w:highlight w:val="none"/>
        </w:rPr>
        <w:t>四、服务要求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1、服务要求：电梯日常维护保养需执行的国家相关标准、行业标准、地方标准或者其他标准、规范，包括但不限于如下:</w:t>
      </w:r>
    </w:p>
    <w:p>
      <w:pPr>
        <w:ind w:firstLine="420"/>
        <w:rPr>
          <w:rFonts w:ascii="宋体" w:hAnsi="宋体" w:cs="宋体"/>
          <w:bCs/>
          <w:color w:val="auto"/>
          <w:szCs w:val="21"/>
          <w:highlight w:val="none"/>
        </w:rPr>
      </w:pPr>
      <w:r>
        <w:rPr>
          <w:rFonts w:hint="eastAsia" w:ascii="宋体" w:hAnsi="宋体" w:cs="宋体"/>
          <w:bCs/>
          <w:color w:val="auto"/>
          <w:szCs w:val="21"/>
          <w:highlight w:val="none"/>
        </w:rPr>
        <w:t>1.1电梯使用管理与维修保养规则TSG T5001-2009</w:t>
      </w:r>
    </w:p>
    <w:p>
      <w:pPr>
        <w:ind w:firstLine="420"/>
        <w:rPr>
          <w:rFonts w:ascii="宋体" w:hAnsi="宋体" w:cs="宋体"/>
          <w:bCs/>
          <w:color w:val="auto"/>
          <w:szCs w:val="21"/>
          <w:highlight w:val="none"/>
        </w:rPr>
      </w:pPr>
      <w:r>
        <w:rPr>
          <w:rFonts w:hint="eastAsia" w:ascii="宋体" w:hAnsi="宋体" w:cs="宋体"/>
          <w:bCs/>
          <w:color w:val="auto"/>
          <w:szCs w:val="21"/>
          <w:highlight w:val="none"/>
        </w:rPr>
        <w:t>1.2广东省电梯维修保养安全管理规范</w:t>
      </w:r>
    </w:p>
    <w:p>
      <w:pPr>
        <w:ind w:firstLine="420"/>
        <w:rPr>
          <w:rFonts w:ascii="宋体" w:hAnsi="宋体" w:cs="宋体"/>
          <w:bCs/>
          <w:color w:val="auto"/>
          <w:szCs w:val="21"/>
          <w:highlight w:val="none"/>
        </w:rPr>
      </w:pPr>
      <w:r>
        <w:rPr>
          <w:rFonts w:hint="eastAsia" w:ascii="宋体" w:hAnsi="宋体" w:cs="宋体"/>
          <w:bCs/>
          <w:color w:val="auto"/>
          <w:szCs w:val="21"/>
          <w:highlight w:val="none"/>
        </w:rPr>
        <w:t>1.3电梯维修规范GB/T  18775-2002</w:t>
      </w:r>
    </w:p>
    <w:p>
      <w:pPr>
        <w:ind w:firstLine="420"/>
        <w:rPr>
          <w:rFonts w:ascii="宋体" w:hAnsi="宋体" w:cs="宋体"/>
          <w:bCs/>
          <w:color w:val="auto"/>
          <w:szCs w:val="21"/>
          <w:highlight w:val="none"/>
        </w:rPr>
      </w:pPr>
      <w:r>
        <w:rPr>
          <w:rFonts w:hint="eastAsia" w:ascii="宋体" w:hAnsi="宋体" w:cs="宋体"/>
          <w:bCs/>
          <w:color w:val="auto"/>
          <w:szCs w:val="21"/>
          <w:highlight w:val="none"/>
        </w:rPr>
        <w:t>1.4电梯安装使用维护说明书</w:t>
      </w:r>
    </w:p>
    <w:p>
      <w:pPr>
        <w:ind w:firstLine="420"/>
        <w:rPr>
          <w:rFonts w:ascii="宋体" w:hAnsi="宋体" w:cs="宋体"/>
          <w:bCs/>
          <w:color w:val="auto"/>
          <w:szCs w:val="21"/>
          <w:highlight w:val="none"/>
        </w:rPr>
      </w:pPr>
      <w:r>
        <w:rPr>
          <w:rFonts w:hint="eastAsia" w:ascii="宋体" w:hAnsi="宋体" w:cs="宋体"/>
          <w:bCs/>
          <w:color w:val="auto"/>
          <w:szCs w:val="21"/>
          <w:highlight w:val="none"/>
        </w:rPr>
        <w:t>1.5《中华人民共和国特种设备安全法》</w:t>
      </w:r>
    </w:p>
    <w:p>
      <w:pPr>
        <w:ind w:firstLine="420"/>
        <w:rPr>
          <w:rFonts w:ascii="宋体" w:hAnsi="宋体" w:cs="宋体"/>
          <w:bCs/>
          <w:color w:val="auto"/>
          <w:szCs w:val="21"/>
          <w:highlight w:val="none"/>
        </w:rPr>
      </w:pPr>
      <w:r>
        <w:rPr>
          <w:rFonts w:hint="eastAsia" w:ascii="宋体" w:hAnsi="宋体" w:cs="宋体"/>
          <w:bCs/>
          <w:color w:val="auto"/>
          <w:szCs w:val="21"/>
          <w:highlight w:val="none"/>
        </w:rPr>
        <w:t>1.6电梯维护和保养内容包括但不限于以下内容: 电梯例行检查、维修、保养及相关物料、测试服务费；维护、保养用的实验设备费；维保期内因电梯质量问题造成乘客及第三方人身意外伤害的费用及赔偿；维保所需设备搬运、吊装（含二次搬运及吊装）、安装及调试费用；维保用脚手架所需费用；维保时采用的安全措施所需费用；在电梯维保过程中从指定的电源接驳点（单体指定位置）到电梯现场所需临时电缆费用；维保期间所需的水电费用；垃圾清运费：维保期间清理及运走所有与电梯工程有关的废料和垃圾至甲方现场指定地点；技术服务费(包括维保调试、试运行指导以及相关技术人员的差旅费)；对甲方所属人员进行的培训费；维保期内办理相关法定检验机构的年检及更换合格证，并承担所涉及的一切费用。每月提供不少于两次定期保养，每次保养均应填写保养记录表并由甲方签字确认。定期检验时，保养记录交检验人员查阅。</w:t>
      </w:r>
    </w:p>
    <w:p>
      <w:pPr>
        <w:ind w:firstLine="420"/>
        <w:rPr>
          <w:rFonts w:ascii="宋体" w:hAnsi="宋体" w:cs="宋体"/>
          <w:bCs/>
          <w:color w:val="auto"/>
          <w:szCs w:val="21"/>
          <w:highlight w:val="none"/>
        </w:rPr>
      </w:pPr>
      <w:r>
        <w:rPr>
          <w:rFonts w:hint="eastAsia" w:ascii="宋体" w:hAnsi="宋体" w:cs="宋体"/>
          <w:bCs/>
          <w:color w:val="auto"/>
          <w:szCs w:val="21"/>
          <w:highlight w:val="none"/>
        </w:rPr>
        <w:t>1.7常驻人员交通费、住宿费等所有费用。</w:t>
      </w:r>
    </w:p>
    <w:p>
      <w:pPr>
        <w:ind w:firstLine="420"/>
        <w:rPr>
          <w:rFonts w:ascii="宋体" w:hAnsi="宋体" w:cs="宋体"/>
          <w:bCs/>
          <w:color w:val="auto"/>
          <w:szCs w:val="21"/>
          <w:highlight w:val="none"/>
        </w:rPr>
      </w:pPr>
      <w:r>
        <w:rPr>
          <w:rFonts w:hint="eastAsia" w:ascii="宋体" w:hAnsi="宋体" w:cs="宋体"/>
          <w:bCs/>
          <w:color w:val="auto"/>
          <w:szCs w:val="21"/>
          <w:highlight w:val="none"/>
        </w:rPr>
        <w:t>2、驻场人员素质要求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2.1投入本项目的项目经理应具有电气或机械专业等相关中级资质。技术团队应具有电气或机械专业等相关资质。驻点服务要求派驻维保人员提供全年每天24小时的驻场服务，对所有电梯及电梯机房进行定期巡查并记录。驻点人员必须具备特种设备作业（维修）人员资格，要求具有两年或以上工作经验。驻点服务人员为固定人员，合同签署前，所有驻点服务人员应与甲方交底，并提供姓名、通迅号码及有效的特种设备作业人员资格证书复印件（须加盖聘用单位印章）。乙方如需更换人员应与甲方协商。</w:t>
      </w:r>
    </w:p>
    <w:p>
      <w:pPr>
        <w:ind w:firstLine="420"/>
        <w:rPr>
          <w:rFonts w:ascii="宋体" w:hAnsi="宋体" w:cs="宋体"/>
          <w:bCs/>
          <w:color w:val="auto"/>
          <w:szCs w:val="21"/>
          <w:highlight w:val="none"/>
        </w:rPr>
      </w:pPr>
      <w:r>
        <w:rPr>
          <w:rFonts w:hint="eastAsia" w:ascii="宋体" w:hAnsi="宋体" w:cs="宋体"/>
          <w:bCs/>
          <w:color w:val="auto"/>
          <w:szCs w:val="21"/>
          <w:highlight w:val="none"/>
        </w:rPr>
        <w:t>2.2投入本项目的常驻人员应为具有相应作业项目资格证书的特种设备作业人员。</w:t>
      </w:r>
    </w:p>
    <w:p>
      <w:pPr>
        <w:ind w:firstLine="420"/>
        <w:rPr>
          <w:rFonts w:ascii="宋体" w:hAnsi="宋体" w:cs="宋体"/>
          <w:bCs/>
          <w:color w:val="auto"/>
          <w:szCs w:val="21"/>
          <w:highlight w:val="none"/>
        </w:rPr>
      </w:pPr>
      <w:r>
        <w:rPr>
          <w:rFonts w:hint="eastAsia" w:ascii="宋体" w:hAnsi="宋体" w:cs="宋体"/>
          <w:bCs/>
          <w:color w:val="auto"/>
          <w:szCs w:val="21"/>
          <w:highlight w:val="none"/>
        </w:rPr>
        <w:t>2.3甲方需指派一名人员作为本项目的电梯安全负责人，负责对电梯钥匙的使用管理、维护保养记录、修理记录的签字确认，电梯安全隐患提示单的签字确认，对电梯保养、维修、更换的配件予以确认并验收。</w:t>
      </w:r>
    </w:p>
    <w:p>
      <w:pPr>
        <w:ind w:firstLine="420"/>
        <w:rPr>
          <w:rFonts w:ascii="宋体" w:hAnsi="宋体" w:cs="宋体"/>
          <w:bCs/>
          <w:color w:val="auto"/>
          <w:szCs w:val="21"/>
          <w:highlight w:val="none"/>
        </w:rPr>
      </w:pPr>
      <w:r>
        <w:rPr>
          <w:rFonts w:hint="eastAsia" w:ascii="宋体" w:hAnsi="宋体" w:cs="宋体"/>
          <w:bCs/>
          <w:color w:val="auto"/>
          <w:szCs w:val="21"/>
          <w:highlight w:val="none"/>
        </w:rPr>
        <w:t>3、服务费用说明</w:t>
      </w:r>
    </w:p>
    <w:p>
      <w:pPr>
        <w:ind w:firstLine="420"/>
        <w:rPr>
          <w:rFonts w:ascii="宋体" w:hAnsi="宋体" w:cs="宋体"/>
          <w:bCs/>
          <w:color w:val="auto"/>
          <w:szCs w:val="21"/>
          <w:highlight w:val="none"/>
        </w:rPr>
      </w:pPr>
      <w:r>
        <w:rPr>
          <w:rFonts w:hint="eastAsia" w:ascii="宋体" w:hAnsi="宋体" w:cs="宋体"/>
          <w:bCs/>
          <w:color w:val="auto"/>
          <w:szCs w:val="21"/>
          <w:highlight w:val="none"/>
        </w:rPr>
        <w:t>3.1乙方保证并负责所保养及维修的电梯能通过质量技术监督部门及其他有关政府部门主持的年检验或相应的质量资格审核。电梯年检工作由乙方全面负责。若由于中标人的原因而造成年检不合格，由乙方负责一切复检所需费用，直至复检合格为止；乙方未按照规定时间领取电梯检验合格使用证所造成的损失由乙方负责并需同时承担因电梯年检不合格而造成的责任（包括安全使用责任及赔偿责任）。</w:t>
      </w:r>
    </w:p>
    <w:p>
      <w:pPr>
        <w:ind w:firstLine="420"/>
        <w:rPr>
          <w:rFonts w:ascii="宋体" w:hAnsi="宋体" w:cs="宋体"/>
          <w:bCs/>
          <w:color w:val="auto"/>
          <w:szCs w:val="21"/>
          <w:highlight w:val="none"/>
        </w:rPr>
      </w:pPr>
      <w:r>
        <w:rPr>
          <w:rFonts w:hint="eastAsia" w:ascii="宋体" w:hAnsi="宋体" w:cs="宋体"/>
          <w:bCs/>
          <w:color w:val="auto"/>
          <w:szCs w:val="21"/>
          <w:highlight w:val="none"/>
        </w:rPr>
        <w:t>3.2合同期内，电梯维修需更换的设备、零部（配）件及相关材料，收费配件（详见附件7-9）由乙方负责，据实结算（如收费配件无列明，在合同总价中包干）。配件必须提供原厂同规格的全新产品，乙方负责设备、零部（配）件及相关材料的安装（人工费包含在本项目报价内），对更换下来的电梯部件、设备、零部（配）件及相关材料经甲方确认后，由乙方处理。如发现更换的配件非原厂同规格的全新产品，乙方必须立即更换，乙方每次按收费配件价格的20%进行处罚，并暂停支付进度款及结算款。</w:t>
      </w:r>
    </w:p>
    <w:p>
      <w:pPr>
        <w:ind w:firstLine="420"/>
        <w:rPr>
          <w:rFonts w:ascii="宋体" w:hAnsi="宋体" w:cs="宋体"/>
          <w:bCs/>
          <w:color w:val="auto"/>
          <w:szCs w:val="21"/>
          <w:highlight w:val="none"/>
        </w:rPr>
      </w:pPr>
      <w:r>
        <w:rPr>
          <w:rFonts w:hint="eastAsia" w:ascii="宋体" w:hAnsi="宋体" w:cs="宋体"/>
          <w:bCs/>
          <w:color w:val="auto"/>
          <w:szCs w:val="21"/>
          <w:highlight w:val="none"/>
        </w:rPr>
        <w:t>3.3如因使用不当造成电梯故障或损坏，乙方负责及时将其修复或更换，使电梯恢复安全、正常运行，费用按收费配件计算，据实结算（如收费配件无列明，在合同总价中包干）。</w:t>
      </w:r>
    </w:p>
    <w:p>
      <w:pPr>
        <w:ind w:firstLine="420"/>
        <w:rPr>
          <w:rFonts w:ascii="宋体" w:hAnsi="宋体" w:cs="宋体"/>
          <w:bCs/>
          <w:color w:val="auto"/>
          <w:szCs w:val="21"/>
          <w:highlight w:val="none"/>
        </w:rPr>
      </w:pPr>
      <w:r>
        <w:rPr>
          <w:rFonts w:hint="eastAsia" w:ascii="宋体" w:hAnsi="宋体" w:cs="宋体"/>
          <w:bCs/>
          <w:color w:val="auto"/>
          <w:szCs w:val="21"/>
          <w:highlight w:val="none"/>
        </w:rPr>
        <w:t>4、应急培训演练</w:t>
      </w:r>
    </w:p>
    <w:p>
      <w:pPr>
        <w:ind w:firstLine="420"/>
        <w:rPr>
          <w:rFonts w:ascii="宋体" w:hAnsi="宋体" w:cs="宋体"/>
          <w:bCs/>
          <w:color w:val="auto"/>
          <w:szCs w:val="21"/>
          <w:highlight w:val="none"/>
        </w:rPr>
      </w:pPr>
      <w:r>
        <w:rPr>
          <w:rFonts w:hint="eastAsia" w:ascii="宋体" w:hAnsi="宋体" w:cs="宋体"/>
          <w:bCs/>
          <w:color w:val="auto"/>
          <w:szCs w:val="21"/>
          <w:highlight w:val="none"/>
        </w:rPr>
        <w:t>4.1乙方负责制制定电梯应急救援预案，每年组织安排至少2次电梯困人事故演练及2次电梯安全教育培训。</w:t>
      </w:r>
    </w:p>
    <w:p>
      <w:pPr>
        <w:ind w:firstLine="420"/>
        <w:rPr>
          <w:rFonts w:ascii="宋体" w:hAnsi="宋体" w:cs="宋体"/>
          <w:bCs/>
          <w:color w:val="auto"/>
          <w:szCs w:val="21"/>
          <w:highlight w:val="none"/>
        </w:rPr>
      </w:pPr>
      <w:r>
        <w:rPr>
          <w:rFonts w:hint="eastAsia" w:ascii="宋体" w:hAnsi="宋体" w:cs="宋体"/>
          <w:bCs/>
          <w:color w:val="auto"/>
          <w:szCs w:val="21"/>
          <w:highlight w:val="none"/>
        </w:rPr>
        <w:t>4.2做好演练工作的现场照片和事后工作总结记录，并提交甲方存档管理。</w:t>
      </w:r>
    </w:p>
    <w:p>
      <w:pPr>
        <w:ind w:firstLine="420"/>
        <w:rPr>
          <w:rFonts w:ascii="宋体" w:hAnsi="宋体" w:cs="宋体"/>
          <w:bCs/>
          <w:color w:val="auto"/>
          <w:szCs w:val="21"/>
          <w:highlight w:val="none"/>
        </w:rPr>
      </w:pPr>
      <w:r>
        <w:rPr>
          <w:rFonts w:hint="eastAsia" w:ascii="宋体" w:hAnsi="宋体" w:cs="宋体"/>
          <w:bCs/>
          <w:color w:val="auto"/>
          <w:szCs w:val="21"/>
          <w:highlight w:val="none"/>
        </w:rPr>
        <w:t>4.3应急演练内容包括但不限于电梯困人时的应急分工、实操方案、紧急联络方式等。</w:t>
      </w:r>
    </w:p>
    <w:p>
      <w:pPr>
        <w:ind w:firstLine="420"/>
        <w:rPr>
          <w:rFonts w:ascii="宋体" w:hAnsi="宋体" w:cs="宋体"/>
          <w:bCs/>
          <w:color w:val="auto"/>
          <w:szCs w:val="21"/>
          <w:highlight w:val="none"/>
        </w:rPr>
      </w:pPr>
      <w:r>
        <w:rPr>
          <w:rFonts w:hint="eastAsia" w:ascii="宋体" w:hAnsi="宋体" w:cs="宋体"/>
          <w:bCs/>
          <w:color w:val="auto"/>
          <w:szCs w:val="21"/>
          <w:highlight w:val="none"/>
        </w:rPr>
        <w:t>5、应急响应服务要求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5.1乙方须提供24小时的应急响应服务（建立应急服务热线电话），乙方收到故障通知后应立即派员到现场处理（在30分钟内赶到现场）。收到电梯困人故障或电梯事故通知后应在（20分钟内）到达现场实施救援，对其它及电子板原因的故障应在3天时间内解决。一般故障，接到故障通知后应2小时内到现场进行处置；如属重大故障，则乙方需于三天内维修完成并调试完毕交付甲方使用，在维修电梯期间做好标识安全告示及设置围栏围闭管理。</w:t>
      </w:r>
    </w:p>
    <w:p>
      <w:pPr>
        <w:ind w:firstLine="420"/>
        <w:rPr>
          <w:rFonts w:ascii="宋体" w:hAnsi="宋体" w:cs="宋体"/>
          <w:bCs/>
          <w:color w:val="auto"/>
          <w:szCs w:val="21"/>
          <w:highlight w:val="none"/>
        </w:rPr>
      </w:pPr>
      <w:r>
        <w:rPr>
          <w:rFonts w:hint="eastAsia" w:ascii="宋体" w:hAnsi="宋体" w:cs="宋体"/>
          <w:bCs/>
          <w:color w:val="auto"/>
          <w:szCs w:val="21"/>
          <w:highlight w:val="none"/>
        </w:rPr>
        <w:t>5.2本项目乙方须保证合同期内电梯符合所在地政府有关部门对电梯的有关技术规定与规范要求，必须保证电梯安全运行，及时更换已磨损、失效不符合要求的设备、零部（配）件及其它相关的材料，收费配件（详见附件7-9）由乙方负责，据实结算（如收费配件无列明，在合同总价中包干）。配件必须提供原厂同规格的全新产品，中标人负责设备、零部（配）件及相关材料的安装（人工费包含在本项目报价内），对更换下来的电梯部件、设备、零部（配）件及相关材料经甲方确认后，由乙方处理。发现更换的配件非原厂同规格的全新产品，中标人必须立即更换。对于恒常设备、零部件及其他材料应在12小进内完成更换，非恒常的应在3天内完成更换。</w:t>
      </w:r>
    </w:p>
    <w:p>
      <w:pPr>
        <w:ind w:firstLine="420"/>
        <w:rPr>
          <w:rFonts w:ascii="宋体" w:hAnsi="宋体" w:cs="宋体"/>
          <w:bCs/>
          <w:color w:val="auto"/>
          <w:szCs w:val="21"/>
          <w:highlight w:val="none"/>
        </w:rPr>
      </w:pPr>
      <w:r>
        <w:rPr>
          <w:rFonts w:hint="eastAsia" w:ascii="宋体" w:hAnsi="宋体" w:cs="宋体"/>
          <w:bCs/>
          <w:color w:val="auto"/>
          <w:szCs w:val="21"/>
          <w:highlight w:val="none"/>
        </w:rPr>
        <w:t>6、电梯维保工作要求</w:t>
      </w:r>
    </w:p>
    <w:p>
      <w:pPr>
        <w:ind w:firstLine="420"/>
        <w:rPr>
          <w:rFonts w:ascii="宋体" w:hAnsi="宋体" w:cs="宋体"/>
          <w:bCs/>
          <w:color w:val="auto"/>
          <w:szCs w:val="21"/>
          <w:highlight w:val="none"/>
        </w:rPr>
      </w:pPr>
      <w:r>
        <w:rPr>
          <w:rFonts w:hint="eastAsia" w:ascii="宋体" w:hAnsi="宋体" w:cs="宋体"/>
          <w:bCs/>
          <w:color w:val="auto"/>
          <w:szCs w:val="21"/>
          <w:highlight w:val="none"/>
        </w:rPr>
        <w:t>6.1电梯日常维护保养项目（内容）和要求见附件。</w:t>
      </w:r>
    </w:p>
    <w:p>
      <w:pPr>
        <w:ind w:firstLine="420"/>
        <w:rPr>
          <w:rFonts w:ascii="宋体" w:hAnsi="宋体" w:cs="宋体"/>
          <w:bCs/>
          <w:color w:val="auto"/>
          <w:szCs w:val="21"/>
          <w:highlight w:val="none"/>
        </w:rPr>
      </w:pPr>
      <w:r>
        <w:rPr>
          <w:rFonts w:hint="eastAsia" w:ascii="宋体" w:hAnsi="宋体" w:cs="宋体"/>
          <w:bCs/>
          <w:color w:val="auto"/>
          <w:szCs w:val="21"/>
          <w:highlight w:val="none"/>
        </w:rPr>
        <w:t>6.2合同期内，乙方必须按照国家相关规定完成半月、季度、半年、年度例行巡检、维修保养以及合同具体要求维修保养服务的工作，维保需2人以上维保人员到场开展维保。</w:t>
      </w:r>
    </w:p>
    <w:p>
      <w:pPr>
        <w:ind w:firstLine="420"/>
        <w:rPr>
          <w:rFonts w:ascii="宋体" w:hAnsi="宋体" w:cs="宋体"/>
          <w:bCs/>
          <w:color w:val="auto"/>
          <w:szCs w:val="21"/>
          <w:highlight w:val="none"/>
        </w:rPr>
      </w:pPr>
      <w:r>
        <w:rPr>
          <w:rFonts w:hint="eastAsia" w:ascii="宋体" w:hAnsi="宋体" w:cs="宋体"/>
          <w:bCs/>
          <w:color w:val="auto"/>
          <w:szCs w:val="21"/>
          <w:highlight w:val="none"/>
        </w:rPr>
        <w:t>6.3乙方负责电梯机房、井道底坑、电梯空调等的清洁保养并负责根据天气及时调整电梯空调温度和风量。</w:t>
      </w:r>
    </w:p>
    <w:p>
      <w:pPr>
        <w:ind w:firstLine="420"/>
        <w:rPr>
          <w:rFonts w:ascii="宋体" w:hAnsi="宋体" w:cs="宋体"/>
          <w:bCs/>
          <w:color w:val="auto"/>
          <w:szCs w:val="21"/>
          <w:highlight w:val="none"/>
        </w:rPr>
      </w:pPr>
      <w:r>
        <w:rPr>
          <w:rFonts w:hint="eastAsia" w:ascii="宋体" w:hAnsi="宋体" w:cs="宋体"/>
          <w:bCs/>
          <w:color w:val="auto"/>
          <w:szCs w:val="21"/>
          <w:highlight w:val="none"/>
        </w:rPr>
        <w:t>6.4对更换下来的电梯部件、设备、零部（配）件及相关材料经甲方确认后，由乙方处理。</w:t>
      </w:r>
    </w:p>
    <w:p>
      <w:pPr>
        <w:ind w:firstLine="420"/>
        <w:rPr>
          <w:rFonts w:ascii="宋体" w:hAnsi="宋体" w:cs="宋体"/>
          <w:bCs/>
          <w:color w:val="auto"/>
          <w:szCs w:val="21"/>
          <w:highlight w:val="none"/>
        </w:rPr>
      </w:pPr>
      <w:r>
        <w:rPr>
          <w:rFonts w:hint="eastAsia" w:ascii="宋体" w:hAnsi="宋体" w:cs="宋体"/>
          <w:bCs/>
          <w:color w:val="auto"/>
          <w:szCs w:val="21"/>
          <w:highlight w:val="none"/>
        </w:rPr>
        <w:t>6.5在日常维护保养期届满时，须经法定定期检验并无因维护保养原因的不合格项目存在。</w:t>
      </w:r>
    </w:p>
    <w:p>
      <w:pPr>
        <w:ind w:firstLine="420"/>
        <w:rPr>
          <w:rFonts w:ascii="宋体" w:hAnsi="宋体" w:cs="宋体"/>
          <w:bCs/>
          <w:color w:val="auto"/>
          <w:szCs w:val="21"/>
          <w:highlight w:val="none"/>
        </w:rPr>
      </w:pPr>
      <w:r>
        <w:rPr>
          <w:rFonts w:hint="eastAsia" w:ascii="宋体" w:hAnsi="宋体" w:cs="宋体"/>
          <w:bCs/>
          <w:color w:val="auto"/>
          <w:szCs w:val="21"/>
          <w:highlight w:val="none"/>
        </w:rPr>
        <w:t>6.6对上级单位检查存在问题整改必须在3天内整改完毕，并报告甲方检查通过。</w:t>
      </w:r>
    </w:p>
    <w:p>
      <w:pPr>
        <w:ind w:firstLine="420"/>
        <w:rPr>
          <w:rFonts w:ascii="宋体" w:hAnsi="宋体" w:cs="宋体"/>
          <w:bCs/>
          <w:color w:val="auto"/>
          <w:szCs w:val="21"/>
          <w:highlight w:val="none"/>
        </w:rPr>
      </w:pPr>
      <w:r>
        <w:rPr>
          <w:rFonts w:hint="eastAsia" w:ascii="宋体" w:hAnsi="宋体" w:cs="宋体"/>
          <w:bCs/>
          <w:color w:val="auto"/>
          <w:szCs w:val="21"/>
          <w:highlight w:val="none"/>
        </w:rPr>
        <w:t>6.7电梯轿厢内安全检验标志、应急救援电话、保险投保标志等标识由乙方负责张贴，要求整洁、规范，并定期清洁电梯内饰、外面门面等不规范或脱落标识并及进更换补充。</w:t>
      </w:r>
    </w:p>
    <w:p>
      <w:pPr>
        <w:ind w:firstLine="420"/>
        <w:rPr>
          <w:rFonts w:ascii="宋体" w:hAnsi="宋体" w:cs="宋体"/>
          <w:bCs/>
          <w:color w:val="auto"/>
          <w:szCs w:val="21"/>
          <w:highlight w:val="none"/>
        </w:rPr>
      </w:pPr>
      <w:r>
        <w:rPr>
          <w:rFonts w:hint="eastAsia" w:ascii="宋体" w:hAnsi="宋体" w:cs="宋体"/>
          <w:bCs/>
          <w:color w:val="auto"/>
          <w:szCs w:val="21"/>
          <w:highlight w:val="none"/>
        </w:rPr>
        <w:t>6.8合同期内，每台电梯年审前乙方必须提供完整的自检报告书交甲方存档。</w:t>
      </w:r>
    </w:p>
    <w:p>
      <w:pPr>
        <w:ind w:firstLine="420"/>
        <w:rPr>
          <w:rFonts w:ascii="宋体" w:hAnsi="宋体" w:cs="宋体"/>
          <w:bCs/>
          <w:color w:val="auto"/>
          <w:szCs w:val="21"/>
          <w:highlight w:val="none"/>
        </w:rPr>
      </w:pPr>
      <w:r>
        <w:rPr>
          <w:rFonts w:hint="eastAsia" w:ascii="宋体" w:hAnsi="宋体" w:cs="宋体"/>
          <w:bCs/>
          <w:color w:val="auto"/>
          <w:szCs w:val="21"/>
          <w:highlight w:val="none"/>
        </w:rPr>
        <w:t>6.9由于乙方维修保养电梯不到位导致发生人身和机械事故，其事故责任和损失由乙方承担，并赔偿甲方因此造成的一切损失。</w:t>
      </w:r>
    </w:p>
    <w:p>
      <w:pPr>
        <w:ind w:firstLine="420"/>
        <w:rPr>
          <w:rFonts w:ascii="宋体" w:hAnsi="宋体" w:cs="宋体"/>
          <w:bCs/>
          <w:color w:val="auto"/>
          <w:szCs w:val="21"/>
          <w:highlight w:val="none"/>
        </w:rPr>
      </w:pPr>
      <w:r>
        <w:rPr>
          <w:rFonts w:hint="eastAsia" w:ascii="宋体" w:hAnsi="宋体" w:cs="宋体"/>
          <w:bCs/>
          <w:color w:val="auto"/>
          <w:szCs w:val="21"/>
          <w:highlight w:val="none"/>
        </w:rPr>
        <w:t>6.10每月双方根据发生的电梯故障分析表，采取百分制对乙方电梯维保质量作出总体考核评估，考核标准见附件。</w:t>
      </w:r>
    </w:p>
    <w:p>
      <w:pPr>
        <w:ind w:firstLine="420"/>
        <w:rPr>
          <w:rFonts w:ascii="宋体" w:hAnsi="宋体" w:cs="宋体"/>
          <w:bCs/>
          <w:color w:val="auto"/>
          <w:szCs w:val="21"/>
          <w:highlight w:val="none"/>
        </w:rPr>
      </w:pPr>
      <w:r>
        <w:rPr>
          <w:rFonts w:hint="eastAsia" w:ascii="宋体" w:hAnsi="宋体" w:cs="宋体"/>
          <w:bCs/>
          <w:color w:val="auto"/>
          <w:szCs w:val="21"/>
          <w:highlight w:val="none"/>
        </w:rPr>
        <w:t>6.11乙方需每月如实统计并提供每台电梯运行情况数据（如发生故障或困人事件次数等），书面交给甲方。</w:t>
      </w:r>
    </w:p>
    <w:p>
      <w:pPr>
        <w:rPr>
          <w:rFonts w:ascii="宋体" w:hAnsi="宋体" w:cs="宋体"/>
          <w:b/>
          <w:bCs/>
          <w:color w:val="auto"/>
          <w:highlight w:val="none"/>
        </w:rPr>
      </w:pPr>
      <w:r>
        <w:rPr>
          <w:rFonts w:hint="eastAsia" w:ascii="宋体" w:hAnsi="宋体" w:cs="宋体"/>
          <w:b/>
          <w:bCs/>
          <w:color w:val="auto"/>
          <w:highlight w:val="none"/>
        </w:rPr>
        <w:t>五、乙方责任</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为了确保电梯的正常运行和安全使用，乙方必须按TSG/T5002-2017《电梯使用管理与维护保养规则》的要求（附：东莞市特种行业协会印制的日常维护保养记录表）每月提供不少于两次定期保养，每次保养均应填写保养记录表并由甲方人员签字确认。定期检验时，保养记录交检验人员查阅。</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2、现场作业人员不得少于两人，并向甲方出示《特种设备作业人员证》。</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3、乙方进行24小时急修热线服务：电话号码：</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4、乙方收到故障通知后应立即派员到现场处理（在30分钟内赶到现场）。收到电梯困人故障或电梯事故通知后应在（20分钟内）到达现场实施救援。</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4、不得以任何形式分包、转包维保工程。</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5、乙方在保养中发现设备安全隐患或存在问题，必须以书面形式通知甲方。该书面文件须由乙方负责人签名和盖章后呈报甲方。</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6、乙方每年定期对被保养设备作出检查鉴定，根据实际情况拟定修理计划和费用预算提交给甲方。</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7、维保设备所需工具、仪器设备由乙方自理。</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8、乙方负责代甲方办理设备的定期检验手续，按法定时间到特种设备检验部门，办理定期检验。如因维保工作失职而检验不合格的，复检费用由乙方支付。</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10、乙方维保人员在甲方场所必须遵守甲方的一切规章制度和安全条例。</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11、乙方维保人员收款时必须出具本公司正式的发票（增值税专用发票），如无有效凭证可拒绝付款并投诉本公司负责人：</w:t>
      </w:r>
      <w:r>
        <w:rPr>
          <w:rFonts w:hint="eastAsia" w:ascii="宋体" w:hAnsi="宋体" w:cs="宋体"/>
          <w:color w:val="auto"/>
          <w:highlight w:val="none"/>
          <w:u w:val="single"/>
        </w:rPr>
        <w:t xml:space="preserve">           </w:t>
      </w:r>
      <w:r>
        <w:rPr>
          <w:rFonts w:hint="eastAsia" w:ascii="宋体" w:hAnsi="宋体" w:cs="宋体"/>
          <w:color w:val="auto"/>
          <w:highlight w:val="none"/>
        </w:rPr>
        <w:t>，投诉电话：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rPr>
          <w:rFonts w:ascii="宋体" w:hAnsi="宋体" w:cs="宋体"/>
          <w:b/>
          <w:bCs/>
          <w:color w:val="auto"/>
          <w:highlight w:val="none"/>
        </w:rPr>
      </w:pPr>
      <w:r>
        <w:rPr>
          <w:rFonts w:hint="eastAsia" w:ascii="宋体" w:hAnsi="宋体" w:cs="宋体"/>
          <w:b/>
          <w:bCs/>
          <w:color w:val="auto"/>
          <w:highlight w:val="none"/>
        </w:rPr>
        <w:t>六、甲方责任：</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 xml:space="preserve">1、遵守特种设备的使用规范和有关的安全规定。 </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2、电梯设备如出现困人故障，甲方应当采取必要措施安抚电梯轿厢内被困人员。并立即通知乙方派员到现场处理，确保被困人员的安全。</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3、保证电梯的用电、消防、防雷、通风、通道、电话通讯、监控和报警设备可靠。</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4、及时处理乙方提交的对设备的书面意见，不强行使用未排除安全隐患的设备，保证设备的安全运行。</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5、对乙方维修保养工作进行验收并在维保记录卡上签名确认或阐述意见。</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6、按合同及时支付维修保养费用。</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7、支付维修过程更换零配件的费用（有关费用由甲、乙双方另行协商确定）。</w:t>
      </w:r>
    </w:p>
    <w:p>
      <w:pPr>
        <w:rPr>
          <w:rFonts w:ascii="宋体" w:hAnsi="宋体" w:cs="宋体"/>
          <w:b/>
          <w:bCs/>
          <w:color w:val="auto"/>
          <w:highlight w:val="none"/>
        </w:rPr>
      </w:pPr>
      <w:r>
        <w:rPr>
          <w:rFonts w:hint="eastAsia" w:ascii="宋体" w:hAnsi="宋体" w:cs="宋体"/>
          <w:b/>
          <w:bCs/>
          <w:color w:val="auto"/>
          <w:highlight w:val="none"/>
        </w:rPr>
        <w:t>七、违约责任：</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1、本合同生效后，甲乙双方均应履行本合同约定的义务。甲乙任何一方不能全面履行合同条款，均属违约。违约所造成的经济损失和责任概由违约方承担。</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2、甲方违约</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甲方有按合同约定及时支付乙方当月维保费用的义务，甲方逾期不支付乙方维修保费的，甲方应按每日0.1%的利率就未支付款项向乙方支付违约金，但最多不超过合同金额的5%。逾期付款超过30日的，乙方有权解除合同。</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3、乙方违约</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乙方没有按合同为甲方履行设备保养或急修服务的，甲方有权拒付当月维保费用；乙方两次以上违反合同的，视同乙方违约，甲方有权终止合同。</w:t>
      </w:r>
    </w:p>
    <w:p>
      <w:pPr>
        <w:rPr>
          <w:rFonts w:ascii="宋体" w:hAnsi="宋体" w:cs="宋体"/>
          <w:b/>
          <w:bCs/>
          <w:color w:val="auto"/>
          <w:highlight w:val="none"/>
        </w:rPr>
      </w:pPr>
      <w:r>
        <w:rPr>
          <w:rFonts w:hint="eastAsia" w:ascii="宋体" w:hAnsi="宋体" w:cs="宋体"/>
          <w:b/>
          <w:bCs/>
          <w:color w:val="auto"/>
          <w:highlight w:val="none"/>
        </w:rPr>
        <w:t>八、解决合同纠纷的方式</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甲乙双方在履行合同过程中发生争议，应协商解决，协商不成时，依法向甲方所在地人民法院起诉。</w:t>
      </w:r>
    </w:p>
    <w:p>
      <w:pPr>
        <w:rPr>
          <w:rFonts w:ascii="宋体" w:hAnsi="宋体" w:cs="宋体"/>
          <w:b/>
          <w:bCs/>
          <w:color w:val="auto"/>
          <w:highlight w:val="none"/>
        </w:rPr>
      </w:pPr>
      <w:r>
        <w:rPr>
          <w:rFonts w:hint="eastAsia" w:ascii="宋体" w:hAnsi="宋体" w:cs="宋体"/>
          <w:b/>
          <w:bCs/>
          <w:color w:val="auto"/>
          <w:highlight w:val="none"/>
        </w:rPr>
        <w:t>九、其他</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本合同一式</w:t>
      </w:r>
      <w:r>
        <w:rPr>
          <w:rFonts w:hint="eastAsia" w:ascii="宋体" w:hAnsi="宋体" w:cs="宋体"/>
          <w:b/>
          <w:color w:val="auto"/>
          <w:highlight w:val="none"/>
          <w:u w:val="single"/>
        </w:rPr>
        <w:t>肆</w:t>
      </w:r>
      <w:r>
        <w:rPr>
          <w:rFonts w:hint="eastAsia" w:ascii="宋体" w:hAnsi="宋体" w:cs="宋体"/>
          <w:color w:val="auto"/>
          <w:highlight w:val="none"/>
        </w:rPr>
        <w:t>份，双方各执</w:t>
      </w:r>
      <w:r>
        <w:rPr>
          <w:rFonts w:hint="eastAsia" w:ascii="宋体" w:hAnsi="宋体" w:cs="宋体"/>
          <w:b/>
          <w:color w:val="auto"/>
          <w:highlight w:val="none"/>
          <w:u w:val="single"/>
        </w:rPr>
        <w:t>贰</w:t>
      </w:r>
      <w:r>
        <w:rPr>
          <w:rFonts w:hint="eastAsia" w:ascii="宋体" w:hAnsi="宋体" w:cs="宋体"/>
          <w:color w:val="auto"/>
          <w:highlight w:val="none"/>
        </w:rPr>
        <w:t>份，具有同等法律效力，经双方法人代表或委托代表人签字盖章后正式生效，直到合同执行完毕失效。</w:t>
      </w:r>
    </w:p>
    <w:p>
      <w:pPr>
        <w:tabs>
          <w:tab w:val="left" w:pos="0"/>
          <w:tab w:val="left" w:pos="993"/>
          <w:tab w:val="left" w:pos="1134"/>
        </w:tabs>
        <w:ind w:right="-71" w:rightChars="-34" w:firstLine="420" w:firstLineChars="200"/>
        <w:rPr>
          <w:rFonts w:ascii="宋体" w:hAnsi="宋体" w:cs="宋体"/>
          <w:color w:val="auto"/>
          <w:highlight w:val="none"/>
        </w:rPr>
      </w:pPr>
      <w:r>
        <w:rPr>
          <w:rFonts w:hint="eastAsia" w:ascii="宋体" w:hAnsi="宋体" w:cs="宋体"/>
          <w:color w:val="auto"/>
          <w:highlight w:val="none"/>
        </w:rPr>
        <w:t>本合同未尽事宜，则双方可另行协商，所签订的补充协议，为本合同不可分割的一部分，具有同等法律效力。</w:t>
      </w:r>
    </w:p>
    <w:p>
      <w:pPr>
        <w:rPr>
          <w:rFonts w:ascii="宋体" w:hAnsi="宋体" w:cs="宋体"/>
          <w:b/>
          <w:bCs/>
          <w:color w:val="auto"/>
          <w:highlight w:val="none"/>
        </w:rPr>
      </w:pPr>
      <w:r>
        <w:rPr>
          <w:rFonts w:hint="eastAsia" w:ascii="宋体" w:hAnsi="宋体" w:cs="宋体"/>
          <w:b/>
          <w:bCs/>
          <w:color w:val="auto"/>
          <w:highlight w:val="none"/>
        </w:rPr>
        <w:t>十、附件</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甲方（盖章）：                     乙方（盖章）： </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法人或代理人：                    法人或代理人：</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联系电话：                        联系电话：</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开户名：                          开户名： </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 xml:space="preserve">开户银行：                        开户银行： </w:t>
      </w:r>
    </w:p>
    <w:p>
      <w:pPr>
        <w:spacing w:before="100" w:beforeAutospacing="1" w:after="100" w:afterAutospacing="1" w:line="480" w:lineRule="atLeast"/>
        <w:rPr>
          <w:rFonts w:ascii="宋体" w:hAnsi="宋体" w:cs="宋体"/>
          <w:color w:val="auto"/>
          <w:highlight w:val="none"/>
        </w:rPr>
      </w:pPr>
      <w:r>
        <w:rPr>
          <w:rFonts w:hint="eastAsia" w:ascii="宋体" w:hAnsi="宋体" w:cs="宋体"/>
          <w:color w:val="auto"/>
          <w:highlight w:val="none"/>
        </w:rPr>
        <w:t>账    号：                        账    号：</w:t>
      </w:r>
    </w:p>
    <w:p>
      <w:pPr>
        <w:tabs>
          <w:tab w:val="left" w:pos="1386"/>
        </w:tabs>
        <w:rPr>
          <w:rFonts w:ascii="宋体" w:hAnsi="宋体" w:cs="宋体"/>
          <w:color w:val="auto"/>
          <w:highlight w:val="none"/>
        </w:rPr>
      </w:pPr>
      <w:r>
        <w:rPr>
          <w:rFonts w:hint="eastAsia" w:ascii="宋体" w:hAnsi="宋体" w:cs="宋体"/>
          <w:color w:val="auto"/>
          <w:highlight w:val="none"/>
        </w:rPr>
        <w:t>日    期：                        日    期：</w:t>
      </w:r>
    </w:p>
    <w:p>
      <w:pPr>
        <w:rPr>
          <w:rFonts w:ascii="宋体" w:hAnsi="宋体" w:cs="宋体"/>
          <w:color w:val="auto"/>
          <w:kern w:val="2"/>
          <w:sz w:val="28"/>
          <w:szCs w:val="28"/>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附件1</w:t>
      </w:r>
    </w:p>
    <w:tbl>
      <w:tblPr>
        <w:tblStyle w:val="28"/>
        <w:tblpPr w:leftFromText="180" w:rightFromText="180" w:vertAnchor="text" w:horzAnchor="page" w:tblpX="1500"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905"/>
        <w:gridCol w:w="1800"/>
        <w:gridCol w:w="1218"/>
        <w:gridCol w:w="724"/>
        <w:gridCol w:w="1182"/>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03"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5"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800"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218"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设备型号</w:t>
            </w:r>
          </w:p>
        </w:tc>
        <w:tc>
          <w:tcPr>
            <w:tcW w:w="724"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层数</w:t>
            </w:r>
          </w:p>
        </w:tc>
        <w:tc>
          <w:tcPr>
            <w:tcW w:w="1182"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制造厂</w:t>
            </w:r>
          </w:p>
        </w:tc>
        <w:tc>
          <w:tcPr>
            <w:tcW w:w="2329" w:type="dxa"/>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使用证编号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莞寓·都会广场店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JOYMORE-6</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6/6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快意电梯股份有限公司</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311010104201902943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莞寓·创业新村1号店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10/10</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311010076201955102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莞寓·创业新村2号店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311010076201955103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莞寓·智荟谷1号店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KONE</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5/5</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通力</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311010076201942383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莞寓·汇众店</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8/8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快意电梯股份有限公司</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311010104201800666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6</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7</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莞寓·市人才安居社区-A区2栋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31104419002015090101</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8</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莞寓·市人才安居社区-A区3栋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31104419002015090104</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9</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莞寓·市人才安居社区-A区4栋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31104419002015090096</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10</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莞寓·市人才安居社区-A区5栋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31104419002015090093</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莞寓·市人才安居社区-A区6栋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16/16</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31104419002015090094</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莞寓·市人才安居社区-A区7栋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19/19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31104419002015090106</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莞寓·市人才安居社区-A区8栋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31704419002007060164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莞寓·市人才安居社区-A区9栋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莞寓·市人才安居社区-A区10栋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16</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莞寓·市人才安居社区-A区11栋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9/9</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17</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莞寓·市人才安居社区-A区12栋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31104419002007050238</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31104419002007050237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18</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莞寓·市人才安居社区-A区13栋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31104419002007050239</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31404419002007050236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19</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莞寓·市人才安居社区-A区14栋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 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20</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莞寓·市人才安居社区-A区15栋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OTISSweet</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31104419002015090092</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31104419002015090091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21</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莞寓·市人才安居社区-B区16栋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31104419002007060322</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22</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莞寓·市人才安居社区-B区17栋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18/18</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lang w:bidi="ar"/>
              </w:rPr>
            </w:pPr>
            <w:r>
              <w:rPr>
                <w:rFonts w:hint="eastAsia" w:ascii="宋体" w:hAnsi="宋体" w:cs="宋体"/>
                <w:color w:val="auto"/>
                <w:szCs w:val="21"/>
                <w:highlight w:val="none"/>
                <w:lang w:bidi="ar"/>
              </w:rPr>
              <w:t>311044190002007060320</w:t>
            </w:r>
          </w:p>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23</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莞寓·市人才安居社区-B区18栋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0TIS3100R2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24</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莞寓·市人才安居社区-B区19栋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3"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25</w:t>
            </w:r>
          </w:p>
        </w:tc>
        <w:tc>
          <w:tcPr>
            <w:tcW w:w="1905"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莞寓·市人才安居社区-B区20栋</w:t>
            </w:r>
          </w:p>
        </w:tc>
        <w:tc>
          <w:tcPr>
            <w:tcW w:w="1800"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曳引驱动乘客电梯</w:t>
            </w:r>
          </w:p>
        </w:tc>
        <w:tc>
          <w:tcPr>
            <w:tcW w:w="1218"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OTIS3100R2</w:t>
            </w:r>
          </w:p>
        </w:tc>
        <w:tc>
          <w:tcPr>
            <w:tcW w:w="724"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 xml:space="preserve"> 11/11</w:t>
            </w:r>
          </w:p>
        </w:tc>
        <w:tc>
          <w:tcPr>
            <w:tcW w:w="1182"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奥的斯</w:t>
            </w:r>
          </w:p>
        </w:tc>
        <w:tc>
          <w:tcPr>
            <w:tcW w:w="2329" w:type="dxa"/>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lang w:bidi="ar"/>
              </w:rPr>
              <w:t>31104419002007060338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61" w:type="dxa"/>
            <w:gridSpan w:val="7"/>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1.莞寓·都会广场店原维保合同有效期至2024年8月14日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2.莞寓·智荟谷1号店原维保合同有效期至2024年3月7日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3.莞寓·创业新村1号店原维保合同有效期至2024年8月14日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4.莞寓·创业新村2号店原维保合同有效期至2024年6月25日</w:t>
            </w:r>
          </w:p>
          <w:p>
            <w:pPr>
              <w:spacing w:line="25" w:lineRule="atLeast"/>
              <w:rPr>
                <w:rFonts w:ascii="宋体" w:hAnsi="宋体" w:cs="宋体"/>
                <w:color w:val="auto"/>
                <w:szCs w:val="21"/>
                <w:highlight w:val="none"/>
              </w:rPr>
            </w:pPr>
            <w:r>
              <w:rPr>
                <w:rFonts w:hint="eastAsia" w:ascii="宋体" w:hAnsi="宋体" w:cs="宋体"/>
                <w:color w:val="auto"/>
                <w:szCs w:val="21"/>
                <w:highlight w:val="none"/>
              </w:rPr>
              <w:t>5.莞寓·市人才安居社区原维保合同有效期至2023年12月31日</w:t>
            </w:r>
          </w:p>
          <w:p>
            <w:pPr>
              <w:spacing w:line="25" w:lineRule="atLeast"/>
              <w:rPr>
                <w:rFonts w:ascii="宋体" w:hAnsi="宋体" w:cs="宋体"/>
                <w:color w:val="auto"/>
                <w:szCs w:val="21"/>
                <w:highlight w:val="none"/>
              </w:rPr>
            </w:pPr>
            <w:r>
              <w:rPr>
                <w:rFonts w:hint="eastAsia" w:ascii="宋体" w:hAnsi="宋体" w:cs="宋体"/>
                <w:bCs/>
                <w:color w:val="auto"/>
                <w:szCs w:val="21"/>
                <w:highlight w:val="none"/>
              </w:rPr>
              <w:t>6.莞寓·汇众店</w:t>
            </w:r>
            <w:r>
              <w:rPr>
                <w:rFonts w:hint="eastAsia" w:ascii="宋体" w:hAnsi="宋体" w:cs="宋体"/>
                <w:color w:val="auto"/>
                <w:szCs w:val="21"/>
                <w:highlight w:val="none"/>
              </w:rPr>
              <w:t>原维保合同有效期至2024年5月30日</w:t>
            </w:r>
          </w:p>
        </w:tc>
      </w:tr>
    </w:tbl>
    <w:p>
      <w:pPr>
        <w:ind w:firstLine="420"/>
        <w:rPr>
          <w:rFonts w:ascii="宋体" w:hAnsi="宋体" w:cs="宋体"/>
          <w:b/>
          <w:bCs/>
          <w:color w:val="auto"/>
          <w:szCs w:val="21"/>
          <w:highlight w:val="none"/>
        </w:rPr>
      </w:pPr>
      <w:r>
        <w:rPr>
          <w:rFonts w:hint="eastAsia" w:ascii="宋体" w:hAnsi="宋体" w:cs="宋体"/>
          <w:b/>
          <w:bCs/>
          <w:color w:val="auto"/>
          <w:szCs w:val="21"/>
          <w:highlight w:val="none"/>
        </w:rPr>
        <w:t>备注：</w:t>
      </w:r>
      <w:r>
        <w:rPr>
          <w:rFonts w:hint="eastAsia" w:ascii="宋体" w:hAnsi="宋体" w:cs="宋体"/>
          <w:color w:val="auto"/>
          <w:szCs w:val="21"/>
          <w:highlight w:val="none"/>
        </w:rPr>
        <w:t>电梯共</w:t>
      </w:r>
      <w:r>
        <w:rPr>
          <w:rFonts w:ascii="宋体" w:hAnsi="宋体" w:cs="宋体"/>
          <w:color w:val="auto"/>
          <w:szCs w:val="21"/>
          <w:highlight w:val="none"/>
        </w:rPr>
        <w:t>37</w:t>
      </w:r>
      <w:r>
        <w:rPr>
          <w:rFonts w:hint="eastAsia" w:ascii="宋体" w:hAnsi="宋体" w:cs="宋体"/>
          <w:color w:val="auto"/>
          <w:szCs w:val="21"/>
          <w:highlight w:val="none"/>
        </w:rPr>
        <w:t>樘，其中莞寓市人才安居社区</w:t>
      </w:r>
      <w:r>
        <w:rPr>
          <w:rFonts w:ascii="宋体" w:hAnsi="宋体" w:cs="宋体"/>
          <w:color w:val="auto"/>
          <w:szCs w:val="21"/>
          <w:highlight w:val="none"/>
        </w:rPr>
        <w:t>32</w:t>
      </w:r>
      <w:r>
        <w:rPr>
          <w:rFonts w:hint="eastAsia" w:ascii="宋体" w:hAnsi="宋体" w:cs="宋体"/>
          <w:color w:val="auto"/>
          <w:szCs w:val="21"/>
          <w:highlight w:val="none"/>
        </w:rPr>
        <w:t>樘、智荟谷1樘、汇众店1樘、创业新村1号店1樘、创业新村2号店1樘、都会广场店1樘。</w:t>
      </w:r>
    </w:p>
    <w:p>
      <w:pPr>
        <w:pStyle w:val="2"/>
        <w:spacing w:line="240" w:lineRule="auto"/>
        <w:ind w:firstLine="210"/>
        <w:rPr>
          <w:color w:val="auto"/>
          <w:sz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附件2</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34"/>
        <w:gridCol w:w="3528"/>
        <w:gridCol w:w="48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27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b/>
                <w:bCs/>
                <w:color w:val="auto"/>
                <w:szCs w:val="21"/>
                <w:highlight w:val="none"/>
              </w:rPr>
            </w:pPr>
            <w:r>
              <w:rPr>
                <w:rFonts w:hint="eastAsia" w:ascii="宋体" w:hAnsi="宋体" w:cs="宋体"/>
                <w:b/>
                <w:bCs/>
                <w:color w:val="auto"/>
                <w:szCs w:val="21"/>
                <w:highlight w:val="none"/>
              </w:rPr>
              <w:t>半月保养项目内容及要求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52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813"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34"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528"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813"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 xml:space="preserve">附件3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8"/>
        <w:gridCol w:w="3395"/>
        <w:gridCol w:w="49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292"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季度保养项目内容及要求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292"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95"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4939"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58"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95"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939"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spacing w:line="25" w:lineRule="atLeast"/>
        <w:rPr>
          <w:rFonts w:ascii="宋体" w:hAnsi="宋体" w:cs="宋体"/>
          <w:b/>
          <w:bCs/>
          <w:color w:val="auto"/>
          <w:szCs w:val="21"/>
          <w:highlight w:val="none"/>
        </w:rPr>
      </w:pPr>
    </w:p>
    <w:p>
      <w:pPr>
        <w:spacing w:line="25" w:lineRule="atLeast"/>
        <w:rPr>
          <w:rFonts w:ascii="宋体" w:hAnsi="宋体" w:cs="宋体"/>
          <w:b/>
          <w:bCs/>
          <w:color w:val="auto"/>
          <w:szCs w:val="21"/>
          <w:highlight w:val="none"/>
        </w:rPr>
      </w:pPr>
    </w:p>
    <w:p>
      <w:pPr>
        <w:spacing w:line="25" w:lineRule="atLeast"/>
        <w:rPr>
          <w:rFonts w:ascii="宋体" w:hAnsi="宋体" w:cs="宋体"/>
          <w:b/>
          <w:bCs/>
          <w:color w:val="auto"/>
          <w:szCs w:val="21"/>
          <w:highlight w:val="none"/>
        </w:rPr>
      </w:pPr>
      <w:r>
        <w:rPr>
          <w:rFonts w:hint="eastAsia" w:ascii="宋体" w:hAnsi="宋体" w:cs="宋体"/>
          <w:b/>
          <w:bCs/>
          <w:color w:val="auto"/>
          <w:szCs w:val="21"/>
          <w:highlight w:val="none"/>
        </w:rPr>
        <w:t xml:space="preserve">附件4 </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83"/>
        <w:gridCol w:w="3384"/>
        <w:gridCol w:w="49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32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半年度保养项目内容及要求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电动机与减速机联轴器螺栓</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曳引轮、导向轮轴承部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制动器上检测开关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46</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控制柜内各接线端子</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47</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控制柜各仪表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显示正确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48</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井道、对重、轿顶各反绳轮轴承部</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49</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曳引绳、补偿绳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50</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曳引绳绳头组合</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螺母无松动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51</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限速器钢丝绳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52</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层门、轿门门扇</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53</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对重缓冲距</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54</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补偿链(绳)与轿厢、对重接合处</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55</w:t>
            </w:r>
          </w:p>
        </w:tc>
        <w:tc>
          <w:tcPr>
            <w:tcW w:w="3384"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上下极限开关</w:t>
            </w:r>
          </w:p>
        </w:tc>
        <w:tc>
          <w:tcPr>
            <w:tcW w:w="4958"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983"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56</w:t>
            </w:r>
          </w:p>
        </w:tc>
        <w:tc>
          <w:tcPr>
            <w:tcW w:w="3384"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其他项目</w:t>
            </w:r>
          </w:p>
        </w:tc>
        <w:tc>
          <w:tcPr>
            <w:tcW w:w="4958"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p>
        </w:tc>
      </w:tr>
    </w:tbl>
    <w:p>
      <w:pPr>
        <w:rPr>
          <w:rFonts w:ascii="宋体" w:hAnsi="宋体" w:cs="宋体"/>
          <w:color w:val="auto"/>
          <w:szCs w:val="21"/>
          <w:highlight w:val="none"/>
        </w:rPr>
      </w:pPr>
    </w:p>
    <w:p>
      <w:pPr>
        <w:pStyle w:val="2"/>
        <w:spacing w:line="240" w:lineRule="auto"/>
        <w:ind w:firstLine="210"/>
        <w:rPr>
          <w:color w:val="auto"/>
          <w:sz w:val="21"/>
          <w:highlight w:val="none"/>
        </w:rPr>
      </w:pPr>
    </w:p>
    <w:p>
      <w:pPr>
        <w:rPr>
          <w:rFonts w:ascii="宋体" w:hAnsi="宋体" w:cs="宋体"/>
          <w:b/>
          <w:bCs/>
          <w:color w:val="auto"/>
          <w:szCs w:val="21"/>
          <w:highlight w:val="none"/>
        </w:rPr>
      </w:pPr>
      <w:r>
        <w:rPr>
          <w:rFonts w:hint="eastAsia" w:ascii="宋体" w:hAnsi="宋体" w:cs="宋体"/>
          <w:b/>
          <w:bCs/>
          <w:color w:val="auto"/>
          <w:szCs w:val="21"/>
          <w:highlight w:val="none"/>
        </w:rPr>
        <w:t>附件5</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65"/>
        <w:gridCol w:w="3388"/>
        <w:gridCol w:w="5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9465" w:type="dxa"/>
            <w:gridSpan w:val="3"/>
            <w:tcBorders>
              <w:top w:val="single" w:color="auto" w:sz="12" w:space="0"/>
              <w:left w:val="single" w:color="auto" w:sz="12"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年度保养项目内容及要求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维保项目(内容)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维保基本要求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机房、滑轮间环境</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清洁，门窗完好，照明正常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手动紧急操作装置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齐全，在指定位置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曳引机</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运行时无异常振动和异常声响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制动器各销轴部位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润滑，动作灵活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制动器间隙</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打开时制动衬与制动轮不应发生摩擦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编码器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清洁，安装牢固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限速器各销轴部位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润滑，转动灵活；电气开关正常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清洁，防护栏安全可靠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轿顶检修开关、急停开关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导靴上油杯</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吸油毛毡齐全，油量适宜，油杯无泄漏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对重块及其压板</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对重块无松动，压板紧固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井道照明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轿厢照明、风扇、应急照明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轿厢检修开关、急停开关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轿内报警装置、对讲系统</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轿内显示、指令按钮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轿门安全装置(安全触板，光幕、光电等)</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轿门门锁电气触点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19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轿门运行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开启和关闭工作正常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轿厢平层精度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层站召唤、层楼显示</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齐全、有效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层门地坎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层门自动关门装置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层门门锁自动复位</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用层门钥匙打开手动开锁装置释放后，层门门锁能自动复位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层门门锁电气触点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清洁，触点接触良好，接线可靠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层门锁紧元件啮合长度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不小于 7mm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底坑环境</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清洁，无渗水、积水，照明正常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底坑急停开关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29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油量适宜，除蜗杆伸出端外均无渗漏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制动衬</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位置脉冲发生器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选层器动静触点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清洁，无烧蚀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曳引轮槽、曳引钢丝绳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清洁，无严重油腻，张力均匀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限速器轮槽、限速器钢丝绳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清洁，无严重油腻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靴衬、滚轮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验证轿门关闭的电气安全装置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层门、轿门系统中传动钢丝绳、链条、胶带</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按照制造单位要求进行清洁、调整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层门门导靴</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39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消防开关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工作正常，功能有效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耗能缓冲器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电气安全装置功能有效，油量适宜，柱塞无锈蚀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限速器张紧轮装置和电气安全装置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电动机与减速机联轴器螺栓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曳引轮、导向轮轴承部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曳引轮槽</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制动器上检测开关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工作正常，制动器动作可靠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控制柜内各接线端子</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各接线紧固、整齐，线号齐全清晰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控制柜各仪表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显示正确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井道、对重、轿顶各反绳轮轴承部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无异常声，无振动，润滑良好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49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曳引绳、补偿绳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曳引绳绳头组合</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螺母无松动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限速器钢丝绳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磨损量、断丝数不超过制造单位要求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层门、轿门门扇</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门扇各相关间隙符合标准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对重缓冲距</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补偿链(绳)与轿厢、对重接合处</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上下极限开关</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减速机润滑油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按照制造单位要求适时更换，保证油质符合要求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控制柜接触器，继电器触点</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接触良好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制动器铁芯(柱塞)</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进行清洁、润滑、检查，磨损量不超过制造单位要求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59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制动器制动弹簧压缩量</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符合制造单位要求，保持有足够的制动力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导电回路绝缘性能测试</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符合标准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61</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限速器安全钳联动试验(每 2年进行一次限速器动作速度校验)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62</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上行超速保护装置动作试验</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工作正常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63</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轿顶、轿厢架、轿门及其附件安装螺栓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64</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轿厢和对重的导轨支架</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65</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轿厢和对重的导轨</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清洁，压板牢固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66</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随行电缆</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无损伤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67</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层门装置和地坎</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无影响正常使用的变形，各安装螺栓紧固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68</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轿厢称重装置</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准确有效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69</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安全钳钳座</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4"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70</w:t>
            </w:r>
          </w:p>
        </w:tc>
        <w:tc>
          <w:tcPr>
            <w:tcW w:w="3388"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轿底各安装螺栓</w:t>
            </w:r>
          </w:p>
        </w:tc>
        <w:tc>
          <w:tcPr>
            <w:tcW w:w="5312"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紧固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765" w:type="dxa"/>
            <w:tcBorders>
              <w:top w:val="single" w:color="auto" w:sz="4" w:space="0"/>
              <w:left w:val="single" w:color="auto" w:sz="12" w:space="0"/>
              <w:bottom w:val="single" w:color="auto" w:sz="12" w:space="0"/>
              <w:right w:val="single" w:color="auto" w:sz="4" w:space="0"/>
            </w:tcBorders>
            <w:vAlign w:val="center"/>
          </w:tcPr>
          <w:p>
            <w:pPr>
              <w:spacing w:line="25" w:lineRule="atLeast"/>
              <w:jc w:val="center"/>
              <w:rPr>
                <w:rFonts w:ascii="宋体" w:hAnsi="宋体" w:cs="宋体"/>
                <w:color w:val="auto"/>
                <w:szCs w:val="21"/>
                <w:highlight w:val="none"/>
              </w:rPr>
            </w:pPr>
            <w:r>
              <w:rPr>
                <w:rFonts w:hint="eastAsia" w:ascii="宋体" w:hAnsi="宋体" w:cs="宋体"/>
                <w:color w:val="auto"/>
                <w:szCs w:val="21"/>
                <w:highlight w:val="none"/>
              </w:rPr>
              <w:t>71</w:t>
            </w:r>
          </w:p>
        </w:tc>
        <w:tc>
          <w:tcPr>
            <w:tcW w:w="3388"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缓冲器</w:t>
            </w:r>
          </w:p>
        </w:tc>
        <w:tc>
          <w:tcPr>
            <w:tcW w:w="5312"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rPr>
            </w:pPr>
            <w:r>
              <w:rPr>
                <w:rFonts w:hint="eastAsia" w:ascii="宋体" w:hAnsi="宋体" w:cs="宋体"/>
                <w:color w:val="auto"/>
                <w:szCs w:val="21"/>
                <w:highlight w:val="none"/>
              </w:rPr>
              <w:t>固定，无松动</w:t>
            </w:r>
          </w:p>
        </w:tc>
      </w:tr>
    </w:tbl>
    <w:p>
      <w:pPr>
        <w:pStyle w:val="39"/>
        <w:spacing w:line="25" w:lineRule="atLeast"/>
        <w:ind w:firstLine="0" w:firstLineChars="0"/>
        <w:rPr>
          <w:rFonts w:ascii="宋体" w:hAnsi="宋体" w:cs="宋体"/>
          <w:b/>
          <w:bCs/>
          <w:color w:val="auto"/>
          <w:szCs w:val="21"/>
          <w:highlight w:val="none"/>
        </w:rPr>
      </w:pPr>
    </w:p>
    <w:p>
      <w:pPr>
        <w:pStyle w:val="39"/>
        <w:spacing w:line="25" w:lineRule="atLeast"/>
        <w:ind w:firstLine="0" w:firstLineChars="0"/>
        <w:rPr>
          <w:rFonts w:ascii="宋体" w:hAnsi="宋体" w:cs="宋体"/>
          <w:b/>
          <w:bCs/>
          <w:color w:val="auto"/>
          <w:szCs w:val="21"/>
          <w:highlight w:val="none"/>
        </w:rPr>
      </w:pPr>
    </w:p>
    <w:p>
      <w:pPr>
        <w:pStyle w:val="39"/>
        <w:spacing w:line="25" w:lineRule="atLeast"/>
        <w:ind w:firstLine="0" w:firstLineChars="0"/>
        <w:rPr>
          <w:rFonts w:ascii="宋体" w:hAnsi="宋体" w:cs="宋体"/>
          <w:b/>
          <w:bCs/>
          <w:color w:val="auto"/>
          <w:szCs w:val="21"/>
          <w:highlight w:val="none"/>
        </w:rPr>
      </w:pPr>
    </w:p>
    <w:p>
      <w:pPr>
        <w:pStyle w:val="39"/>
        <w:spacing w:line="25" w:lineRule="atLeast"/>
        <w:ind w:firstLine="0" w:firstLineChars="0"/>
        <w:rPr>
          <w:rFonts w:ascii="宋体" w:hAnsi="宋体" w:cs="宋体"/>
          <w:b/>
          <w:bCs/>
          <w:color w:val="auto"/>
          <w:szCs w:val="21"/>
          <w:highlight w:val="none"/>
        </w:rPr>
      </w:pPr>
    </w:p>
    <w:p>
      <w:pPr>
        <w:pStyle w:val="39"/>
        <w:spacing w:line="25" w:lineRule="atLeast"/>
        <w:ind w:firstLine="0" w:firstLineChars="0"/>
        <w:rPr>
          <w:rFonts w:ascii="宋体" w:hAnsi="宋体" w:cs="宋体"/>
          <w:color w:val="auto"/>
          <w:szCs w:val="21"/>
          <w:highlight w:val="none"/>
        </w:rPr>
      </w:pPr>
      <w:r>
        <w:rPr>
          <w:rFonts w:hint="eastAsia" w:ascii="宋体" w:hAnsi="宋体" w:cs="宋体"/>
          <w:b/>
          <w:bCs/>
          <w:color w:val="auto"/>
          <w:szCs w:val="21"/>
          <w:highlight w:val="none"/>
        </w:rPr>
        <w:t>附件6 电梯维保质量考核标准</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3"/>
        <w:gridCol w:w="2340"/>
        <w:gridCol w:w="4376"/>
        <w:gridCol w:w="1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tcBorders>
              <w:top w:val="single" w:color="auto" w:sz="12"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项目</w:t>
            </w:r>
          </w:p>
        </w:tc>
        <w:tc>
          <w:tcPr>
            <w:tcW w:w="2743" w:type="dxa"/>
            <w:gridSpan w:val="2"/>
            <w:tcBorders>
              <w:top w:val="single" w:color="auto" w:sz="12" w:space="0"/>
              <w:left w:val="single" w:color="auto" w:sz="4" w:space="0"/>
              <w:bottom w:val="single" w:color="auto" w:sz="4" w:space="0"/>
              <w:right w:val="single" w:color="auto" w:sz="4" w:space="0"/>
            </w:tcBorders>
            <w:vAlign w:val="center"/>
          </w:tcPr>
          <w:p>
            <w:pPr>
              <w:spacing w:line="25" w:lineRule="atLeast"/>
              <w:ind w:left="-355" w:leftChars="-169" w:firstLine="1673" w:firstLineChars="797"/>
              <w:rPr>
                <w:rFonts w:ascii="宋体" w:hAnsi="宋体" w:cs="宋体"/>
                <w:color w:val="auto"/>
                <w:szCs w:val="21"/>
                <w:highlight w:val="none"/>
                <w:lang w:val="zh-CN"/>
              </w:rPr>
            </w:pPr>
            <w:r>
              <w:rPr>
                <w:rFonts w:hint="eastAsia" w:ascii="宋体" w:hAnsi="宋体" w:cs="宋体"/>
                <w:color w:val="auto"/>
                <w:szCs w:val="21"/>
                <w:highlight w:val="none"/>
                <w:lang w:val="zh-CN"/>
              </w:rPr>
              <w:t>内容</w:t>
            </w:r>
          </w:p>
        </w:tc>
        <w:tc>
          <w:tcPr>
            <w:tcW w:w="4376" w:type="dxa"/>
            <w:tcBorders>
              <w:top w:val="single" w:color="auto" w:sz="12" w:space="0"/>
              <w:left w:val="single" w:color="auto" w:sz="4" w:space="0"/>
              <w:bottom w:val="single" w:color="auto" w:sz="4" w:space="0"/>
              <w:right w:val="single" w:color="auto" w:sz="4" w:space="0"/>
            </w:tcBorders>
            <w:vAlign w:val="center"/>
          </w:tcPr>
          <w:p>
            <w:pPr>
              <w:spacing w:line="25" w:lineRule="atLeast"/>
              <w:ind w:firstLine="1365" w:firstLineChars="650"/>
              <w:rPr>
                <w:rFonts w:ascii="宋体" w:hAnsi="宋体" w:cs="宋体"/>
                <w:color w:val="auto"/>
                <w:szCs w:val="21"/>
                <w:highlight w:val="none"/>
                <w:lang w:val="zh-CN"/>
              </w:rPr>
            </w:pPr>
            <w:r>
              <w:rPr>
                <w:rFonts w:hint="eastAsia" w:ascii="宋体" w:hAnsi="宋体" w:cs="宋体"/>
                <w:color w:val="auto"/>
                <w:szCs w:val="21"/>
                <w:highlight w:val="none"/>
                <w:lang w:val="zh-CN"/>
              </w:rPr>
              <w:t>内容</w:t>
            </w:r>
          </w:p>
        </w:tc>
        <w:tc>
          <w:tcPr>
            <w:tcW w:w="1805" w:type="dxa"/>
            <w:tcBorders>
              <w:top w:val="single" w:color="auto" w:sz="12"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扣分方式</w:t>
            </w:r>
          </w:p>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按每月统计计算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A类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投标人工作完毕后电梯未能恢复运行</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投标人工作完毕后并签订（电梯维保报告书）电梯未能恢复运行</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发生电梯故障困人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发生电梯故障困人（电梯停电，客户原因除外）</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B类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维保过程中，因漏做保养项目而造成电梯故障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维保过程中，因漏做保养项目（按合同维保项目表内容保养）而造成电梯故障</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每次扣2分（困人扣2分）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维保过程中，工作不认真，造成电梯故障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维保过程中，工作不认真，造成电梯故障</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对机械元件变化，老化情况，没有及时作出检查，而造成电梯故障</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对机械元件在变化情况下，没有及时作出检查，而造成故障发生（非人为损坏，非目测可判断老化除外）</w:t>
            </w:r>
          </w:p>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对电器元件在损坏情况下，没有及时作出检查，而造成故障发生（非人为损坏，自然老化除外）</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C类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在维保工作前后，未能向招标人相关管理部门通报</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在维保工作前，后。未能向招标人相关管理部门通报（请明确各项目需向其申请负责人）</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接获困人故障通知后，未能合同约定到达现场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接获困人故障通知后，未能在20分钟内到达现场处理</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每次扣5分，并按合同扣除该电梯当月维保费10﹪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接获一般故障通知后，未能在</w:t>
            </w:r>
            <w:r>
              <w:rPr>
                <w:rFonts w:hint="eastAsia" w:ascii="宋体" w:hAnsi="宋体" w:cs="宋体"/>
                <w:color w:val="auto"/>
                <w:szCs w:val="21"/>
                <w:highlight w:val="none"/>
              </w:rPr>
              <w:t>3</w:t>
            </w:r>
            <w:r>
              <w:rPr>
                <w:rFonts w:hint="eastAsia" w:ascii="宋体" w:hAnsi="宋体" w:cs="宋体"/>
                <w:color w:val="auto"/>
                <w:szCs w:val="21"/>
                <w:highlight w:val="none"/>
                <w:lang w:val="zh-CN"/>
              </w:rPr>
              <w:t>0分钟内到达现场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接获一般故障（困人故障除外）通知后，未能在</w:t>
            </w:r>
            <w:r>
              <w:rPr>
                <w:rFonts w:hint="eastAsia" w:ascii="宋体" w:hAnsi="宋体" w:cs="宋体"/>
                <w:color w:val="auto"/>
                <w:szCs w:val="21"/>
                <w:highlight w:val="none"/>
              </w:rPr>
              <w:t>3</w:t>
            </w:r>
            <w:r>
              <w:rPr>
                <w:rFonts w:hint="eastAsia" w:ascii="宋体" w:hAnsi="宋体" w:cs="宋体"/>
                <w:color w:val="auto"/>
                <w:szCs w:val="21"/>
                <w:highlight w:val="none"/>
                <w:lang w:val="zh-CN"/>
              </w:rPr>
              <w:t>0分钟内到达故障现场处理</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每次扣2分，并按合同扣除该电梯当月维保费10﹪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D类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如在工作过程中，不慎损坏/破坏公寓设施</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如在工作过程中，不慎损坏/破坏公寓之设施</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按价赔偿，并每次扣2分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发生电梯照明，楼层指示灯，按钮出现故障时，未能在接到通知后12小时内解决</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发生电梯照明，楼层指示灯，按钮出现故障时，未能在接到通知后12小时内解决</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如接获客方要求提供协助工作，但未能准时安排人员到场</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如接获招标人要求提供协助工作（在合同条款内容需协助工作范围内），但未能于1小时内安排人员到场</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E类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着装不整齐，待人不礼貌引起客户投诉</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着装不整齐，待人不礼貌引起客户投诉</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维保时无设置围栏围闭及工作完毕无及时清理遗留垃圾</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维保时无设置围栏围闭及工作完毕无及时清理遗留垃圾</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restart"/>
            <w:tcBorders>
              <w:top w:val="single" w:color="auto" w:sz="4" w:space="0"/>
              <w:left w:val="single" w:color="auto" w:sz="12"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F类</w:t>
            </w: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已确定设备发生故障，但3天内无法确定引起故障的原因</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已确定设备发生故障，但3天内无法确定引起故障的原因</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已找到故障位置，但3天内无法确定引起故障的原因</w:t>
            </w:r>
          </w:p>
        </w:tc>
        <w:tc>
          <w:tcPr>
            <w:tcW w:w="4376" w:type="dxa"/>
            <w:tcBorders>
              <w:top w:val="single" w:color="auto" w:sz="4" w:space="0"/>
              <w:left w:val="single" w:color="auto" w:sz="4" w:space="0"/>
              <w:bottom w:val="single" w:color="auto" w:sz="4"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已找到故障位置，但3天内无法确定引起故障的原因</w:t>
            </w:r>
          </w:p>
        </w:tc>
        <w:tc>
          <w:tcPr>
            <w:tcW w:w="1805" w:type="dxa"/>
            <w:tcBorders>
              <w:top w:val="single" w:color="auto" w:sz="4" w:space="0"/>
              <w:left w:val="single" w:color="auto" w:sz="4" w:space="0"/>
              <w:bottom w:val="single" w:color="auto" w:sz="4"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7" w:type="dxa"/>
            <w:vMerge w:val="continue"/>
            <w:tcBorders>
              <w:top w:val="single" w:color="auto" w:sz="4" w:space="0"/>
              <w:left w:val="single" w:color="auto" w:sz="12" w:space="0"/>
              <w:bottom w:val="single" w:color="auto" w:sz="12" w:space="0"/>
              <w:right w:val="single" w:color="auto" w:sz="4" w:space="0"/>
            </w:tcBorders>
            <w:vAlign w:val="center"/>
          </w:tcPr>
          <w:p>
            <w:pPr>
              <w:rPr>
                <w:rFonts w:ascii="宋体" w:hAnsi="宋体" w:cs="宋体"/>
                <w:color w:val="auto"/>
                <w:szCs w:val="21"/>
                <w:highlight w:val="none"/>
                <w:lang w:val="zh-CN"/>
              </w:rPr>
            </w:pPr>
          </w:p>
        </w:tc>
        <w:tc>
          <w:tcPr>
            <w:tcW w:w="403"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3</w:t>
            </w:r>
          </w:p>
        </w:tc>
        <w:tc>
          <w:tcPr>
            <w:tcW w:w="2340"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无法从技术上判别客方所投诉的故障现象是误解还是虚报</w:t>
            </w:r>
          </w:p>
        </w:tc>
        <w:tc>
          <w:tcPr>
            <w:tcW w:w="4376" w:type="dxa"/>
            <w:tcBorders>
              <w:top w:val="single" w:color="auto" w:sz="4" w:space="0"/>
              <w:left w:val="single" w:color="auto" w:sz="4" w:space="0"/>
              <w:bottom w:val="single" w:color="auto" w:sz="12" w:space="0"/>
              <w:right w:val="single" w:color="auto" w:sz="4"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无法从技术上判别客方所投诉的故障现象是误解还是虚报</w:t>
            </w:r>
          </w:p>
        </w:tc>
        <w:tc>
          <w:tcPr>
            <w:tcW w:w="1805" w:type="dxa"/>
            <w:tcBorders>
              <w:top w:val="single" w:color="auto" w:sz="4" w:space="0"/>
              <w:left w:val="single" w:color="auto" w:sz="4" w:space="0"/>
              <w:bottom w:val="single" w:color="auto" w:sz="12" w:space="0"/>
              <w:right w:val="single" w:color="auto" w:sz="12" w:space="0"/>
            </w:tcBorders>
            <w:vAlign w:val="center"/>
          </w:tcPr>
          <w:p>
            <w:pPr>
              <w:spacing w:line="25" w:lineRule="atLeast"/>
              <w:rPr>
                <w:rFonts w:ascii="宋体" w:hAnsi="宋体" w:cs="宋体"/>
                <w:color w:val="auto"/>
                <w:szCs w:val="21"/>
                <w:highlight w:val="none"/>
                <w:lang w:val="zh-CN"/>
              </w:rPr>
            </w:pPr>
            <w:r>
              <w:rPr>
                <w:rFonts w:hint="eastAsia" w:ascii="宋体" w:hAnsi="宋体" w:cs="宋体"/>
                <w:color w:val="auto"/>
                <w:szCs w:val="21"/>
                <w:highlight w:val="none"/>
                <w:lang w:val="zh-CN"/>
              </w:rPr>
              <w:t>每次扣2分</w:t>
            </w:r>
          </w:p>
        </w:tc>
      </w:tr>
    </w:tbl>
    <w:p>
      <w:pPr>
        <w:pStyle w:val="39"/>
        <w:numPr>
          <w:ilvl w:val="0"/>
          <w:numId w:val="1"/>
        </w:numPr>
        <w:spacing w:line="25" w:lineRule="atLeast"/>
        <w:ind w:firstLineChars="0"/>
        <w:rPr>
          <w:rFonts w:ascii="宋体" w:hAnsi="宋体" w:cs="宋体"/>
          <w:color w:val="auto"/>
          <w:szCs w:val="21"/>
          <w:highlight w:val="none"/>
        </w:rPr>
      </w:pPr>
      <w:r>
        <w:rPr>
          <w:rFonts w:hint="eastAsia" w:ascii="宋体" w:hAnsi="宋体" w:cs="宋体"/>
          <w:color w:val="auto"/>
          <w:szCs w:val="21"/>
          <w:highlight w:val="none"/>
        </w:rPr>
        <w:t>满分100分，每月进行考核分值达80分以上（含80分），表示服务质量达标，可全额支付费用。</w:t>
      </w:r>
    </w:p>
    <w:p>
      <w:pPr>
        <w:pStyle w:val="39"/>
        <w:numPr>
          <w:ilvl w:val="0"/>
          <w:numId w:val="1"/>
        </w:numPr>
        <w:spacing w:line="25" w:lineRule="atLeast"/>
        <w:ind w:firstLineChars="0"/>
        <w:rPr>
          <w:rFonts w:ascii="宋体" w:hAnsi="宋体" w:cs="宋体"/>
          <w:color w:val="auto"/>
          <w:szCs w:val="21"/>
          <w:highlight w:val="none"/>
        </w:rPr>
      </w:pPr>
      <w:r>
        <w:rPr>
          <w:rFonts w:hint="eastAsia" w:ascii="宋体" w:hAnsi="宋体" w:cs="宋体"/>
          <w:color w:val="auto"/>
          <w:szCs w:val="21"/>
          <w:highlight w:val="none"/>
        </w:rPr>
        <w:t>按满分100分，每月进行考核分值低于80分，表示服务质量达不到要求，每分按2000元扣减费用。（如发生电梯工作维保要求第1点所述情况，则累计扣除相应费用）</w:t>
      </w:r>
    </w:p>
    <w:p>
      <w:pPr>
        <w:pStyle w:val="39"/>
        <w:spacing w:line="25" w:lineRule="atLeast"/>
        <w:ind w:firstLine="0" w:firstLineChars="0"/>
        <w:rPr>
          <w:rFonts w:ascii="宋体" w:hAnsi="宋体" w:cs="宋体"/>
          <w:color w:val="auto"/>
          <w:szCs w:val="21"/>
          <w:highlight w:val="none"/>
        </w:rPr>
      </w:pPr>
    </w:p>
    <w:p>
      <w:pPr>
        <w:pStyle w:val="39"/>
        <w:spacing w:line="25" w:lineRule="atLeast"/>
        <w:ind w:firstLine="0" w:firstLineChars="0"/>
        <w:rPr>
          <w:rFonts w:ascii="宋体" w:hAnsi="宋体" w:cs="宋体"/>
          <w:color w:val="auto"/>
          <w:szCs w:val="21"/>
          <w:highlight w:val="none"/>
        </w:rPr>
      </w:pPr>
    </w:p>
    <w:p>
      <w:pPr>
        <w:pStyle w:val="39"/>
        <w:spacing w:line="25" w:lineRule="atLeast"/>
        <w:ind w:firstLine="0" w:firstLineChars="0"/>
        <w:rPr>
          <w:rFonts w:ascii="宋体" w:hAnsi="宋体" w:cs="宋体"/>
          <w:bCs/>
          <w:color w:val="auto"/>
          <w:szCs w:val="21"/>
          <w:highlight w:val="none"/>
        </w:rPr>
      </w:pPr>
      <w:r>
        <w:rPr>
          <w:rFonts w:hint="eastAsia" w:ascii="宋体" w:hAnsi="宋体" w:cs="宋体"/>
          <w:b/>
          <w:bCs/>
          <w:color w:val="auto"/>
          <w:szCs w:val="21"/>
          <w:highlight w:val="none"/>
        </w:rPr>
        <w:t>附件7 奥的斯电梯配件定价表</w:t>
      </w:r>
    </w:p>
    <w:tbl>
      <w:tblPr>
        <w:tblStyle w:val="2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2573"/>
        <w:gridCol w:w="868"/>
        <w:gridCol w:w="1853"/>
        <w:gridCol w:w="694"/>
        <w:gridCol w:w="868"/>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7"/>
            <w:tcBorders>
              <w:top w:val="nil"/>
              <w:left w:val="single" w:color="000000" w:sz="4" w:space="0"/>
              <w:bottom w:val="single" w:color="000000" w:sz="4" w:space="0"/>
              <w:right w:val="nil"/>
            </w:tcBorders>
            <w:shd w:val="clear" w:color="auto" w:fill="auto"/>
            <w:vAlign w:val="center"/>
          </w:tcPr>
          <w:p>
            <w:pPr>
              <w:pStyle w:val="39"/>
              <w:spacing w:line="25" w:lineRule="atLeast"/>
              <w:ind w:firstLine="0" w:firstLineChars="0"/>
              <w:jc w:val="center"/>
              <w:rPr>
                <w:rFonts w:ascii="宋体" w:hAnsi="宋体" w:cs="宋体"/>
                <w:bCs/>
                <w:color w:val="auto"/>
                <w:sz w:val="21"/>
                <w:szCs w:val="21"/>
                <w:highlight w:val="none"/>
              </w:rPr>
            </w:pPr>
            <w:r>
              <w:rPr>
                <w:rFonts w:hint="eastAsia" w:ascii="宋体" w:hAnsi="宋体" w:cs="宋体"/>
                <w:b/>
                <w:bCs/>
                <w:color w:val="auto"/>
                <w:sz w:val="21"/>
                <w:szCs w:val="21"/>
                <w:highlight w:val="none"/>
              </w:rPr>
              <w:t>奥的斯电梯配件定价表</w:t>
            </w:r>
          </w:p>
          <w:p>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1"/>
                <w:color w:val="auto"/>
                <w:sz w:val="21"/>
                <w:szCs w:val="21"/>
                <w:highlight w:val="none"/>
                <w:lang w:val="en-US" w:eastAsia="zh-CN" w:bidi="ar"/>
              </w:rPr>
              <w:t>序</w:t>
            </w:r>
            <w:r>
              <w:rPr>
                <w:rStyle w:val="92"/>
                <w:color w:val="auto"/>
                <w:sz w:val="21"/>
                <w:szCs w:val="21"/>
                <w:highlight w:val="none"/>
                <w:lang w:val="en-US" w:eastAsia="zh-CN" w:bidi="ar"/>
              </w:rPr>
              <w:t xml:space="preserve"> </w:t>
            </w:r>
            <w:r>
              <w:rPr>
                <w:rStyle w:val="91"/>
                <w:color w:val="auto"/>
                <w:sz w:val="21"/>
                <w:szCs w:val="21"/>
                <w:highlight w:val="none"/>
                <w:lang w:val="en-US" w:eastAsia="zh-CN" w:bidi="ar"/>
              </w:rPr>
              <w:t>号</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1"/>
                <w:color w:val="auto"/>
                <w:sz w:val="21"/>
                <w:szCs w:val="21"/>
                <w:highlight w:val="none"/>
                <w:lang w:val="en-US" w:eastAsia="zh-CN" w:bidi="ar"/>
              </w:rPr>
              <w:t>配件名称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1"/>
                <w:color w:val="auto"/>
                <w:sz w:val="21"/>
                <w:szCs w:val="21"/>
                <w:highlight w:val="none"/>
                <w:lang w:val="en-US" w:eastAsia="zh-CN" w:bidi="ar"/>
              </w:rPr>
              <w:t>品牌</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计价单位</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适用梯型</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24V 单显外呼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BST-DAA23501DL999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平层感应器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电梯主板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指令板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钢丝绳</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超速触发控制器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门机编码器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D200SL 光幕电源盒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DAA24591C 2-3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二合一光幕支架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DEK3UF0259B</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呼梯按钮和液晶显示装(并)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DAA23500K403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呼梯按钮组件</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DAA23500AH 13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旁开门光幕</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DEA3015943C</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外呼点阵显示板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EMA610AW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外呼显示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EMA23800AF 05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外呼显示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DAA25140NNP 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外呼显示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DAA25140NNP 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外呼显示(双显)</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DAA25140NNN 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抱闸电源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EMA225D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抱闸检测开关短杆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DAA177DH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抱闸线圈</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DAA330E 1-13VTR</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抱闸闸衬</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TAA416P 2-13VTR</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机房对讲</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DEA3010916A</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机房紧急救援电源盒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DAA21750E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主机轴承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6224-2RS</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DBR 制动电阻</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DAA232J 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导向轮轴承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NSK-6314ZZ</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导向装置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DAA22640A 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R SEB 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DBA26800J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风机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DAA24720NNN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风机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PAA24720A 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警铃电源盒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DAA21750B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光幕</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SANS I-GM-94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光幕保护装置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DAA24591C 12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轿厢到站钟 CCM</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OE CCT 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轿厢液晶显示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DEA3017323A</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秤量装置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DAA24270F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轿内显示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COP-DISPLAY</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强迫门刀</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S1110081A</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数码显示指示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DAA25140NPD201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应急灯</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DAA417C1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补偿链导向装配</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DAA22640A2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补偿链导向装置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DAA22640A3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补偿链</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地坎</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FBA280AW 105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底坑急停开关盒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DAA175AG 1-BST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钢带式称量传感器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DAA24270N 11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滚动导靴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AAA24180AW11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滚动导靴轮 D125</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DEK3R58359A</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滚轮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456CL4-SV-L-1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紧涨轮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主变频器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门机变频器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电梯门机控制器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一体化控制器</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滑轮群</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DAAB32N 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检修电源开关</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DAA177NPY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轿顶检修盒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DAA24831L 062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轿顶接线盒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DAA313AT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轿顶五方对讲电源板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DAA26801F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门刀</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EXP477A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门刀装配</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DAA24390H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门导靴滑轮</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EPC0BR</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门头</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FAA409DX 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厅门(带三角锁侧)</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DEA3016498D</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厅门钩子锁</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EXP431E1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底坑检修盒</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DAA7004D4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干簧管装配</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DAA29505E2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金属对重块</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DAA345J12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24V 对讲机电源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DY-DJ624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ICU 对讲机电源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7</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ICU 对讲机电源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13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到站钟芯片</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DAA23801C 992-CHIP</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电路板</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DBA26800CA 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对讲电源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16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对讲机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11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对讲机</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12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对讲机电源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 xml:space="preserve"> DAA25301J 19</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有机房电梯对讲系统</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奥的斯</w:t>
            </w:r>
          </w:p>
        </w:tc>
        <w:tc>
          <w:tcPr>
            <w:tcW w:w="10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OE CCT 25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个</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92"/>
                <w:color w:val="auto"/>
                <w:sz w:val="21"/>
                <w:szCs w:val="21"/>
                <w:highlight w:val="none"/>
                <w:lang w:val="en-US" w:eastAsia="zh-CN" w:bidi="ar"/>
              </w:rPr>
              <w:t>直梯</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bl>
    <w:p>
      <w:pPr>
        <w:pStyle w:val="2"/>
        <w:ind w:left="0" w:leftChars="0" w:firstLine="0" w:firstLineChars="0"/>
        <w:rPr>
          <w:color w:val="auto"/>
          <w:sz w:val="21"/>
          <w:highlight w:val="none"/>
        </w:rPr>
      </w:pPr>
    </w:p>
    <w:p>
      <w:pPr>
        <w:pStyle w:val="39"/>
        <w:spacing w:line="25" w:lineRule="atLeast"/>
        <w:ind w:firstLine="0" w:firstLineChars="0"/>
        <w:rPr>
          <w:rFonts w:ascii="宋体" w:hAnsi="宋体" w:cs="宋体"/>
          <w:bCs/>
          <w:color w:val="auto"/>
          <w:szCs w:val="21"/>
          <w:highlight w:val="none"/>
        </w:rPr>
      </w:pPr>
      <w:r>
        <w:rPr>
          <w:rFonts w:hint="eastAsia" w:ascii="宋体" w:hAnsi="宋体" w:cs="宋体"/>
          <w:b/>
          <w:bCs/>
          <w:color w:val="auto"/>
          <w:szCs w:val="21"/>
          <w:highlight w:val="none"/>
        </w:rPr>
        <w:t>附件8 通力电梯配件清单清单及报价</w:t>
      </w:r>
    </w:p>
    <w:tbl>
      <w:tblPr>
        <w:tblStyle w:val="28"/>
        <w:tblW w:w="8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581"/>
        <w:gridCol w:w="2090"/>
        <w:gridCol w:w="924"/>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403" w:type="dxa"/>
            <w:gridSpan w:val="5"/>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auto"/>
                <w:sz w:val="21"/>
                <w:szCs w:val="21"/>
                <w:highlight w:val="none"/>
                <w:u w:val="none"/>
              </w:rPr>
            </w:pPr>
            <w:r>
              <w:rPr>
                <w:rFonts w:hint="eastAsia" w:ascii="宋体" w:hAnsi="宋体" w:cs="宋体"/>
                <w:b/>
                <w:bCs/>
                <w:color w:val="auto"/>
                <w:szCs w:val="21"/>
                <w:highlight w:val="none"/>
              </w:rPr>
              <w:t>通力电梯配件清单清单及报价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配件名称</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地坎</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铝 1000 开门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门套</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轿门门框</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厅门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发纹不锈钢</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发纹不锈钢</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扇</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E35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轿厢内门扶手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轿厢门头</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门刀</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R2 带锁 300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外呼面板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COB 轿厢通讯板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713720G71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CEB 轿厢通讯板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713730G71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外呼显示板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51410416G11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LOP-CB 操作板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763600G02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51070314G11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ADO 安全回路板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5006052G01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安全回路板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763610G02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井道通讯板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50014542G11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713140G04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通力U形感应器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86420G03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通力平层感应器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61U、61N、30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通力门机马达</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903375G04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通力测速发电机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Arial" w:hAnsi="Arial" w:eastAsia="等线" w:cs="Arial"/>
                <w:i w:val="0"/>
                <w:iCs w:val="0"/>
                <w:color w:val="auto"/>
                <w:sz w:val="21"/>
                <w:szCs w:val="21"/>
                <w:highlight w:val="none"/>
                <w:u w:val="none"/>
              </w:rPr>
            </w:pPr>
            <w:r>
              <w:rPr>
                <w:rFonts w:hint="default" w:ascii="宋体" w:hAnsi="宋体" w:eastAsia="宋体" w:cs="宋体"/>
                <w:i w:val="0"/>
                <w:iCs w:val="0"/>
                <w:color w:val="auto"/>
                <w:kern w:val="0"/>
                <w:sz w:val="21"/>
                <w:szCs w:val="21"/>
                <w:highlight w:val="none"/>
                <w:u w:val="none"/>
                <w:lang w:val="en-US" w:eastAsia="zh-CN" w:bidi="ar"/>
              </w:rPr>
              <w:t>276027</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 375 主板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713100G01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通力CPU 主板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773390G04</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通力无机房 A1板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713900G01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通力无机房 A2板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713930G01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通力门机板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606050G01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通力基站锁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通力轿厢操纵箱锁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厅门钢丝绳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重锤钢丝绳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800 开门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散热电阻风扇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机房对讲机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KON12A</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底坑对讲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KON12A2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轿厢对讲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KON12B</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轿顶对讲</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KON12A3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监控室主机</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KON120A</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电源转换器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KON12P</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语音报站装置</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VA-24-KEF</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轿顶风扇</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FB-9B</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相序</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XJ12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门机皮带</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5M-12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门机皮带</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5M-25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涨紧轮</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260*30*6003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对重反绳轮</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轿顶反绳轮</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门锁</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MKG161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门球支架</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限速器钢丝绳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主钢丝绳 (半钢芯)</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8mm</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主钢丝绳 (半钢芯)</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10mm</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对重导靴</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轿厢导靴</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液压缓冲器</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YH29/425</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通力原装缓冲器开关(带线)</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CR600-NZ</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涨紧轮开关</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SND4111-SP</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急停开关盒</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 12V 电池</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12V 5A</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12V 7A</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抱闸电源</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50014396G01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LED 井道灯</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9W</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门挂轮</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等线" w:hAnsi="等线" w:eastAsia="等线" w:cs="等线"/>
                <w:i w:val="0"/>
                <w:iCs w:val="0"/>
                <w:color w:val="auto"/>
                <w:sz w:val="21"/>
                <w:szCs w:val="21"/>
                <w:highlight w:val="none"/>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加装电梯 IC 刷</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分层控制</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r>
    </w:tbl>
    <w:p>
      <w:pPr>
        <w:pStyle w:val="2"/>
        <w:ind w:firstLine="210"/>
        <w:rPr>
          <w:color w:val="auto"/>
          <w:sz w:val="21"/>
          <w:highlight w:val="none"/>
        </w:rPr>
      </w:pPr>
    </w:p>
    <w:p>
      <w:pPr>
        <w:pStyle w:val="2"/>
        <w:ind w:firstLine="210"/>
        <w:rPr>
          <w:color w:val="auto"/>
          <w:sz w:val="21"/>
          <w:highlight w:val="none"/>
        </w:rPr>
      </w:pPr>
    </w:p>
    <w:p>
      <w:pPr>
        <w:pStyle w:val="39"/>
        <w:spacing w:line="25" w:lineRule="atLeast"/>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附件9 快意电梯零件清单及报价</w:t>
      </w:r>
    </w:p>
    <w:p>
      <w:pPr>
        <w:pStyle w:val="2"/>
        <w:ind w:firstLine="210"/>
        <w:rPr>
          <w:color w:val="auto"/>
          <w:sz w:val="21"/>
          <w:highlight w:val="none"/>
        </w:rPr>
      </w:pPr>
    </w:p>
    <w:tbl>
      <w:tblPr>
        <w:tblStyle w:val="28"/>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4644"/>
        <w:gridCol w:w="951"/>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429" w:type="dxa"/>
            <w:gridSpan w:val="4"/>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cs="宋体"/>
                <w:b/>
                <w:bCs/>
                <w:color w:val="auto"/>
                <w:szCs w:val="21"/>
                <w:highlight w:val="none"/>
              </w:rPr>
              <w:t>快意电梯零件清单及报价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93"/>
                <w:rFonts w:hint="eastAsia" w:ascii="宋体" w:hAnsi="宋体" w:eastAsia="宋体" w:cs="宋体"/>
                <w:color w:val="auto"/>
                <w:sz w:val="21"/>
                <w:szCs w:val="21"/>
                <w:highlight w:val="none"/>
                <w:lang w:val="en-US" w:eastAsia="zh-CN" w:bidi="ar"/>
              </w:rPr>
              <w:t>序号</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93"/>
                <w:rFonts w:hint="eastAsia" w:ascii="宋体" w:hAnsi="宋体" w:eastAsia="宋体" w:cs="宋体"/>
                <w:color w:val="auto"/>
                <w:sz w:val="21"/>
                <w:szCs w:val="21"/>
                <w:highlight w:val="none"/>
                <w:lang w:val="en-US" w:eastAsia="zh-CN" w:bidi="ar"/>
              </w:rPr>
              <w:t>产品名称</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Style w:val="93"/>
                <w:rFonts w:hint="eastAsia" w:ascii="宋体" w:hAnsi="宋体" w:eastAsia="宋体" w:cs="宋体"/>
                <w:color w:val="auto"/>
                <w:sz w:val="21"/>
                <w:szCs w:val="21"/>
                <w:highlight w:val="none"/>
                <w:lang w:val="en-US" w:eastAsia="zh-CN" w:bidi="ar"/>
              </w:rPr>
              <w:t>单位</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控制柜主板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轿厢主板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变频器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分频板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轿厢通讯板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轿厢通讯 B 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门机控制器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继电器板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轿厢液晶显示屏</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轿厢显示板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轿厢指令板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外呼板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平层感应器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传感器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光电位置感应器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主机编码器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曳引轮钢丝绳含人工</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限速器钢丝绳含人工</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主机曳引轮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对重反绳轮和轴承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光幕微科 917</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层门锁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门挂板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轿顶风扇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补偿链导向装置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补偿链</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主机轴承含人工</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应急电源 12V</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电梯无线对讲</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电梯试重费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24V 控制应急电源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主机抱闸</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涨紧轮装置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门刀</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井道通讯板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对重轮轴承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安全回路主板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门挂轮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限速器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聚氨酯缓冲器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液压缓冲器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裁主钢丝绳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收补偿链</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轿厢导靴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对重导靴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控制柜插件板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接触器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轿顶反绳轮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4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风幕机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rPr>
          <w:rFonts w:ascii="宋体" w:hAnsi="宋体" w:cs="宋体"/>
          <w:color w:val="auto"/>
          <w:highlight w:val="none"/>
        </w:rPr>
      </w:pPr>
      <w:r>
        <w:rPr>
          <w:rFonts w:hint="eastAsia" w:ascii="宋体" w:hAnsi="宋体" w:cs="宋体"/>
          <w:color w:val="auto"/>
          <w:highlight w:val="none"/>
          <w:lang w:bidi="zh-CN"/>
        </w:rPr>
        <w:br w:type="page"/>
      </w:r>
    </w:p>
    <w:p>
      <w:pPr>
        <w:pStyle w:val="6"/>
        <w:spacing w:before="0" w:after="0" w:line="240" w:lineRule="auto"/>
        <w:rPr>
          <w:rFonts w:ascii="宋体" w:hAnsi="宋体" w:eastAsia="宋体" w:cs="宋体"/>
          <w:color w:val="auto"/>
          <w:sz w:val="28"/>
          <w:szCs w:val="28"/>
          <w:highlight w:val="none"/>
        </w:rPr>
      </w:pPr>
      <w:bookmarkStart w:id="134" w:name="_Toc17124"/>
      <w:r>
        <w:rPr>
          <w:rFonts w:hint="eastAsia" w:ascii="宋体" w:hAnsi="宋体" w:eastAsia="宋体" w:cs="宋体"/>
          <w:color w:val="auto"/>
          <w:sz w:val="28"/>
          <w:szCs w:val="28"/>
          <w:highlight w:val="none"/>
        </w:rPr>
        <w:t>第六部分附件－投标文件格式</w:t>
      </w:r>
      <w:bookmarkEnd w:id="134"/>
    </w:p>
    <w:p>
      <w:pPr>
        <w:rPr>
          <w:rFonts w:ascii="宋体" w:hAnsi="宋体" w:cs="宋体"/>
          <w:color w:val="auto"/>
          <w:highlight w:val="none"/>
        </w:rPr>
      </w:pPr>
    </w:p>
    <w:p>
      <w:pPr>
        <w:pStyle w:val="8"/>
        <w:widowControl w:val="0"/>
        <w:overflowPunct w:val="0"/>
        <w:spacing w:line="240" w:lineRule="auto"/>
        <w:rPr>
          <w:rFonts w:ascii="宋体" w:hAnsi="宋体" w:cs="宋体"/>
          <w:color w:val="auto"/>
          <w:sz w:val="21"/>
          <w:szCs w:val="21"/>
          <w:highlight w:val="none"/>
        </w:rPr>
      </w:pPr>
      <w:bookmarkStart w:id="135" w:name="_Toc25786"/>
      <w:r>
        <w:rPr>
          <w:rFonts w:hint="eastAsia" w:ascii="宋体" w:hAnsi="宋体" w:cs="宋体"/>
          <w:color w:val="auto"/>
          <w:sz w:val="21"/>
          <w:szCs w:val="21"/>
          <w:highlight w:val="none"/>
        </w:rPr>
        <w:t>投标文件目录</w:t>
      </w:r>
      <w:bookmarkEnd w:id="135"/>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格式自理。</w:t>
      </w: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注：</w:t>
      </w: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1、投标人制作的投标文件应当具备目录。</w:t>
      </w: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36" w:name="_Toc18792"/>
      <w:r>
        <w:rPr>
          <w:rFonts w:hint="eastAsia" w:ascii="宋体" w:hAnsi="宋体" w:cs="宋体"/>
          <w:color w:val="auto"/>
          <w:sz w:val="21"/>
          <w:szCs w:val="21"/>
          <w:highlight w:val="none"/>
        </w:rPr>
        <w:t>附件1.评分标准索引表</w:t>
      </w:r>
      <w:bookmarkEnd w:id="136"/>
    </w:p>
    <w:p>
      <w:pPr>
        <w:adjustRightInd/>
        <w:snapToGrid/>
        <w:spacing w:line="276" w:lineRule="auto"/>
        <w:rPr>
          <w:rFonts w:ascii="宋体" w:hAnsi="宋体" w:cs="宋体"/>
          <w:color w:val="auto"/>
          <w:szCs w:val="21"/>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评分标准索引表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pPr>
              <w:jc w:val="center"/>
              <w:rPr>
                <w:rFonts w:ascii="宋体" w:hAnsi="宋体" w:cs="宋体"/>
                <w:color w:val="auto"/>
                <w:highlight w:val="none"/>
              </w:rPr>
            </w:pPr>
            <w:r>
              <w:rPr>
                <w:rFonts w:hint="eastAsia" w:ascii="宋体" w:hAnsi="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highlight w:val="none"/>
              </w:rPr>
            </w:pPr>
            <w:r>
              <w:rPr>
                <w:rFonts w:hint="eastAsia" w:ascii="宋体" w:hAnsi="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4"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c>
          <w:tcPr>
            <w:tcW w:w="1705" w:type="dxa"/>
            <w:vAlign w:val="center"/>
          </w:tcPr>
          <w:p>
            <w:pPr>
              <w:jc w:val="center"/>
              <w:rPr>
                <w:rFonts w:ascii="宋体" w:hAnsi="宋体" w:cs="宋体"/>
                <w:color w:val="auto"/>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w:t>
      </w:r>
    </w:p>
    <w:p>
      <w:pPr>
        <w:numPr>
          <w:ilvl w:val="0"/>
          <w:numId w:val="10"/>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该表格为参考格式，投标人可按实际情况自行制订评分标准索引表。</w:t>
      </w:r>
    </w:p>
    <w:p>
      <w:pPr>
        <w:pStyle w:val="3"/>
        <w:spacing w:before="0"/>
        <w:ind w:left="0"/>
        <w:rPr>
          <w:color w:val="auto"/>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p>
    <w:p>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br w:type="page"/>
      </w:r>
    </w:p>
    <w:p>
      <w:pPr>
        <w:jc w:val="center"/>
        <w:rPr>
          <w:rFonts w:ascii="宋体" w:hAnsi="宋体" w:cs="宋体"/>
          <w:color w:val="auto"/>
          <w:sz w:val="52"/>
          <w:szCs w:val="52"/>
          <w:highlight w:val="none"/>
        </w:rPr>
      </w:pPr>
      <w:bookmarkStart w:id="137" w:name="_Toc30918"/>
      <w:bookmarkStart w:id="138" w:name="_Toc18450"/>
      <w:bookmarkStart w:id="139" w:name="_Toc20335"/>
      <w:bookmarkStart w:id="140" w:name="_Toc28154"/>
      <w:bookmarkStart w:id="141" w:name="_Toc21746"/>
    </w:p>
    <w:p>
      <w:pPr>
        <w:pStyle w:val="6"/>
        <w:spacing w:before="0" w:after="0" w:line="360" w:lineRule="auto"/>
        <w:jc w:val="center"/>
        <w:rPr>
          <w:rFonts w:ascii="宋体" w:hAnsi="宋体" w:eastAsia="宋体" w:cs="宋体"/>
          <w:color w:val="auto"/>
          <w:sz w:val="72"/>
          <w:szCs w:val="72"/>
          <w:highlight w:val="none"/>
        </w:rPr>
      </w:pPr>
      <w:bookmarkStart w:id="142" w:name="_Toc9213"/>
      <w:r>
        <w:rPr>
          <w:rFonts w:hint="eastAsia" w:ascii="宋体" w:hAnsi="宋体" w:eastAsia="宋体" w:cs="宋体"/>
          <w:color w:val="auto"/>
          <w:sz w:val="72"/>
          <w:szCs w:val="72"/>
          <w:highlight w:val="none"/>
        </w:rPr>
        <w:t>价格文件</w:t>
      </w:r>
      <w:bookmarkEnd w:id="137"/>
      <w:bookmarkEnd w:id="138"/>
      <w:bookmarkEnd w:id="142"/>
      <w:bookmarkStart w:id="143" w:name="_Hlt10456397"/>
      <w:bookmarkEnd w:id="143"/>
      <w:bookmarkStart w:id="144" w:name="_Hlt10519799"/>
      <w:bookmarkEnd w:id="144"/>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bookmarkEnd w:id="139"/>
      <w:bookmarkEnd w:id="140"/>
      <w:bookmarkEnd w:id="141"/>
    </w:p>
    <w:p>
      <w:pPr>
        <w:rPr>
          <w:rFonts w:ascii="宋体" w:hAnsi="宋体" w:cs="宋体"/>
          <w:color w:val="auto"/>
          <w:highlight w:val="none"/>
        </w:rPr>
      </w:pPr>
    </w:p>
    <w:p>
      <w:pPr>
        <w:pStyle w:val="3"/>
        <w:rPr>
          <w:color w:val="auto"/>
          <w:highlight w:val="none"/>
        </w:rPr>
      </w:pPr>
    </w:p>
    <w:p>
      <w:pPr>
        <w:pStyle w:val="2"/>
        <w:spacing w:before="0" w:after="0"/>
        <w:ind w:left="0"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1947737316"/>
        </w:rPr>
        <w:t>项目名</w:t>
      </w:r>
      <w:r>
        <w:rPr>
          <w:rFonts w:hint="eastAsia" w:ascii="宋体" w:hAnsi="宋体" w:cs="宋体"/>
          <w:b/>
          <w:bCs/>
          <w:color w:val="auto"/>
          <w:spacing w:val="1"/>
          <w:kern w:val="0"/>
          <w:sz w:val="32"/>
          <w:szCs w:val="32"/>
          <w:highlight w:val="none"/>
          <w:fitText w:val="1600" w:id="1947737316"/>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70211570"/>
        </w:rPr>
        <w:t>项目编</w:t>
      </w:r>
      <w:r>
        <w:rPr>
          <w:rFonts w:hint="eastAsia" w:ascii="宋体" w:hAnsi="宋体" w:cs="宋体"/>
          <w:b/>
          <w:bCs/>
          <w:color w:val="auto"/>
          <w:spacing w:val="1"/>
          <w:kern w:val="0"/>
          <w:sz w:val="32"/>
          <w:szCs w:val="32"/>
          <w:highlight w:val="none"/>
          <w:fitText w:val="1600" w:id="70211570"/>
        </w:rPr>
        <w:t>号</w:t>
      </w:r>
      <w:r>
        <w:rPr>
          <w:rFonts w:hint="eastAsia" w:ascii="宋体" w:hAnsi="宋体" w:cs="宋体"/>
          <w:b/>
          <w:bCs/>
          <w:color w:val="auto"/>
          <w:sz w:val="32"/>
          <w:szCs w:val="32"/>
          <w:highlight w:val="none"/>
        </w:rPr>
        <w:t>：</w:t>
      </w:r>
    </w:p>
    <w:p>
      <w:pPr>
        <w:pStyle w:val="26"/>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45873191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437591866"/>
        </w:rPr>
        <w:t xml:space="preserve">日    </w:t>
      </w:r>
      <w:r>
        <w:rPr>
          <w:rFonts w:hint="eastAsia" w:ascii="宋体" w:hAnsi="宋体" w:cs="宋体"/>
          <w:b/>
          <w:color w:val="auto"/>
          <w:spacing w:val="0"/>
          <w:kern w:val="0"/>
          <w:sz w:val="32"/>
          <w:szCs w:val="32"/>
          <w:highlight w:val="none"/>
          <w:fitText w:val="1600" w:id="437591866"/>
        </w:rPr>
        <w:t>期</w:t>
      </w:r>
      <w:r>
        <w:rPr>
          <w:rFonts w:hint="eastAsia" w:ascii="宋体" w:hAnsi="宋体" w:cs="宋体"/>
          <w:b/>
          <w:color w:val="auto"/>
          <w:sz w:val="32"/>
          <w:szCs w:val="32"/>
          <w:highlight w:val="none"/>
        </w:rPr>
        <w:t>：</w:t>
      </w:r>
    </w:p>
    <w:p>
      <w:pPr>
        <w:rPr>
          <w:rFonts w:ascii="宋体" w:hAnsi="宋体" w:cs="宋体"/>
          <w:color w:val="auto"/>
          <w:highlight w:val="none"/>
        </w:rPr>
      </w:pPr>
    </w:p>
    <w:p>
      <w:pPr>
        <w:pStyle w:val="3"/>
        <w:rPr>
          <w:color w:val="auto"/>
          <w:highlight w:val="none"/>
        </w:rPr>
      </w:pPr>
    </w:p>
    <w:p>
      <w:pPr>
        <w:pStyle w:val="2"/>
        <w:ind w:firstLine="240"/>
        <w:rPr>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3"/>
        <w:rPr>
          <w:color w:val="auto"/>
          <w:highlight w:val="none"/>
        </w:rPr>
      </w:pPr>
    </w:p>
    <w:p>
      <w:pPr>
        <w:pStyle w:val="2"/>
        <w:ind w:firstLine="240"/>
        <w:rPr>
          <w:color w:val="auto"/>
          <w:highlight w:val="none"/>
        </w:rPr>
      </w:pPr>
    </w:p>
    <w:p>
      <w:pPr>
        <w:pStyle w:val="23"/>
        <w:rPr>
          <w:rFonts w:ascii="宋体" w:hAnsi="宋体" w:cs="宋体"/>
          <w:color w:val="auto"/>
          <w:highlight w:val="none"/>
        </w:rPr>
      </w:pPr>
    </w:p>
    <w:p>
      <w:pPr>
        <w:pStyle w:val="23"/>
        <w:ind w:left="0"/>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45" w:name="_Toc1232"/>
      <w:r>
        <w:rPr>
          <w:rFonts w:hint="eastAsia" w:ascii="宋体" w:hAnsi="宋体" w:cs="宋体"/>
          <w:color w:val="auto"/>
          <w:sz w:val="21"/>
          <w:szCs w:val="21"/>
          <w:highlight w:val="none"/>
        </w:rPr>
        <w:t>附件2.开标一览表格式</w:t>
      </w:r>
      <w:bookmarkEnd w:id="145"/>
    </w:p>
    <w:p>
      <w:pPr>
        <w:jc w:val="center"/>
        <w:rPr>
          <w:rFonts w:ascii="宋体" w:hAnsi="宋体" w:cs="宋体"/>
          <w:color w:val="auto"/>
          <w:sz w:val="32"/>
          <w:szCs w:val="32"/>
          <w:highlight w:val="none"/>
        </w:rPr>
      </w:pPr>
      <w:r>
        <w:rPr>
          <w:rFonts w:hint="eastAsia" w:ascii="宋体" w:hAnsi="宋体" w:cs="宋体"/>
          <w:color w:val="auto"/>
          <w:sz w:val="32"/>
          <w:szCs w:val="32"/>
          <w:highlight w:val="none"/>
        </w:rPr>
        <w:t>开标一览表</w:t>
      </w:r>
    </w:p>
    <w:p>
      <w:pPr>
        <w:rPr>
          <w:rFonts w:ascii="宋体" w:hAnsi="宋体" w:cs="宋体"/>
          <w:color w:val="auto"/>
          <w:highlight w:val="none"/>
        </w:rPr>
      </w:pPr>
    </w:p>
    <w:tbl>
      <w:tblPr>
        <w:tblStyle w:val="28"/>
        <w:tblW w:w="9056" w:type="dxa"/>
        <w:tblInd w:w="0" w:type="dxa"/>
        <w:tblLayout w:type="fixed"/>
        <w:tblCellMar>
          <w:top w:w="0" w:type="dxa"/>
          <w:left w:w="30" w:type="dxa"/>
          <w:bottom w:w="0" w:type="dxa"/>
          <w:right w:w="30" w:type="dxa"/>
        </w:tblCellMar>
      </w:tblPr>
      <w:tblGrid>
        <w:gridCol w:w="2831"/>
        <w:gridCol w:w="6225"/>
      </w:tblGrid>
      <w:tr>
        <w:tblPrEx>
          <w:tblCellMar>
            <w:top w:w="0" w:type="dxa"/>
            <w:left w:w="30" w:type="dxa"/>
            <w:bottom w:w="0" w:type="dxa"/>
            <w:right w:w="30" w:type="dxa"/>
          </w:tblCellMar>
        </w:tblPrEx>
        <w:trPr>
          <w:cantSplit/>
          <w:trHeight w:val="630" w:hRule="atLeast"/>
        </w:trPr>
        <w:tc>
          <w:tcPr>
            <w:tcW w:w="2831" w:type="dxa"/>
            <w:tcBorders>
              <w:top w:val="single" w:color="auto" w:sz="6" w:space="0"/>
              <w:left w:val="single" w:color="auto" w:sz="6" w:space="0"/>
              <w:right w:val="single" w:color="auto" w:sz="6" w:space="0"/>
            </w:tcBorders>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分项</w:t>
            </w:r>
          </w:p>
        </w:tc>
        <w:tc>
          <w:tcPr>
            <w:tcW w:w="6225" w:type="dxa"/>
            <w:tcBorders>
              <w:top w:val="single" w:color="auto" w:sz="6" w:space="0"/>
              <w:left w:val="single" w:color="auto" w:sz="6" w:space="0"/>
              <w:right w:val="single" w:color="auto" w:sz="6" w:space="0"/>
            </w:tcBorders>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金额（元）</w:t>
            </w:r>
          </w:p>
        </w:tc>
      </w:tr>
      <w:tr>
        <w:tblPrEx>
          <w:tblCellMar>
            <w:top w:w="0" w:type="dxa"/>
            <w:left w:w="30" w:type="dxa"/>
            <w:bottom w:w="0" w:type="dxa"/>
            <w:right w:w="30" w:type="dxa"/>
          </w:tblCellMar>
        </w:tblPrEx>
        <w:trPr>
          <w:cantSplit/>
          <w:trHeight w:val="601" w:hRule="atLeast"/>
        </w:trPr>
        <w:tc>
          <w:tcPr>
            <w:tcW w:w="28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hAnsi="宋体" w:cs="宋体"/>
                <w:color w:val="auto"/>
                <w:szCs w:val="21"/>
                <w:highlight w:val="none"/>
              </w:rPr>
            </w:pPr>
            <w:r>
              <w:rPr>
                <w:rFonts w:hint="eastAsia" w:hAnsi="宋体" w:cs="宋体"/>
                <w:color w:val="auto"/>
                <w:szCs w:val="21"/>
                <w:highlight w:val="none"/>
                <w:lang w:val="en-US" w:eastAsia="zh-CN"/>
              </w:rPr>
              <w:t>电梯维保</w:t>
            </w:r>
            <w:r>
              <w:rPr>
                <w:rFonts w:hint="eastAsia" w:hAnsi="宋体" w:cs="宋体"/>
                <w:color w:val="auto"/>
                <w:szCs w:val="21"/>
                <w:highlight w:val="none"/>
              </w:rPr>
              <w:t>服务</w:t>
            </w:r>
            <w:r>
              <w:rPr>
                <w:rFonts w:hint="eastAsia" w:ascii="宋体" w:hAnsi="宋体" w:cs="宋体"/>
                <w:color w:val="auto"/>
                <w:szCs w:val="21"/>
                <w:highlight w:val="none"/>
              </w:rPr>
              <w:t>费用</w:t>
            </w:r>
          </w:p>
        </w:tc>
        <w:tc>
          <w:tcPr>
            <w:tcW w:w="62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rPr>
                <w:rFonts w:ascii="宋体" w:hAnsi="宋体" w:cs="宋体"/>
                <w:color w:val="auto"/>
                <w:szCs w:val="21"/>
                <w:highlight w:val="none"/>
              </w:rPr>
            </w:pPr>
            <w:r>
              <w:rPr>
                <w:rFonts w:hint="eastAsia" w:ascii="宋体" w:hAnsi="宋体" w:cs="宋体"/>
                <w:color w:val="auto"/>
                <w:szCs w:val="21"/>
                <w:highlight w:val="none"/>
              </w:rPr>
              <w:t>（大写）人民币           元整（￥　　　　　元），其中税率  %，税金金额        元，不含税为     元。</w:t>
            </w:r>
          </w:p>
        </w:tc>
      </w:tr>
      <w:tr>
        <w:tblPrEx>
          <w:tblCellMar>
            <w:top w:w="0" w:type="dxa"/>
            <w:left w:w="30" w:type="dxa"/>
            <w:bottom w:w="0" w:type="dxa"/>
            <w:right w:w="30" w:type="dxa"/>
          </w:tblCellMar>
        </w:tblPrEx>
        <w:trPr>
          <w:cantSplit/>
          <w:trHeight w:val="601" w:hRule="atLeast"/>
        </w:trPr>
        <w:tc>
          <w:tcPr>
            <w:tcW w:w="28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hAnsi="宋体" w:cs="宋体"/>
                <w:color w:val="auto"/>
                <w:szCs w:val="21"/>
                <w:highlight w:val="none"/>
              </w:rPr>
            </w:pPr>
            <w:r>
              <w:rPr>
                <w:rFonts w:hint="eastAsia" w:hAnsi="宋体" w:cs="宋体"/>
                <w:color w:val="auto"/>
                <w:szCs w:val="21"/>
                <w:highlight w:val="none"/>
                <w:lang w:val="en-US" w:eastAsia="zh-CN"/>
              </w:rPr>
              <w:t>电梯配件</w:t>
            </w:r>
            <w:r>
              <w:rPr>
                <w:rFonts w:hint="eastAsia" w:ascii="宋体" w:hAnsi="宋体" w:cs="宋体"/>
                <w:color w:val="auto"/>
                <w:szCs w:val="21"/>
                <w:highlight w:val="none"/>
              </w:rPr>
              <w:t>费用</w:t>
            </w:r>
          </w:p>
        </w:tc>
        <w:tc>
          <w:tcPr>
            <w:tcW w:w="62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（大写）人民币           元整（￥　　　　　元），其中税率  %，税金金额        元，不含税为     元。</w:t>
            </w:r>
          </w:p>
        </w:tc>
      </w:tr>
      <w:tr>
        <w:tblPrEx>
          <w:tblCellMar>
            <w:top w:w="0" w:type="dxa"/>
            <w:left w:w="30" w:type="dxa"/>
            <w:bottom w:w="0" w:type="dxa"/>
            <w:right w:w="30" w:type="dxa"/>
          </w:tblCellMar>
        </w:tblPrEx>
        <w:trPr>
          <w:cantSplit/>
          <w:trHeight w:val="601" w:hRule="atLeast"/>
        </w:trPr>
        <w:tc>
          <w:tcPr>
            <w:tcW w:w="28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总报价</w:t>
            </w:r>
          </w:p>
        </w:tc>
        <w:tc>
          <w:tcPr>
            <w:tcW w:w="62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（大写）人民币           元整（￥　　　　　元）</w:t>
            </w:r>
          </w:p>
        </w:tc>
      </w:tr>
      <w:tr>
        <w:tblPrEx>
          <w:tblCellMar>
            <w:top w:w="0" w:type="dxa"/>
            <w:left w:w="30" w:type="dxa"/>
            <w:bottom w:w="0" w:type="dxa"/>
            <w:right w:w="30" w:type="dxa"/>
          </w:tblCellMar>
        </w:tblPrEx>
        <w:trPr>
          <w:cantSplit/>
          <w:trHeight w:val="601" w:hRule="atLeast"/>
        </w:trPr>
        <w:tc>
          <w:tcPr>
            <w:tcW w:w="283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备注：详细内容见《报价明细表》</w:t>
            </w:r>
          </w:p>
        </w:tc>
        <w:tc>
          <w:tcPr>
            <w:tcW w:w="622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备注：1.投标人须按要求填写所有信息，不得随意更改本表格式。</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2.报价中必须包含</w:t>
      </w:r>
      <w:r>
        <w:rPr>
          <w:rFonts w:hint="eastAsia" w:ascii="宋体" w:hAnsi="宋体" w:cs="宋体"/>
          <w:bCs/>
          <w:color w:val="auto"/>
          <w:szCs w:val="21"/>
          <w:highlight w:val="none"/>
        </w:rPr>
        <w:t>日常维保费（详见附件2-5）、限速器检测费、年检服务费（含取证）收费配件（详见附件7-9）更换费用、人工费、机械费、运输、保管、管理费、利润、安全防护、文明施工措施项目费、税费、保险费、各种综合费用等一切相关费用（收费配件的费用据实结算）。</w:t>
      </w:r>
      <w:r>
        <w:rPr>
          <w:rFonts w:hint="eastAsia" w:ascii="宋体" w:hAnsi="宋体" w:cs="宋体"/>
          <w:color w:val="auto"/>
          <w:szCs w:val="21"/>
          <w:highlight w:val="none"/>
        </w:rPr>
        <w:t>所有价格均应予人民币报价，金额单位为元。</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3.此表是投标文件的必要文件，是投标文件的组成部分。</w:t>
      </w:r>
    </w:p>
    <w:p>
      <w:pPr>
        <w:pStyle w:val="15"/>
        <w:ind w:left="735" w:hanging="735"/>
        <w:rPr>
          <w:rFonts w:hAnsi="宋体" w:cs="宋体"/>
          <w:color w:val="auto"/>
          <w:kern w:val="0"/>
          <w:szCs w:val="21"/>
          <w:highlight w:val="none"/>
        </w:rPr>
      </w:pPr>
      <w:r>
        <w:rPr>
          <w:rFonts w:hint="eastAsia" w:hAnsi="宋体" w:cs="宋体"/>
          <w:color w:val="auto"/>
          <w:kern w:val="0"/>
          <w:szCs w:val="21"/>
          <w:highlight w:val="none"/>
        </w:rPr>
        <w:t xml:space="preserve">    </w:t>
      </w:r>
    </w:p>
    <w:p>
      <w:pPr>
        <w:ind w:firstLine="359" w:firstLineChars="171"/>
        <w:rPr>
          <w:rFonts w:ascii="宋体" w:hAnsi="宋体" w:cs="宋体"/>
          <w:color w:val="auto"/>
          <w:szCs w:val="21"/>
          <w:highlight w:val="none"/>
        </w:rPr>
      </w:pP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pPr>
        <w:ind w:firstLine="359" w:firstLineChars="171"/>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46" w:name="_Toc12628"/>
      <w:r>
        <w:rPr>
          <w:rFonts w:hint="eastAsia" w:ascii="宋体" w:hAnsi="宋体" w:cs="宋体"/>
          <w:color w:val="auto"/>
          <w:sz w:val="21"/>
          <w:szCs w:val="21"/>
          <w:highlight w:val="none"/>
        </w:rPr>
        <w:t>附件3.报价明细表格式</w:t>
      </w:r>
      <w:bookmarkEnd w:id="146"/>
    </w:p>
    <w:p>
      <w:pPr>
        <w:jc w:val="center"/>
        <w:rPr>
          <w:rFonts w:ascii="宋体" w:hAnsi="宋体" w:cs="宋体"/>
          <w:color w:val="auto"/>
          <w:sz w:val="32"/>
          <w:szCs w:val="32"/>
          <w:highlight w:val="none"/>
        </w:rPr>
      </w:pPr>
      <w:bookmarkStart w:id="147" w:name="_Toc31172"/>
      <w:bookmarkStart w:id="148" w:name="_Toc31062"/>
      <w:r>
        <w:rPr>
          <w:rFonts w:hint="eastAsia" w:ascii="宋体" w:hAnsi="宋体" w:cs="宋体"/>
          <w:color w:val="auto"/>
          <w:sz w:val="32"/>
          <w:szCs w:val="32"/>
          <w:highlight w:val="none"/>
        </w:rPr>
        <w:t>报价明细表</w:t>
      </w:r>
      <w:bookmarkEnd w:id="147"/>
      <w:bookmarkEnd w:id="148"/>
    </w:p>
    <w:p>
      <w:pPr>
        <w:pStyle w:val="73"/>
        <w:spacing w:before="0" w:after="0"/>
        <w:jc w:val="right"/>
        <w:rPr>
          <w:rFonts w:hint="eastAsia" w:ascii="宋体" w:hAnsi="宋体" w:cs="宋体"/>
          <w:color w:val="auto"/>
          <w:szCs w:val="21"/>
          <w:highlight w:val="none"/>
        </w:rPr>
      </w:pPr>
      <w:r>
        <w:rPr>
          <w:rFonts w:hint="eastAsia" w:ascii="宋体" w:hAnsi="宋体" w:cs="宋体"/>
          <w:color w:val="auto"/>
          <w:szCs w:val="21"/>
          <w:highlight w:val="none"/>
        </w:rPr>
        <w:t>单位：元</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1"/>
        <w:gridCol w:w="1060"/>
        <w:gridCol w:w="1080"/>
        <w:gridCol w:w="680"/>
        <w:gridCol w:w="1125"/>
        <w:gridCol w:w="1055"/>
        <w:gridCol w:w="154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129" w:type="dxa"/>
            <w:gridSpan w:val="9"/>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val="en-US" w:eastAsia="zh-CN"/>
              </w:rPr>
              <w:t>电梯维保</w:t>
            </w:r>
            <w:r>
              <w:rPr>
                <w:rFonts w:hint="eastAsia" w:hAnsi="宋体" w:cs="宋体"/>
                <w:color w:val="auto"/>
                <w:szCs w:val="21"/>
                <w:highlight w:val="none"/>
              </w:rPr>
              <w:t>服务详列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序号</w:t>
            </w:r>
          </w:p>
        </w:tc>
        <w:tc>
          <w:tcPr>
            <w:tcW w:w="1081"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项目名称</w:t>
            </w:r>
          </w:p>
        </w:tc>
        <w:tc>
          <w:tcPr>
            <w:tcW w:w="106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设备名称</w:t>
            </w:r>
          </w:p>
        </w:tc>
        <w:tc>
          <w:tcPr>
            <w:tcW w:w="108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设备型号</w:t>
            </w:r>
          </w:p>
        </w:tc>
        <w:tc>
          <w:tcPr>
            <w:tcW w:w="68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层数</w:t>
            </w:r>
          </w:p>
        </w:tc>
        <w:tc>
          <w:tcPr>
            <w:tcW w:w="1125"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制造厂</w:t>
            </w:r>
          </w:p>
        </w:tc>
        <w:tc>
          <w:tcPr>
            <w:tcW w:w="1055"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使用证编号</w:t>
            </w:r>
          </w:p>
        </w:tc>
        <w:tc>
          <w:tcPr>
            <w:tcW w:w="154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维保费单价报价（元/台/月）</w:t>
            </w:r>
          </w:p>
        </w:tc>
        <w:tc>
          <w:tcPr>
            <w:tcW w:w="86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080" w:type="dxa"/>
          </w:tcPr>
          <w:p>
            <w:pPr>
              <w:pStyle w:val="15"/>
              <w:spacing w:line="480" w:lineRule="exact"/>
              <w:jc w:val="left"/>
              <w:rPr>
                <w:rFonts w:hAnsi="宋体" w:cs="宋体"/>
                <w:color w:val="auto"/>
                <w:szCs w:val="21"/>
                <w:highlight w:val="none"/>
              </w:rPr>
            </w:pPr>
          </w:p>
        </w:tc>
        <w:tc>
          <w:tcPr>
            <w:tcW w:w="680" w:type="dxa"/>
          </w:tcPr>
          <w:p>
            <w:pPr>
              <w:pStyle w:val="15"/>
              <w:spacing w:line="480" w:lineRule="exact"/>
              <w:jc w:val="left"/>
              <w:rPr>
                <w:rFonts w:hAnsi="宋体" w:cs="宋体"/>
                <w:color w:val="auto"/>
                <w:szCs w:val="21"/>
                <w:highlight w:val="none"/>
              </w:rPr>
            </w:pPr>
          </w:p>
        </w:tc>
        <w:tc>
          <w:tcPr>
            <w:tcW w:w="1125" w:type="dxa"/>
          </w:tcPr>
          <w:p>
            <w:pPr>
              <w:pStyle w:val="15"/>
              <w:spacing w:line="480" w:lineRule="exact"/>
              <w:jc w:val="left"/>
              <w:rPr>
                <w:rFonts w:hAnsi="宋体" w:cs="宋体"/>
                <w:color w:val="auto"/>
                <w:szCs w:val="21"/>
                <w:highlight w:val="none"/>
              </w:rPr>
            </w:pPr>
          </w:p>
        </w:tc>
        <w:tc>
          <w:tcPr>
            <w:tcW w:w="1055" w:type="dxa"/>
          </w:tcPr>
          <w:p>
            <w:pPr>
              <w:pStyle w:val="15"/>
              <w:spacing w:line="480" w:lineRule="exact"/>
              <w:jc w:val="left"/>
              <w:rPr>
                <w:rFonts w:hAnsi="宋体" w:cs="宋体"/>
                <w:color w:val="auto"/>
                <w:szCs w:val="21"/>
                <w:highlight w:val="none"/>
              </w:rPr>
            </w:pPr>
          </w:p>
        </w:tc>
        <w:tc>
          <w:tcPr>
            <w:tcW w:w="1540"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080" w:type="dxa"/>
          </w:tcPr>
          <w:p>
            <w:pPr>
              <w:pStyle w:val="15"/>
              <w:spacing w:line="480" w:lineRule="exact"/>
              <w:jc w:val="left"/>
              <w:rPr>
                <w:rFonts w:hAnsi="宋体" w:cs="宋体"/>
                <w:color w:val="auto"/>
                <w:szCs w:val="21"/>
                <w:highlight w:val="none"/>
              </w:rPr>
            </w:pPr>
          </w:p>
        </w:tc>
        <w:tc>
          <w:tcPr>
            <w:tcW w:w="680" w:type="dxa"/>
          </w:tcPr>
          <w:p>
            <w:pPr>
              <w:pStyle w:val="15"/>
              <w:spacing w:line="480" w:lineRule="exact"/>
              <w:jc w:val="left"/>
              <w:rPr>
                <w:rFonts w:hAnsi="宋体" w:cs="宋体"/>
                <w:color w:val="auto"/>
                <w:szCs w:val="21"/>
                <w:highlight w:val="none"/>
              </w:rPr>
            </w:pPr>
          </w:p>
        </w:tc>
        <w:tc>
          <w:tcPr>
            <w:tcW w:w="1125" w:type="dxa"/>
          </w:tcPr>
          <w:p>
            <w:pPr>
              <w:pStyle w:val="15"/>
              <w:spacing w:line="480" w:lineRule="exact"/>
              <w:jc w:val="left"/>
              <w:rPr>
                <w:rFonts w:hAnsi="宋体" w:cs="宋体"/>
                <w:color w:val="auto"/>
                <w:szCs w:val="21"/>
                <w:highlight w:val="none"/>
              </w:rPr>
            </w:pPr>
          </w:p>
        </w:tc>
        <w:tc>
          <w:tcPr>
            <w:tcW w:w="1055" w:type="dxa"/>
          </w:tcPr>
          <w:p>
            <w:pPr>
              <w:pStyle w:val="15"/>
              <w:spacing w:line="480" w:lineRule="exact"/>
              <w:jc w:val="left"/>
              <w:rPr>
                <w:rFonts w:hAnsi="宋体" w:cs="宋体"/>
                <w:color w:val="auto"/>
                <w:szCs w:val="21"/>
                <w:highlight w:val="none"/>
              </w:rPr>
            </w:pPr>
          </w:p>
        </w:tc>
        <w:tc>
          <w:tcPr>
            <w:tcW w:w="1540"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080" w:type="dxa"/>
          </w:tcPr>
          <w:p>
            <w:pPr>
              <w:pStyle w:val="15"/>
              <w:spacing w:line="480" w:lineRule="exact"/>
              <w:jc w:val="left"/>
              <w:rPr>
                <w:rFonts w:hAnsi="宋体" w:cs="宋体"/>
                <w:color w:val="auto"/>
                <w:szCs w:val="21"/>
                <w:highlight w:val="none"/>
              </w:rPr>
            </w:pPr>
          </w:p>
        </w:tc>
        <w:tc>
          <w:tcPr>
            <w:tcW w:w="680" w:type="dxa"/>
          </w:tcPr>
          <w:p>
            <w:pPr>
              <w:pStyle w:val="15"/>
              <w:spacing w:line="480" w:lineRule="exact"/>
              <w:jc w:val="left"/>
              <w:rPr>
                <w:rFonts w:hAnsi="宋体" w:cs="宋体"/>
                <w:color w:val="auto"/>
                <w:szCs w:val="21"/>
                <w:highlight w:val="none"/>
              </w:rPr>
            </w:pPr>
          </w:p>
        </w:tc>
        <w:tc>
          <w:tcPr>
            <w:tcW w:w="1125" w:type="dxa"/>
          </w:tcPr>
          <w:p>
            <w:pPr>
              <w:pStyle w:val="15"/>
              <w:spacing w:line="480" w:lineRule="exact"/>
              <w:jc w:val="left"/>
              <w:rPr>
                <w:rFonts w:hAnsi="宋体" w:cs="宋体"/>
                <w:color w:val="auto"/>
                <w:szCs w:val="21"/>
                <w:highlight w:val="none"/>
              </w:rPr>
            </w:pPr>
          </w:p>
        </w:tc>
        <w:tc>
          <w:tcPr>
            <w:tcW w:w="1055" w:type="dxa"/>
          </w:tcPr>
          <w:p>
            <w:pPr>
              <w:pStyle w:val="15"/>
              <w:spacing w:line="480" w:lineRule="exact"/>
              <w:jc w:val="left"/>
              <w:rPr>
                <w:rFonts w:hAnsi="宋体" w:cs="宋体"/>
                <w:color w:val="auto"/>
                <w:szCs w:val="21"/>
                <w:highlight w:val="none"/>
              </w:rPr>
            </w:pPr>
          </w:p>
        </w:tc>
        <w:tc>
          <w:tcPr>
            <w:tcW w:w="1540"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674" w:type="dxa"/>
            <w:gridSpan w:val="6"/>
          </w:tcPr>
          <w:p>
            <w:pPr>
              <w:pStyle w:val="15"/>
              <w:spacing w:line="480" w:lineRule="exact"/>
              <w:jc w:val="center"/>
              <w:rPr>
                <w:rFonts w:hAnsi="宋体" w:cs="宋体"/>
                <w:color w:val="auto"/>
                <w:szCs w:val="21"/>
                <w:highlight w:val="none"/>
              </w:rPr>
            </w:pPr>
            <w:r>
              <w:rPr>
                <w:rFonts w:hint="eastAsia" w:hAnsi="宋体" w:cs="宋体"/>
                <w:color w:val="auto"/>
                <w:szCs w:val="21"/>
                <w:highlight w:val="none"/>
              </w:rPr>
              <w:t>合      计</w:t>
            </w:r>
          </w:p>
        </w:tc>
        <w:tc>
          <w:tcPr>
            <w:tcW w:w="3455" w:type="dxa"/>
            <w:gridSpan w:val="3"/>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报价合计：      元</w:t>
            </w:r>
          </w:p>
        </w:tc>
      </w:tr>
    </w:tbl>
    <w:p>
      <w:pPr>
        <w:pStyle w:val="73"/>
        <w:spacing w:before="0" w:after="0"/>
        <w:jc w:val="both"/>
        <w:rPr>
          <w:rFonts w:hint="eastAsia" w:ascii="宋体" w:hAnsi="宋体" w:cs="宋体"/>
          <w:color w:val="auto"/>
          <w:szCs w:val="21"/>
          <w:highlight w:val="none"/>
        </w:rPr>
      </w:pPr>
    </w:p>
    <w:p>
      <w:pPr>
        <w:pStyle w:val="73"/>
        <w:spacing w:before="0" w:after="0"/>
        <w:jc w:val="both"/>
        <w:rPr>
          <w:rFonts w:hint="eastAsia" w:ascii="宋体" w:hAnsi="宋体" w:cs="宋体"/>
          <w:color w:val="auto"/>
          <w:szCs w:val="21"/>
          <w:highlight w:val="none"/>
        </w:rPr>
      </w:pPr>
    </w:p>
    <w:tbl>
      <w:tblPr>
        <w:tblStyle w:val="28"/>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1"/>
        <w:gridCol w:w="1060"/>
        <w:gridCol w:w="1530"/>
        <w:gridCol w:w="1086"/>
        <w:gridCol w:w="981"/>
        <w:gridCol w:w="660"/>
        <w:gridCol w:w="1223"/>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9129" w:type="dxa"/>
            <w:gridSpan w:val="9"/>
          </w:tcPr>
          <w:p>
            <w:pPr>
              <w:pStyle w:val="15"/>
              <w:spacing w:line="480" w:lineRule="exact"/>
              <w:jc w:val="left"/>
              <w:rPr>
                <w:rFonts w:hAnsi="宋体" w:cs="宋体"/>
                <w:color w:val="auto"/>
                <w:szCs w:val="21"/>
                <w:highlight w:val="none"/>
              </w:rPr>
            </w:pPr>
            <w:r>
              <w:rPr>
                <w:rFonts w:hint="eastAsia" w:hAnsi="宋体" w:cs="宋体"/>
                <w:color w:val="auto"/>
                <w:szCs w:val="21"/>
                <w:highlight w:val="none"/>
                <w:lang w:eastAsia="zh-CN"/>
              </w:rPr>
              <w:t>二</w:t>
            </w:r>
            <w:r>
              <w:rPr>
                <w:rFonts w:hint="eastAsia" w:hAnsi="宋体" w:cs="宋体"/>
                <w:color w:val="auto"/>
                <w:szCs w:val="21"/>
                <w:highlight w:val="none"/>
              </w:rPr>
              <w:t>、</w:t>
            </w:r>
            <w:r>
              <w:rPr>
                <w:rFonts w:hint="eastAsia" w:hAnsi="宋体" w:cs="宋体"/>
                <w:color w:val="auto"/>
                <w:szCs w:val="21"/>
                <w:highlight w:val="none"/>
                <w:lang w:val="en-US" w:eastAsia="zh-CN"/>
              </w:rPr>
              <w:t>电梯配件</w:t>
            </w:r>
            <w:r>
              <w:rPr>
                <w:rFonts w:hint="eastAsia" w:hAnsi="宋体" w:cs="宋体"/>
                <w:color w:val="auto"/>
                <w:szCs w:val="21"/>
                <w:highlight w:val="none"/>
              </w:rPr>
              <w:t>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序号</w:t>
            </w:r>
          </w:p>
        </w:tc>
        <w:tc>
          <w:tcPr>
            <w:tcW w:w="1081"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配件名称</w:t>
            </w:r>
          </w:p>
        </w:tc>
        <w:tc>
          <w:tcPr>
            <w:tcW w:w="106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品牌</w:t>
            </w:r>
          </w:p>
        </w:tc>
        <w:tc>
          <w:tcPr>
            <w:tcW w:w="153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规格型号</w:t>
            </w:r>
          </w:p>
        </w:tc>
        <w:tc>
          <w:tcPr>
            <w:tcW w:w="1086"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计价单位</w:t>
            </w:r>
          </w:p>
        </w:tc>
        <w:tc>
          <w:tcPr>
            <w:tcW w:w="981" w:type="dxa"/>
          </w:tcPr>
          <w:p>
            <w:pPr>
              <w:pStyle w:val="15"/>
              <w:spacing w:line="480"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单价</w:t>
            </w:r>
          </w:p>
        </w:tc>
        <w:tc>
          <w:tcPr>
            <w:tcW w:w="660" w:type="dxa"/>
          </w:tcPr>
          <w:p>
            <w:pPr>
              <w:pStyle w:val="15"/>
              <w:spacing w:line="480"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数量</w:t>
            </w:r>
          </w:p>
        </w:tc>
        <w:tc>
          <w:tcPr>
            <w:tcW w:w="1223" w:type="dxa"/>
          </w:tcPr>
          <w:p>
            <w:pPr>
              <w:pStyle w:val="15"/>
              <w:spacing w:line="480" w:lineRule="exact"/>
              <w:jc w:val="center"/>
              <w:rPr>
                <w:rFonts w:hint="eastAsia" w:hAnsi="宋体" w:cs="宋体"/>
                <w:color w:val="auto"/>
                <w:szCs w:val="21"/>
                <w:highlight w:val="none"/>
                <w:lang w:eastAsia="zh-CN"/>
              </w:rPr>
            </w:pPr>
            <w:r>
              <w:rPr>
                <w:rFonts w:hint="eastAsia" w:hAnsi="宋体" w:cs="宋体"/>
                <w:color w:val="auto"/>
                <w:szCs w:val="21"/>
                <w:highlight w:val="none"/>
                <w:lang w:eastAsia="zh-CN"/>
              </w:rPr>
              <w:t>小计</w:t>
            </w:r>
          </w:p>
        </w:tc>
        <w:tc>
          <w:tcPr>
            <w:tcW w:w="860" w:type="dxa"/>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530" w:type="dxa"/>
          </w:tcPr>
          <w:p>
            <w:pPr>
              <w:pStyle w:val="15"/>
              <w:spacing w:line="480" w:lineRule="exact"/>
              <w:jc w:val="left"/>
              <w:rPr>
                <w:rFonts w:hAnsi="宋体" w:cs="宋体"/>
                <w:color w:val="auto"/>
                <w:szCs w:val="21"/>
                <w:highlight w:val="none"/>
              </w:rPr>
            </w:pPr>
          </w:p>
        </w:tc>
        <w:tc>
          <w:tcPr>
            <w:tcW w:w="1086" w:type="dxa"/>
          </w:tcPr>
          <w:p>
            <w:pPr>
              <w:pStyle w:val="15"/>
              <w:spacing w:line="480" w:lineRule="exact"/>
              <w:jc w:val="left"/>
              <w:rPr>
                <w:rFonts w:hAnsi="宋体" w:cs="宋体"/>
                <w:color w:val="auto"/>
                <w:szCs w:val="21"/>
                <w:highlight w:val="none"/>
              </w:rPr>
            </w:pPr>
          </w:p>
        </w:tc>
        <w:tc>
          <w:tcPr>
            <w:tcW w:w="981" w:type="dxa"/>
          </w:tcPr>
          <w:p>
            <w:pPr>
              <w:pStyle w:val="15"/>
              <w:spacing w:line="480" w:lineRule="exact"/>
              <w:jc w:val="left"/>
              <w:rPr>
                <w:rFonts w:hAnsi="宋体" w:cs="宋体"/>
                <w:color w:val="auto"/>
                <w:szCs w:val="21"/>
                <w:highlight w:val="none"/>
              </w:rPr>
            </w:pPr>
          </w:p>
        </w:tc>
        <w:tc>
          <w:tcPr>
            <w:tcW w:w="660" w:type="dxa"/>
          </w:tcPr>
          <w:p>
            <w:pPr>
              <w:pStyle w:val="15"/>
              <w:spacing w:line="480" w:lineRule="exact"/>
              <w:jc w:val="left"/>
              <w:rPr>
                <w:rFonts w:hAnsi="宋体" w:cs="宋体"/>
                <w:color w:val="auto"/>
                <w:szCs w:val="21"/>
                <w:highlight w:val="none"/>
              </w:rPr>
            </w:pPr>
          </w:p>
        </w:tc>
        <w:tc>
          <w:tcPr>
            <w:tcW w:w="1223"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530" w:type="dxa"/>
          </w:tcPr>
          <w:p>
            <w:pPr>
              <w:pStyle w:val="15"/>
              <w:spacing w:line="480" w:lineRule="exact"/>
              <w:jc w:val="left"/>
              <w:rPr>
                <w:rFonts w:hAnsi="宋体" w:cs="宋体"/>
                <w:color w:val="auto"/>
                <w:szCs w:val="21"/>
                <w:highlight w:val="none"/>
              </w:rPr>
            </w:pPr>
          </w:p>
        </w:tc>
        <w:tc>
          <w:tcPr>
            <w:tcW w:w="1086" w:type="dxa"/>
          </w:tcPr>
          <w:p>
            <w:pPr>
              <w:pStyle w:val="15"/>
              <w:spacing w:line="480" w:lineRule="exact"/>
              <w:jc w:val="left"/>
              <w:rPr>
                <w:rFonts w:hAnsi="宋体" w:cs="宋体"/>
                <w:color w:val="auto"/>
                <w:szCs w:val="21"/>
                <w:highlight w:val="none"/>
              </w:rPr>
            </w:pPr>
          </w:p>
        </w:tc>
        <w:tc>
          <w:tcPr>
            <w:tcW w:w="981" w:type="dxa"/>
          </w:tcPr>
          <w:p>
            <w:pPr>
              <w:pStyle w:val="15"/>
              <w:spacing w:line="480" w:lineRule="exact"/>
              <w:jc w:val="left"/>
              <w:rPr>
                <w:rFonts w:hAnsi="宋体" w:cs="宋体"/>
                <w:color w:val="auto"/>
                <w:szCs w:val="21"/>
                <w:highlight w:val="none"/>
              </w:rPr>
            </w:pPr>
          </w:p>
        </w:tc>
        <w:tc>
          <w:tcPr>
            <w:tcW w:w="660" w:type="dxa"/>
          </w:tcPr>
          <w:p>
            <w:pPr>
              <w:pStyle w:val="15"/>
              <w:spacing w:line="480" w:lineRule="exact"/>
              <w:jc w:val="left"/>
              <w:rPr>
                <w:rFonts w:hAnsi="宋体" w:cs="宋体"/>
                <w:color w:val="auto"/>
                <w:szCs w:val="21"/>
                <w:highlight w:val="none"/>
              </w:rPr>
            </w:pPr>
          </w:p>
        </w:tc>
        <w:tc>
          <w:tcPr>
            <w:tcW w:w="1223"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648" w:type="dxa"/>
          </w:tcPr>
          <w:p>
            <w:pPr>
              <w:pStyle w:val="15"/>
              <w:spacing w:line="480" w:lineRule="exact"/>
              <w:jc w:val="left"/>
              <w:rPr>
                <w:rFonts w:hAnsi="宋体" w:cs="宋体"/>
                <w:color w:val="auto"/>
                <w:szCs w:val="21"/>
                <w:highlight w:val="none"/>
              </w:rPr>
            </w:pPr>
          </w:p>
        </w:tc>
        <w:tc>
          <w:tcPr>
            <w:tcW w:w="1081" w:type="dxa"/>
          </w:tcPr>
          <w:p>
            <w:pPr>
              <w:pStyle w:val="15"/>
              <w:spacing w:line="480" w:lineRule="exact"/>
              <w:jc w:val="left"/>
              <w:rPr>
                <w:rFonts w:hAnsi="宋体" w:cs="宋体"/>
                <w:color w:val="auto"/>
                <w:szCs w:val="21"/>
                <w:highlight w:val="none"/>
              </w:rPr>
            </w:pPr>
          </w:p>
        </w:tc>
        <w:tc>
          <w:tcPr>
            <w:tcW w:w="1060" w:type="dxa"/>
          </w:tcPr>
          <w:p>
            <w:pPr>
              <w:pStyle w:val="15"/>
              <w:spacing w:line="480" w:lineRule="exact"/>
              <w:jc w:val="left"/>
              <w:rPr>
                <w:rFonts w:hAnsi="宋体" w:cs="宋体"/>
                <w:color w:val="auto"/>
                <w:szCs w:val="21"/>
                <w:highlight w:val="none"/>
              </w:rPr>
            </w:pPr>
          </w:p>
        </w:tc>
        <w:tc>
          <w:tcPr>
            <w:tcW w:w="1530" w:type="dxa"/>
          </w:tcPr>
          <w:p>
            <w:pPr>
              <w:pStyle w:val="15"/>
              <w:spacing w:line="480" w:lineRule="exact"/>
              <w:jc w:val="left"/>
              <w:rPr>
                <w:rFonts w:hAnsi="宋体" w:cs="宋体"/>
                <w:color w:val="auto"/>
                <w:szCs w:val="21"/>
                <w:highlight w:val="none"/>
              </w:rPr>
            </w:pPr>
          </w:p>
        </w:tc>
        <w:tc>
          <w:tcPr>
            <w:tcW w:w="1086" w:type="dxa"/>
          </w:tcPr>
          <w:p>
            <w:pPr>
              <w:pStyle w:val="15"/>
              <w:spacing w:line="480" w:lineRule="exact"/>
              <w:jc w:val="left"/>
              <w:rPr>
                <w:rFonts w:hAnsi="宋体" w:cs="宋体"/>
                <w:color w:val="auto"/>
                <w:szCs w:val="21"/>
                <w:highlight w:val="none"/>
              </w:rPr>
            </w:pPr>
          </w:p>
        </w:tc>
        <w:tc>
          <w:tcPr>
            <w:tcW w:w="981" w:type="dxa"/>
          </w:tcPr>
          <w:p>
            <w:pPr>
              <w:pStyle w:val="15"/>
              <w:spacing w:line="480" w:lineRule="exact"/>
              <w:jc w:val="left"/>
              <w:rPr>
                <w:rFonts w:hAnsi="宋体" w:cs="宋体"/>
                <w:color w:val="auto"/>
                <w:szCs w:val="21"/>
                <w:highlight w:val="none"/>
              </w:rPr>
            </w:pPr>
          </w:p>
        </w:tc>
        <w:tc>
          <w:tcPr>
            <w:tcW w:w="660" w:type="dxa"/>
          </w:tcPr>
          <w:p>
            <w:pPr>
              <w:pStyle w:val="15"/>
              <w:spacing w:line="480" w:lineRule="exact"/>
              <w:jc w:val="left"/>
              <w:rPr>
                <w:rFonts w:hAnsi="宋体" w:cs="宋体"/>
                <w:color w:val="auto"/>
                <w:szCs w:val="21"/>
                <w:highlight w:val="none"/>
              </w:rPr>
            </w:pPr>
          </w:p>
        </w:tc>
        <w:tc>
          <w:tcPr>
            <w:tcW w:w="1223" w:type="dxa"/>
          </w:tcPr>
          <w:p>
            <w:pPr>
              <w:pStyle w:val="15"/>
              <w:spacing w:line="480" w:lineRule="exact"/>
              <w:jc w:val="left"/>
              <w:rPr>
                <w:rFonts w:hAnsi="宋体" w:cs="宋体"/>
                <w:color w:val="auto"/>
                <w:szCs w:val="21"/>
                <w:highlight w:val="none"/>
              </w:rPr>
            </w:pPr>
          </w:p>
        </w:tc>
        <w:tc>
          <w:tcPr>
            <w:tcW w:w="860" w:type="dxa"/>
          </w:tcPr>
          <w:p>
            <w:pPr>
              <w:pStyle w:val="15"/>
              <w:spacing w:line="480" w:lineRule="exact"/>
              <w:jc w:val="left"/>
              <w:rPr>
                <w:rFonts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5405" w:type="dxa"/>
            <w:gridSpan w:val="5"/>
          </w:tcPr>
          <w:p>
            <w:pPr>
              <w:pStyle w:val="15"/>
              <w:spacing w:line="480" w:lineRule="exact"/>
              <w:jc w:val="center"/>
              <w:rPr>
                <w:rFonts w:hAnsi="宋体" w:cs="宋体"/>
                <w:color w:val="auto"/>
                <w:szCs w:val="21"/>
                <w:highlight w:val="none"/>
              </w:rPr>
            </w:pPr>
            <w:r>
              <w:rPr>
                <w:rFonts w:hint="eastAsia" w:hAnsi="宋体" w:cs="宋体"/>
                <w:color w:val="auto"/>
                <w:szCs w:val="21"/>
                <w:highlight w:val="none"/>
              </w:rPr>
              <w:t>合      计</w:t>
            </w:r>
          </w:p>
        </w:tc>
        <w:tc>
          <w:tcPr>
            <w:tcW w:w="3724" w:type="dxa"/>
            <w:gridSpan w:val="4"/>
          </w:tcPr>
          <w:p>
            <w:pPr>
              <w:pStyle w:val="15"/>
              <w:spacing w:line="480" w:lineRule="exact"/>
              <w:jc w:val="left"/>
              <w:rPr>
                <w:rFonts w:hAnsi="宋体" w:cs="宋体"/>
                <w:color w:val="auto"/>
                <w:szCs w:val="21"/>
                <w:highlight w:val="none"/>
              </w:rPr>
            </w:pPr>
            <w:r>
              <w:rPr>
                <w:rFonts w:hint="eastAsia" w:hAnsi="宋体" w:cs="宋体"/>
                <w:color w:val="auto"/>
                <w:szCs w:val="21"/>
                <w:highlight w:val="none"/>
              </w:rPr>
              <w:t>报价合计：      元</w:t>
            </w:r>
          </w:p>
        </w:tc>
      </w:tr>
    </w:tbl>
    <w:p>
      <w:pPr>
        <w:rPr>
          <w:rFonts w:ascii="宋体" w:hAnsi="宋体" w:cs="宋体"/>
          <w:b/>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注：1.以上内容必须与技术方案中所介绍的内容《开标一览表》一致。</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2.此表是投标文件的必要文件，是投标文件的组成部分。</w:t>
      </w:r>
    </w:p>
    <w:p>
      <w:pPr>
        <w:pStyle w:val="2"/>
        <w:ind w:left="0" w:firstLine="0" w:firstLineChars="0"/>
        <w:rPr>
          <w:color w:val="auto"/>
          <w:highlight w:val="none"/>
        </w:rPr>
      </w:pPr>
    </w:p>
    <w:p>
      <w:pP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Cs w:val="21"/>
          <w:highlight w:val="none"/>
        </w:rPr>
      </w:pPr>
      <w:r>
        <w:rPr>
          <w:rFonts w:hint="eastAsia" w:ascii="宋体" w:hAnsi="宋体" w:cs="宋体"/>
          <w:color w:val="auto"/>
          <w:szCs w:val="21"/>
          <w:highlight w:val="none"/>
        </w:rPr>
        <w:t>日期：</w:t>
      </w:r>
      <w:bookmarkStart w:id="149" w:name="_Toc12412"/>
      <w:r>
        <w:rPr>
          <w:rFonts w:hint="eastAsia" w:ascii="宋体" w:hAnsi="宋体" w:cs="宋体"/>
          <w:color w:val="auto"/>
          <w:szCs w:val="21"/>
          <w:highlight w:val="none"/>
        </w:rPr>
        <w:br w:type="page"/>
      </w:r>
    </w:p>
    <w:bookmarkEnd w:id="149"/>
    <w:p>
      <w:pPr>
        <w:rPr>
          <w:rFonts w:ascii="宋体" w:hAnsi="宋体" w:cs="宋体"/>
          <w:color w:val="auto"/>
          <w:sz w:val="52"/>
          <w:szCs w:val="52"/>
          <w:highlight w:val="none"/>
        </w:rPr>
      </w:pPr>
    </w:p>
    <w:p>
      <w:pPr>
        <w:pStyle w:val="6"/>
        <w:spacing w:before="0" w:after="0" w:line="360" w:lineRule="auto"/>
        <w:jc w:val="center"/>
        <w:rPr>
          <w:rFonts w:ascii="宋体" w:hAnsi="宋体" w:eastAsia="宋体" w:cs="宋体"/>
          <w:color w:val="auto"/>
          <w:sz w:val="72"/>
          <w:szCs w:val="72"/>
          <w:highlight w:val="none"/>
        </w:rPr>
      </w:pPr>
      <w:bookmarkStart w:id="150" w:name="_Toc7358"/>
      <w:r>
        <w:rPr>
          <w:rFonts w:hint="eastAsia" w:ascii="宋体" w:hAnsi="宋体" w:eastAsia="宋体" w:cs="宋体"/>
          <w:color w:val="auto"/>
          <w:sz w:val="72"/>
          <w:szCs w:val="72"/>
          <w:highlight w:val="none"/>
        </w:rPr>
        <w:t>商务文件</w:t>
      </w:r>
      <w:bookmarkEnd w:id="150"/>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pPr>
        <w:rPr>
          <w:rFonts w:ascii="宋体" w:hAnsi="宋体" w:cs="宋体"/>
          <w:color w:val="auto"/>
          <w:highlight w:val="none"/>
        </w:rPr>
      </w:pPr>
    </w:p>
    <w:p>
      <w:pPr>
        <w:pStyle w:val="3"/>
        <w:rPr>
          <w:color w:val="auto"/>
          <w:highlight w:val="none"/>
        </w:rPr>
      </w:pPr>
    </w:p>
    <w:p>
      <w:pPr>
        <w:pStyle w:val="2"/>
        <w:ind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pPr>
        <w:pStyle w:val="3"/>
        <w:ind w:left="0"/>
        <w:rPr>
          <w:b/>
          <w:color w:val="auto"/>
          <w:spacing w:val="1280"/>
          <w:sz w:val="32"/>
          <w:szCs w:val="32"/>
          <w:highlight w:val="none"/>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pPr>
        <w:pStyle w:val="3"/>
        <w:rPr>
          <w:b/>
          <w:color w:val="auto"/>
          <w:sz w:val="32"/>
          <w:szCs w:val="32"/>
          <w:highlight w:val="none"/>
        </w:rPr>
      </w:pPr>
    </w:p>
    <w:p>
      <w:pPr>
        <w:pStyle w:val="2"/>
        <w:ind w:firstLine="321"/>
        <w:rPr>
          <w:b/>
          <w:color w:val="auto"/>
          <w:sz w:val="32"/>
          <w:szCs w:val="32"/>
          <w:highlight w:val="none"/>
        </w:rPr>
      </w:pPr>
    </w:p>
    <w:p>
      <w:pPr>
        <w:pStyle w:val="23"/>
        <w:rPr>
          <w:rFonts w:ascii="宋体" w:hAnsi="宋体" w:cs="宋体"/>
          <w:b/>
          <w:color w:val="auto"/>
          <w:sz w:val="32"/>
          <w:szCs w:val="32"/>
          <w:highlight w:val="none"/>
        </w:rPr>
      </w:pPr>
    </w:p>
    <w:p>
      <w:pPr>
        <w:rPr>
          <w:rFonts w:ascii="宋体" w:hAnsi="宋体" w:cs="宋体"/>
          <w:b/>
          <w:color w:val="auto"/>
          <w:sz w:val="32"/>
          <w:szCs w:val="32"/>
          <w:highlight w:val="none"/>
        </w:rPr>
      </w:pPr>
    </w:p>
    <w:p>
      <w:pPr>
        <w:pStyle w:val="3"/>
        <w:rPr>
          <w:b/>
          <w:color w:val="auto"/>
          <w:sz w:val="32"/>
          <w:szCs w:val="32"/>
          <w:highlight w:val="none"/>
        </w:rPr>
      </w:pPr>
    </w:p>
    <w:p>
      <w:pP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highlight w:val="none"/>
        </w:rPr>
      </w:pPr>
      <w:bookmarkStart w:id="151" w:name="_Toc11732"/>
      <w:r>
        <w:rPr>
          <w:rFonts w:hint="eastAsia" w:ascii="宋体" w:hAnsi="宋体" w:cs="宋体"/>
          <w:color w:val="auto"/>
          <w:sz w:val="21"/>
          <w:szCs w:val="21"/>
          <w:highlight w:val="none"/>
        </w:rPr>
        <w:t>附件4.投标书格式</w:t>
      </w:r>
      <w:bookmarkEnd w:id="151"/>
    </w:p>
    <w:p>
      <w:pPr>
        <w:jc w:val="center"/>
        <w:rPr>
          <w:rFonts w:ascii="宋体" w:hAnsi="宋体" w:cs="宋体"/>
          <w:color w:val="auto"/>
          <w:szCs w:val="21"/>
          <w:highlight w:val="none"/>
        </w:rPr>
      </w:pPr>
      <w:r>
        <w:rPr>
          <w:rFonts w:hint="eastAsia" w:ascii="宋体" w:hAnsi="宋体" w:cs="宋体"/>
          <w:color w:val="auto"/>
          <w:sz w:val="32"/>
          <w:szCs w:val="32"/>
          <w:highlight w:val="none"/>
        </w:rPr>
        <w:t>投标书</w:t>
      </w:r>
    </w:p>
    <w:p>
      <w:pPr>
        <w:rPr>
          <w:rFonts w:ascii="宋体" w:hAnsi="宋体" w:cs="宋体"/>
          <w:color w:val="auto"/>
          <w:szCs w:val="21"/>
          <w:highlight w:val="none"/>
        </w:rPr>
      </w:pPr>
      <w:r>
        <w:rPr>
          <w:rFonts w:hint="eastAsia" w:ascii="宋体" w:hAnsi="宋体" w:cs="宋体"/>
          <w:color w:val="auto"/>
          <w:szCs w:val="21"/>
          <w:highlight w:val="none"/>
        </w:rPr>
        <w:t>致：广东志合项目管理有限公司：</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项目采购公告/采购邀请，签字代表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提交投标文件及“唱标信封”：</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在此，签字代表宣布同意如下： </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我方将按采购文件的规定履行合同责任和义务。 </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本投标有效期为自开标日起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个日历日。 </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我方保证遵守投标人须知中关于没收投标保证金的规定。</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我方同意提供按照贵方可能要求的与其投标有关的一切数据或资料。</w:t>
      </w:r>
    </w:p>
    <w:p>
      <w:pPr>
        <w:widowControl w:val="0"/>
        <w:numPr>
          <w:ilvl w:val="0"/>
          <w:numId w:val="11"/>
        </w:numPr>
        <w:adjustRightInd/>
        <w:snapToGrid/>
        <w:jc w:val="both"/>
        <w:rPr>
          <w:rFonts w:ascii="宋体" w:hAnsi="宋体" w:cs="宋体"/>
          <w:color w:val="auto"/>
          <w:szCs w:val="21"/>
          <w:highlight w:val="none"/>
        </w:rPr>
      </w:pPr>
      <w:r>
        <w:rPr>
          <w:rFonts w:hint="eastAsia" w:ascii="宋体" w:hAnsi="宋体" w:cs="宋体"/>
          <w:color w:val="auto"/>
          <w:szCs w:val="21"/>
          <w:highlight w:val="none"/>
        </w:rPr>
        <w:t>与本投标有关的一切正式信函请寄：</w:t>
      </w:r>
    </w:p>
    <w:p>
      <w:pPr>
        <w:rPr>
          <w:rFonts w:ascii="宋体" w:hAnsi="宋体" w:cs="宋体"/>
          <w:color w:val="auto"/>
          <w:szCs w:val="21"/>
          <w:highlight w:val="none"/>
        </w:rPr>
      </w:pPr>
      <w:r>
        <w:rPr>
          <w:rFonts w:hint="eastAsia" w:ascii="宋体" w:hAnsi="宋体" w:cs="宋体"/>
          <w:color w:val="auto"/>
          <w:szCs w:val="21"/>
          <w:highlight w:val="none"/>
        </w:rPr>
        <w:t>地址：　　　　　　　　　　　　　　　　　　　 电子邮箱：</w:t>
      </w:r>
    </w:p>
    <w:p>
      <w:pPr>
        <w:rPr>
          <w:rFonts w:ascii="宋体" w:hAnsi="宋体" w:cs="宋体"/>
          <w:color w:val="auto"/>
          <w:szCs w:val="21"/>
          <w:highlight w:val="none"/>
        </w:rPr>
      </w:pPr>
      <w:r>
        <w:rPr>
          <w:rFonts w:hint="eastAsia" w:ascii="宋体" w:hAnsi="宋体" w:cs="宋体"/>
          <w:color w:val="auto"/>
          <w:szCs w:val="21"/>
          <w:highlight w:val="none"/>
        </w:rPr>
        <w:t>电话/移动电话：　　　　　　　　　　　　　　　</w:t>
      </w:r>
    </w:p>
    <w:p>
      <w:pPr>
        <w:rPr>
          <w:rFonts w:ascii="宋体" w:hAnsi="宋体" w:cs="宋体"/>
          <w:color w:val="auto"/>
          <w:szCs w:val="21"/>
          <w:highlight w:val="none"/>
        </w:rPr>
      </w:pPr>
      <w:r>
        <w:rPr>
          <w:rFonts w:hint="eastAsia" w:ascii="宋体" w:hAnsi="宋体" w:cs="宋体"/>
          <w:color w:val="auto"/>
          <w:szCs w:val="21"/>
          <w:highlight w:val="none"/>
        </w:rPr>
        <w:t xml:space="preserve">投标人法定代表人（或其授权代表）签字： </w:t>
      </w:r>
    </w:p>
    <w:p>
      <w:pPr>
        <w:rPr>
          <w:rFonts w:ascii="宋体" w:hAnsi="宋体" w:cs="宋体"/>
          <w:color w:val="auto"/>
          <w:szCs w:val="21"/>
          <w:highlight w:val="none"/>
        </w:rPr>
      </w:pPr>
      <w:r>
        <w:rPr>
          <w:rFonts w:hint="eastAsia" w:ascii="宋体" w:hAnsi="宋体" w:cs="宋体"/>
          <w:color w:val="auto"/>
          <w:szCs w:val="21"/>
          <w:highlight w:val="none"/>
        </w:rPr>
        <w:t xml:space="preserve">投标人名称（全称）： </w:t>
      </w:r>
    </w:p>
    <w:p>
      <w:pPr>
        <w:rPr>
          <w:rFonts w:ascii="宋体" w:hAnsi="宋体" w:cs="宋体"/>
          <w:color w:val="auto"/>
          <w:szCs w:val="21"/>
          <w:highlight w:val="none"/>
        </w:rPr>
      </w:pPr>
      <w:r>
        <w:rPr>
          <w:rFonts w:hint="eastAsia" w:ascii="宋体" w:hAnsi="宋体" w:cs="宋体"/>
          <w:color w:val="auto"/>
          <w:szCs w:val="21"/>
          <w:highlight w:val="none"/>
        </w:rPr>
        <w:t xml:space="preserve">投标人盖章： </w:t>
      </w:r>
    </w:p>
    <w:p>
      <w:pPr>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highlight w:val="none"/>
        </w:rPr>
        <w:br w:type="page"/>
      </w:r>
    </w:p>
    <w:p>
      <w:pPr>
        <w:pStyle w:val="8"/>
        <w:widowControl w:val="0"/>
        <w:overflowPunct w:val="0"/>
        <w:spacing w:line="240" w:lineRule="auto"/>
        <w:rPr>
          <w:rFonts w:ascii="宋体" w:hAnsi="宋体" w:cs="宋体"/>
          <w:color w:val="auto"/>
          <w:sz w:val="21"/>
          <w:szCs w:val="21"/>
          <w:highlight w:val="none"/>
        </w:rPr>
      </w:pPr>
      <w:bookmarkStart w:id="152" w:name="_Toc19972"/>
      <w:r>
        <w:rPr>
          <w:rFonts w:hint="eastAsia" w:ascii="宋体" w:hAnsi="宋体" w:cs="宋体"/>
          <w:color w:val="auto"/>
          <w:sz w:val="21"/>
          <w:szCs w:val="21"/>
          <w:highlight w:val="none"/>
        </w:rPr>
        <w:t>附件5. 法定代表人证明书格式</w:t>
      </w:r>
      <w:bookmarkEnd w:id="152"/>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法定代表人证明书</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pStyle w:val="42"/>
        <w:spacing w:line="420" w:lineRule="atLeast"/>
        <w:ind w:firstLine="433"/>
        <w:rPr>
          <w:rFonts w:ascii="宋体" w:eastAsia="宋体" w:cs="宋体"/>
          <w:color w:val="auto"/>
          <w:sz w:val="21"/>
          <w:szCs w:val="21"/>
          <w:highlight w:val="none"/>
        </w:rPr>
      </w:pP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投标人名称:</w:t>
      </w: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单 位 性质：</w:t>
      </w:r>
    </w:p>
    <w:p>
      <w:pPr>
        <w:pStyle w:val="42"/>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地      址：</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成 立 时间：年月日</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经 营 期限：</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姓名：性别：年龄：职务：</w:t>
      </w:r>
    </w:p>
    <w:p>
      <w:pPr>
        <w:pStyle w:val="42"/>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系（投标人名称）的法定代表人。</w:t>
      </w:r>
    </w:p>
    <w:p>
      <w:pPr>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法定代表人（签名或盖私章）：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法定代表人联系方式：</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身份证号码：</w:t>
      </w:r>
    </w:p>
    <w:p>
      <w:pPr>
        <w:pStyle w:val="42"/>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注：法定代表人身份证明书需附法人代表身份证复印件。</w:t>
      </w:r>
    </w:p>
    <w:tbl>
      <w:tblPr>
        <w:tblStyle w:val="2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18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pPr>
        <w:rPr>
          <w:rFonts w:ascii="宋体" w:hAnsi="宋体" w:cs="宋体"/>
          <w:color w:val="auto"/>
          <w:highlight w:val="none"/>
        </w:rPr>
      </w:pPr>
    </w:p>
    <w:p>
      <w:pPr>
        <w:adjustRightInd/>
        <w:snapToGrid/>
        <w:spacing w:line="276" w:lineRule="auto"/>
        <w:rPr>
          <w:rFonts w:ascii="宋体" w:hAnsi="宋体" w:cs="宋体"/>
          <w:b/>
          <w:bCs/>
          <w:color w:val="auto"/>
          <w:sz w:val="24"/>
          <w:szCs w:val="28"/>
          <w:highlight w:val="none"/>
        </w:rPr>
      </w:pPr>
      <w:r>
        <w:rPr>
          <w:rFonts w:hint="eastAsia" w:ascii="宋体" w:hAnsi="宋体" w:cs="宋体"/>
          <w:color w:val="auto"/>
          <w:sz w:val="24"/>
          <w:highlight w:val="none"/>
        </w:rPr>
        <w:br w:type="page"/>
      </w:r>
    </w:p>
    <w:p>
      <w:pPr>
        <w:pStyle w:val="8"/>
        <w:widowControl w:val="0"/>
        <w:overflowPunct w:val="0"/>
        <w:spacing w:line="240" w:lineRule="auto"/>
        <w:rPr>
          <w:rFonts w:ascii="宋体" w:hAnsi="宋体" w:cs="宋体"/>
          <w:color w:val="auto"/>
          <w:highlight w:val="none"/>
        </w:rPr>
      </w:pPr>
      <w:bookmarkStart w:id="153" w:name="_Toc19149"/>
      <w:r>
        <w:rPr>
          <w:rFonts w:hint="eastAsia" w:ascii="宋体" w:hAnsi="宋体" w:cs="宋体"/>
          <w:color w:val="auto"/>
          <w:sz w:val="21"/>
          <w:szCs w:val="21"/>
          <w:highlight w:val="none"/>
        </w:rPr>
        <w:t>附件6.法定代表人授权书格式</w:t>
      </w:r>
      <w:bookmarkEnd w:id="153"/>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法定代表人授权书</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pStyle w:val="42"/>
        <w:spacing w:line="420" w:lineRule="atLeast"/>
        <w:ind w:firstLine="433"/>
        <w:rPr>
          <w:rFonts w:ascii="宋体" w:eastAsia="宋体" w:cs="宋体"/>
          <w:color w:val="auto"/>
          <w:sz w:val="21"/>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（国家或地区的名称）</w:t>
      </w:r>
      <w:r>
        <w:rPr>
          <w:rFonts w:hint="eastAsia" w:ascii="宋体" w:hAnsi="宋体" w:cs="宋体"/>
          <w:color w:val="auto"/>
          <w:szCs w:val="21"/>
          <w:highlight w:val="none"/>
        </w:rPr>
        <w:t>的</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代表本单位授权</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为本单位的合法代理人，就</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投标及参加项目谈判，以本单位名义处理一切与之有关的事务。</w:t>
      </w:r>
    </w:p>
    <w:p>
      <w:pPr>
        <w:ind w:firstLine="315" w:firstLineChars="15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日签字生效，特此声明。</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法定代表人签字（签名或盖私章）：</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被授权人签字：</w:t>
      </w:r>
    </w:p>
    <w:p>
      <w:pPr>
        <w:pStyle w:val="42"/>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职务：</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移动电话： </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详细通讯地址：</w:t>
      </w:r>
    </w:p>
    <w:p>
      <w:pPr>
        <w:pStyle w:val="42"/>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邮箱：                          </w:t>
      </w:r>
    </w:p>
    <w:p>
      <w:pPr>
        <w:pStyle w:val="42"/>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pPr>
        <w:pStyle w:val="42"/>
        <w:spacing w:line="460" w:lineRule="exact"/>
        <w:ind w:firstLine="433"/>
        <w:rPr>
          <w:rFonts w:ascii="宋体" w:eastAsia="宋体" w:cs="宋体"/>
          <w:color w:val="auto"/>
          <w:sz w:val="21"/>
          <w:szCs w:val="21"/>
          <w:highlight w:val="none"/>
        </w:rPr>
      </w:pPr>
    </w:p>
    <w:p>
      <w:pPr>
        <w:ind w:firstLine="420" w:firstLineChars="200"/>
        <w:rPr>
          <w:rFonts w:ascii="宋体" w:hAnsi="宋体" w:cs="宋体"/>
          <w:color w:val="auto"/>
          <w:highlight w:val="none"/>
        </w:rPr>
      </w:pPr>
      <w:r>
        <w:rPr>
          <w:rFonts w:hint="eastAsia" w:ascii="宋体" w:hAnsi="宋体" w:cs="宋体"/>
          <w:color w:val="auto"/>
          <w:szCs w:val="21"/>
          <w:highlight w:val="none"/>
        </w:rPr>
        <w:t>须附：被授权人身份证复印件。</w:t>
      </w:r>
    </w:p>
    <w:tbl>
      <w:tblPr>
        <w:tblStyle w:val="2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232" w:type="dxa"/>
            <w:vAlign w:val="center"/>
          </w:tcPr>
          <w:p>
            <w:pPr>
              <w:pStyle w:val="42"/>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pPr>
        <w:adjustRightInd/>
        <w:snapToGrid/>
        <w:spacing w:line="276" w:lineRule="auto"/>
        <w:rPr>
          <w:rFonts w:ascii="宋体" w:hAnsi="宋体" w:cs="宋体"/>
          <w:color w:val="auto"/>
          <w:highlight w:val="none"/>
        </w:rPr>
      </w:pPr>
      <w:bookmarkStart w:id="154" w:name="_Toc22486"/>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55" w:name="_Toc30038"/>
      <w:r>
        <w:rPr>
          <w:rFonts w:hint="eastAsia" w:ascii="宋体" w:hAnsi="宋体" w:cs="宋体"/>
          <w:color w:val="auto"/>
          <w:sz w:val="21"/>
          <w:szCs w:val="21"/>
          <w:highlight w:val="none"/>
        </w:rPr>
        <w:t>附件7.资格申明</w:t>
      </w:r>
      <w:bookmarkEnd w:id="155"/>
    </w:p>
    <w:p>
      <w:pPr>
        <w:jc w:val="center"/>
        <w:rPr>
          <w:rFonts w:ascii="宋体" w:hAnsi="宋体" w:cs="宋体"/>
          <w:color w:val="auto"/>
          <w:sz w:val="28"/>
          <w:szCs w:val="28"/>
          <w:highlight w:val="none"/>
        </w:rPr>
      </w:pPr>
      <w:r>
        <w:rPr>
          <w:rFonts w:hint="eastAsia" w:ascii="宋体" w:hAnsi="宋体" w:cs="宋体"/>
          <w:color w:val="auto"/>
          <w:sz w:val="28"/>
          <w:szCs w:val="28"/>
          <w:highlight w:val="none"/>
        </w:rPr>
        <w:t>资格申明</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u w:val="single"/>
        </w:rPr>
        <w:t xml:space="preserve">  xxx   </w:t>
      </w:r>
      <w:r>
        <w:rPr>
          <w:rFonts w:hint="eastAsia" w:ascii="宋体" w:eastAsia="宋体" w:cs="宋体"/>
          <w:color w:val="auto"/>
          <w:sz w:val="21"/>
          <w:szCs w:val="21"/>
          <w:highlight w:val="none"/>
        </w:rPr>
        <w:t>公司：</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我方愿响应贵方关于（项目名称：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）的投标邀请，参与投标，提供用户需求书中规定的货物及相关服务，并按采购文件要求提交所附资格文件且声明和保证如下：</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二、我方依法注册，在法律上、财务上和运作上完全独立于</w:t>
      </w:r>
      <w:r>
        <w:rPr>
          <w:rFonts w:hint="eastAsia" w:ascii="宋体" w:hAnsi="宋体" w:cs="宋体"/>
          <w:color w:val="auto"/>
          <w:szCs w:val="21"/>
          <w:highlight w:val="none"/>
          <w:u w:val="single"/>
        </w:rPr>
        <w:t xml:space="preserve">  xxxx   </w:t>
      </w:r>
      <w:r>
        <w:rPr>
          <w:rFonts w:hint="eastAsia" w:ascii="宋体" w:hAnsi="宋体" w:cs="宋体"/>
          <w:color w:val="auto"/>
          <w:szCs w:val="21"/>
          <w:highlight w:val="none"/>
        </w:rPr>
        <w:t>公司（采购人）及</w:t>
      </w:r>
      <w:r>
        <w:rPr>
          <w:rFonts w:hint="eastAsia" w:ascii="宋体" w:hAnsi="宋体" w:cs="宋体"/>
          <w:color w:val="auto"/>
          <w:szCs w:val="21"/>
          <w:highlight w:val="none"/>
          <w:u w:val="single"/>
        </w:rPr>
        <w:t xml:space="preserve">    xxx   </w:t>
      </w:r>
      <w:r>
        <w:rPr>
          <w:rFonts w:hint="eastAsia" w:ascii="宋体" w:hAnsi="宋体" w:cs="宋体"/>
          <w:color w:val="auto"/>
          <w:szCs w:val="21"/>
          <w:highlight w:val="none"/>
        </w:rPr>
        <w:t>公司（采购代理机构）。</w:t>
      </w: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3517" w:firstLineChars="1675"/>
        <w:rPr>
          <w:rFonts w:ascii="宋体" w:eastAsia="宋体" w:cs="宋体"/>
          <w:color w:val="auto"/>
          <w:sz w:val="21"/>
          <w:szCs w:val="21"/>
          <w:highlight w:val="none"/>
        </w:rPr>
      </w:pP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法定代表人签字（签名或盖私章）：</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日     期：年月日</w:t>
      </w:r>
    </w:p>
    <w:p>
      <w:pPr>
        <w:pStyle w:val="42"/>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56" w:name="_Toc10305"/>
      <w:r>
        <w:rPr>
          <w:rFonts w:hint="eastAsia" w:ascii="宋体" w:hAnsi="宋体" w:cs="宋体"/>
          <w:color w:val="auto"/>
          <w:sz w:val="21"/>
          <w:szCs w:val="21"/>
          <w:highlight w:val="none"/>
        </w:rPr>
        <w:t>附件8.营业执照</w:t>
      </w:r>
      <w:bookmarkEnd w:id="156"/>
    </w:p>
    <w:p>
      <w:pPr>
        <w:jc w:val="center"/>
        <w:rPr>
          <w:rFonts w:ascii="宋体" w:hAnsi="宋体" w:cs="宋体"/>
          <w:color w:val="auto"/>
          <w:sz w:val="28"/>
          <w:szCs w:val="28"/>
          <w:highlight w:val="none"/>
        </w:rPr>
      </w:pPr>
      <w:bookmarkStart w:id="157" w:name="_Toc1511"/>
      <w:bookmarkStart w:id="158" w:name="_Toc17470"/>
      <w:bookmarkStart w:id="159" w:name="_Toc4926"/>
      <w:bookmarkStart w:id="160" w:name="_Toc24210"/>
      <w:bookmarkStart w:id="161" w:name="_Toc5919"/>
      <w:r>
        <w:rPr>
          <w:rFonts w:hint="eastAsia" w:ascii="宋体" w:hAnsi="宋体" w:cs="宋体"/>
          <w:color w:val="auto"/>
          <w:sz w:val="28"/>
          <w:szCs w:val="28"/>
          <w:highlight w:val="none"/>
        </w:rPr>
        <w:t>营业执照</w:t>
      </w:r>
      <w:bookmarkEnd w:id="157"/>
      <w:bookmarkEnd w:id="158"/>
      <w:bookmarkEnd w:id="159"/>
      <w:bookmarkEnd w:id="160"/>
      <w:bookmarkEnd w:id="161"/>
    </w:p>
    <w:p>
      <w:pPr>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pPr>
        <w:pStyle w:val="8"/>
        <w:widowControl w:val="0"/>
        <w:overflowPunct w:val="0"/>
        <w:spacing w:line="240" w:lineRule="auto"/>
        <w:rPr>
          <w:rFonts w:ascii="宋体" w:hAnsi="宋体" w:cs="宋体"/>
          <w:color w:val="auto"/>
          <w:sz w:val="21"/>
          <w:szCs w:val="21"/>
          <w:highlight w:val="none"/>
        </w:rPr>
      </w:pPr>
      <w:bookmarkStart w:id="162" w:name="_Toc30816"/>
      <w:r>
        <w:rPr>
          <w:rFonts w:hint="eastAsia" w:ascii="宋体" w:hAnsi="宋体" w:cs="宋体"/>
          <w:color w:val="auto"/>
          <w:sz w:val="21"/>
          <w:szCs w:val="21"/>
          <w:highlight w:val="none"/>
        </w:rPr>
        <w:t>附件9.相关资质证明文件</w:t>
      </w:r>
      <w:bookmarkEnd w:id="162"/>
    </w:p>
    <w:p>
      <w:pPr>
        <w:rPr>
          <w:rFonts w:ascii="宋体" w:hAnsi="宋体" w:cs="宋体"/>
          <w:color w:val="auto"/>
          <w:highlight w:val="none"/>
        </w:rPr>
      </w:pPr>
    </w:p>
    <w:p>
      <w:pPr>
        <w:jc w:val="center"/>
        <w:rPr>
          <w:rFonts w:ascii="宋体" w:hAnsi="宋体" w:cs="宋体"/>
          <w:color w:val="auto"/>
          <w:sz w:val="28"/>
          <w:szCs w:val="28"/>
          <w:highlight w:val="none"/>
        </w:rPr>
      </w:pPr>
      <w:bookmarkStart w:id="163" w:name="_Toc30307"/>
      <w:bookmarkStart w:id="164" w:name="_Toc9592"/>
      <w:bookmarkStart w:id="165" w:name="_Toc16233"/>
      <w:bookmarkStart w:id="166" w:name="_Toc13458"/>
      <w:bookmarkStart w:id="167" w:name="_Toc16698"/>
      <w:r>
        <w:rPr>
          <w:rFonts w:hint="eastAsia" w:ascii="宋体" w:hAnsi="宋体" w:cs="宋体"/>
          <w:color w:val="auto"/>
          <w:sz w:val="28"/>
          <w:szCs w:val="28"/>
          <w:highlight w:val="none"/>
        </w:rPr>
        <w:t>相关资质证明文件</w:t>
      </w:r>
      <w:bookmarkEnd w:id="154"/>
      <w:bookmarkEnd w:id="163"/>
      <w:bookmarkEnd w:id="164"/>
      <w:bookmarkEnd w:id="165"/>
      <w:bookmarkEnd w:id="166"/>
      <w:bookmarkEnd w:id="167"/>
    </w:p>
    <w:p>
      <w:pPr>
        <w:numPr>
          <w:ilvl w:val="0"/>
          <w:numId w:val="1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pPr>
        <w:numPr>
          <w:ilvl w:val="0"/>
          <w:numId w:val="12"/>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pPr>
        <w:pStyle w:val="8"/>
        <w:widowControl w:val="0"/>
        <w:overflowPunct w:val="0"/>
        <w:spacing w:line="240" w:lineRule="auto"/>
        <w:rPr>
          <w:rFonts w:ascii="宋体" w:hAnsi="宋体" w:cs="宋体"/>
          <w:color w:val="auto"/>
          <w:highlight w:val="none"/>
        </w:rPr>
      </w:pPr>
      <w:bookmarkStart w:id="168" w:name="_Toc3091"/>
      <w:r>
        <w:rPr>
          <w:rFonts w:hint="eastAsia" w:ascii="宋体" w:hAnsi="宋体" w:cs="宋体"/>
          <w:color w:val="auto"/>
          <w:sz w:val="21"/>
          <w:szCs w:val="21"/>
          <w:highlight w:val="none"/>
        </w:rPr>
        <w:t>附件10.在经营活动中没有重大违法记录的书面声明格式</w:t>
      </w:r>
      <w:bookmarkEnd w:id="168"/>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投标人在经营活动中前三年内未有重大违法记录、没有不良信用记录的声明函</w:t>
      </w:r>
    </w:p>
    <w:p>
      <w:pPr>
        <w:ind w:firstLine="420" w:firstLineChars="200"/>
        <w:rPr>
          <w:rFonts w:ascii="宋体" w:hAnsi="宋体" w:cs="宋体"/>
          <w:color w:val="auto"/>
          <w:szCs w:val="21"/>
          <w:highlight w:val="none"/>
        </w:rPr>
      </w:pP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xx东莞市安居建设投资有限公司：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XX）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ind w:firstLine="420" w:firstLineChars="200"/>
        <w:rPr>
          <w:rFonts w:ascii="宋体" w:hAnsi="宋体" w:cs="宋体"/>
          <w:color w:val="auto"/>
          <w:szCs w:val="21"/>
          <w:highlight w:val="none"/>
        </w:rPr>
      </w:pP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rPr>
          <w:rFonts w:ascii="宋体" w:hAnsi="宋体" w:cs="宋体"/>
          <w:color w:val="auto"/>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rFonts w:ascii="宋体" w:hAnsi="宋体" w:cs="宋体"/>
          <w:color w:val="auto"/>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highlight w:val="none"/>
        </w:rPr>
      </w:pPr>
    </w:p>
    <w:p>
      <w:pPr>
        <w:pStyle w:val="8"/>
        <w:widowControl w:val="0"/>
        <w:overflowPunct w:val="0"/>
        <w:spacing w:line="240" w:lineRule="auto"/>
        <w:rPr>
          <w:rFonts w:ascii="宋体" w:hAnsi="宋体" w:cs="宋体"/>
          <w:color w:val="auto"/>
          <w:highlight w:val="none"/>
        </w:rPr>
      </w:pPr>
      <w:bookmarkStart w:id="169" w:name="_Toc18616"/>
      <w:r>
        <w:rPr>
          <w:rFonts w:hint="eastAsia" w:ascii="宋体" w:hAnsi="宋体" w:cs="宋体"/>
          <w:color w:val="auto"/>
          <w:sz w:val="21"/>
          <w:szCs w:val="21"/>
          <w:highlight w:val="none"/>
        </w:rPr>
        <w:t>附件11.承诺书格式</w:t>
      </w:r>
      <w:bookmarkEnd w:id="169"/>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w:t>
      </w:r>
    </w:p>
    <w:p>
      <w:pPr>
        <w:pStyle w:val="42"/>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致广东志合项目管理有限公司：</w:t>
      </w:r>
    </w:p>
    <w:p>
      <w:pPr>
        <w:jc w:val="center"/>
        <w:rPr>
          <w:rFonts w:ascii="宋体" w:hAnsi="宋体" w:cs="宋体"/>
          <w:color w:val="auto"/>
          <w:szCs w:val="21"/>
          <w:highlight w:val="none"/>
        </w:rPr>
      </w:pPr>
    </w:p>
    <w:p>
      <w:pPr>
        <w:pStyle w:val="42"/>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pPr>
        <w:pStyle w:val="42"/>
        <w:spacing w:line="420" w:lineRule="exact"/>
        <w:ind w:firstLine="433"/>
        <w:rPr>
          <w:rFonts w:ascii="宋体" w:eastAsia="宋体" w:cs="宋体"/>
          <w:color w:val="auto"/>
          <w:sz w:val="21"/>
          <w:szCs w:val="21"/>
          <w:highlight w:val="none"/>
        </w:rPr>
      </w:pP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rPr>
          <w:rFonts w:ascii="宋体" w:hAnsi="宋体" w:cs="宋体"/>
          <w:color w:val="auto"/>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szCs w:val="21"/>
          <w:highlight w:val="none"/>
        </w:rPr>
      </w:pPr>
    </w:p>
    <w:p>
      <w:pPr>
        <w:pStyle w:val="3"/>
        <w:rPr>
          <w:color w:val="auto"/>
          <w:sz w:val="21"/>
          <w:szCs w:val="21"/>
          <w:highlight w:val="none"/>
        </w:rPr>
      </w:pPr>
    </w:p>
    <w:p>
      <w:pPr>
        <w:rPr>
          <w:rFonts w:ascii="宋体" w:hAnsi="宋体" w:cs="宋体"/>
          <w:color w:val="auto"/>
          <w:highlight w:val="none"/>
        </w:rPr>
      </w:pPr>
    </w:p>
    <w:p>
      <w:pPr>
        <w:pStyle w:val="8"/>
        <w:widowControl w:val="0"/>
        <w:overflowPunct w:val="0"/>
        <w:spacing w:line="240" w:lineRule="auto"/>
        <w:rPr>
          <w:rFonts w:ascii="宋体" w:hAnsi="宋体" w:cs="宋体"/>
          <w:color w:val="auto"/>
          <w:sz w:val="21"/>
          <w:szCs w:val="21"/>
          <w:highlight w:val="none"/>
        </w:rPr>
      </w:pPr>
      <w:bookmarkStart w:id="170" w:name="_Toc24507"/>
      <w:r>
        <w:rPr>
          <w:rFonts w:hint="eastAsia" w:ascii="宋体" w:hAnsi="宋体" w:cs="宋体"/>
          <w:color w:val="auto"/>
          <w:sz w:val="21"/>
          <w:szCs w:val="21"/>
          <w:highlight w:val="none"/>
        </w:rPr>
        <w:t>附件12.商务需求条款偏离表格式</w:t>
      </w:r>
      <w:bookmarkEnd w:id="170"/>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商务需求条款偏离表</w:t>
      </w:r>
    </w:p>
    <w:tbl>
      <w:tblPr>
        <w:tblStyle w:val="2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6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587"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133"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73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s="宋体"/>
                <w:color w:val="auto"/>
                <w:szCs w:val="21"/>
                <w:highlight w:val="none"/>
              </w:rPr>
            </w:pPr>
          </w:p>
        </w:tc>
        <w:tc>
          <w:tcPr>
            <w:tcW w:w="1620" w:type="dxa"/>
            <w:vAlign w:val="center"/>
          </w:tcPr>
          <w:p>
            <w:pPr>
              <w:jc w:val="center"/>
              <w:rPr>
                <w:rFonts w:ascii="宋体" w:hAnsi="宋体" w:cs="宋体"/>
                <w:color w:val="auto"/>
                <w:szCs w:val="21"/>
                <w:highlight w:val="none"/>
              </w:rPr>
            </w:pPr>
          </w:p>
        </w:tc>
        <w:tc>
          <w:tcPr>
            <w:tcW w:w="1360" w:type="dxa"/>
            <w:vAlign w:val="center"/>
          </w:tcPr>
          <w:p>
            <w:pPr>
              <w:jc w:val="center"/>
              <w:rPr>
                <w:rFonts w:ascii="宋体" w:hAnsi="宋体" w:cs="宋体"/>
                <w:color w:val="auto"/>
                <w:szCs w:val="21"/>
                <w:highlight w:val="none"/>
              </w:rPr>
            </w:pPr>
          </w:p>
        </w:tc>
        <w:tc>
          <w:tcPr>
            <w:tcW w:w="1587" w:type="dxa"/>
            <w:vAlign w:val="center"/>
          </w:tcPr>
          <w:p>
            <w:pPr>
              <w:jc w:val="center"/>
              <w:rPr>
                <w:rFonts w:ascii="宋体" w:hAnsi="宋体" w:cs="宋体"/>
                <w:color w:val="auto"/>
                <w:szCs w:val="21"/>
                <w:highlight w:val="none"/>
              </w:rPr>
            </w:pPr>
          </w:p>
        </w:tc>
        <w:tc>
          <w:tcPr>
            <w:tcW w:w="1133" w:type="dxa"/>
            <w:vAlign w:val="center"/>
          </w:tcPr>
          <w:p>
            <w:pPr>
              <w:jc w:val="center"/>
              <w:rPr>
                <w:rFonts w:ascii="宋体" w:hAnsi="宋体" w:cs="宋体"/>
                <w:color w:val="auto"/>
                <w:szCs w:val="21"/>
                <w:highlight w:val="none"/>
              </w:rPr>
            </w:pPr>
          </w:p>
        </w:tc>
        <w:tc>
          <w:tcPr>
            <w:tcW w:w="1730" w:type="dxa"/>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Cs w:val="21"/>
          <w:highlight w:val="none"/>
        </w:rPr>
      </w:pPr>
    </w:p>
    <w:p>
      <w:pPr>
        <w:ind w:left="718" w:hanging="718" w:hangingChars="342"/>
        <w:rPr>
          <w:rFonts w:ascii="宋体" w:hAnsi="宋体" w:cs="宋体"/>
          <w:color w:val="auto"/>
          <w:szCs w:val="21"/>
          <w:highlight w:val="none"/>
        </w:rPr>
      </w:pPr>
      <w:r>
        <w:rPr>
          <w:rFonts w:hint="eastAsia" w:ascii="宋体" w:hAnsi="宋体" w:cs="宋体"/>
          <w:color w:val="auto"/>
          <w:szCs w:val="21"/>
          <w:highlight w:val="none"/>
        </w:rPr>
        <w:t>注：</w:t>
      </w:r>
    </w:p>
    <w:p>
      <w:pPr>
        <w:rPr>
          <w:rFonts w:ascii="宋体" w:hAnsi="宋体" w:cs="宋体"/>
          <w:color w:val="auto"/>
          <w:szCs w:val="21"/>
          <w:highlight w:val="none"/>
        </w:rPr>
      </w:pPr>
      <w:r>
        <w:rPr>
          <w:rFonts w:hint="eastAsia" w:ascii="宋体" w:hAnsi="宋体" w:cs="宋体"/>
          <w:color w:val="auto"/>
          <w:szCs w:val="21"/>
          <w:highlight w:val="none"/>
        </w:rPr>
        <w:t>1、投标人应对照采购文件商务需求书中商务要求，说明已对采购文件的商务内容做出了实质性的响应。</w:t>
      </w:r>
    </w:p>
    <w:p>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30"/>
          <w:szCs w:val="30"/>
          <w:highlight w:val="none"/>
        </w:rPr>
      </w:pPr>
      <w:bookmarkStart w:id="171" w:name="_Toc22347"/>
      <w:r>
        <w:rPr>
          <w:rFonts w:hint="eastAsia" w:ascii="宋体" w:hAnsi="宋体" w:cs="宋体"/>
          <w:color w:val="auto"/>
          <w:sz w:val="21"/>
          <w:szCs w:val="21"/>
          <w:highlight w:val="none"/>
        </w:rPr>
        <w:t>附件13.业绩表</w:t>
      </w:r>
      <w:bookmarkEnd w:id="171"/>
    </w:p>
    <w:p>
      <w:pPr>
        <w:jc w:val="center"/>
        <w:rPr>
          <w:rFonts w:ascii="宋体" w:hAnsi="宋体" w:cs="宋体"/>
          <w:color w:val="auto"/>
          <w:sz w:val="28"/>
          <w:szCs w:val="28"/>
          <w:highlight w:val="none"/>
        </w:rPr>
      </w:pPr>
      <w:r>
        <w:rPr>
          <w:rFonts w:hint="eastAsia" w:ascii="宋体" w:hAnsi="宋体" w:cs="宋体"/>
          <w:color w:val="auto"/>
          <w:sz w:val="28"/>
          <w:szCs w:val="28"/>
          <w:highlight w:val="none"/>
        </w:rPr>
        <w:t>业绩表</w:t>
      </w:r>
    </w:p>
    <w:tbl>
      <w:tblPr>
        <w:tblStyle w:val="2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6"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项目金额</w:t>
            </w:r>
          </w:p>
        </w:tc>
        <w:tc>
          <w:tcPr>
            <w:tcW w:w="1705"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项目合同签订时间</w:t>
            </w:r>
          </w:p>
        </w:tc>
        <w:tc>
          <w:tcPr>
            <w:tcW w:w="1697" w:type="dxa"/>
            <w:vAlign w:val="center"/>
          </w:tcPr>
          <w:p>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s="宋体"/>
                <w:color w:val="auto"/>
                <w:szCs w:val="21"/>
                <w:highlight w:val="none"/>
              </w:rPr>
            </w:pPr>
          </w:p>
        </w:tc>
        <w:tc>
          <w:tcPr>
            <w:tcW w:w="1705" w:type="dxa"/>
            <w:vAlign w:val="center"/>
          </w:tcPr>
          <w:p>
            <w:pPr>
              <w:adjustRightInd/>
              <w:snapToGrid/>
              <w:jc w:val="center"/>
              <w:rPr>
                <w:rFonts w:ascii="宋体" w:hAnsi="宋体" w:cs="宋体"/>
                <w:color w:val="auto"/>
                <w:szCs w:val="21"/>
                <w:highlight w:val="none"/>
              </w:rPr>
            </w:pPr>
          </w:p>
        </w:tc>
        <w:tc>
          <w:tcPr>
            <w:tcW w:w="1706" w:type="dxa"/>
            <w:vAlign w:val="center"/>
          </w:tcPr>
          <w:p>
            <w:pPr>
              <w:adjustRightInd/>
              <w:snapToGrid/>
              <w:jc w:val="center"/>
              <w:rPr>
                <w:rFonts w:ascii="宋体" w:hAnsi="宋体" w:cs="宋体"/>
                <w:color w:val="auto"/>
                <w:szCs w:val="21"/>
                <w:highlight w:val="none"/>
              </w:rPr>
            </w:pPr>
          </w:p>
        </w:tc>
        <w:tc>
          <w:tcPr>
            <w:tcW w:w="1705" w:type="dxa"/>
            <w:vAlign w:val="center"/>
          </w:tcPr>
          <w:p>
            <w:pPr>
              <w:adjustRightInd/>
              <w:snapToGrid/>
              <w:jc w:val="center"/>
              <w:rPr>
                <w:rFonts w:ascii="宋体" w:hAnsi="宋体" w:cs="宋体"/>
                <w:color w:val="auto"/>
                <w:szCs w:val="21"/>
                <w:highlight w:val="none"/>
              </w:rPr>
            </w:pPr>
          </w:p>
        </w:tc>
        <w:tc>
          <w:tcPr>
            <w:tcW w:w="1697" w:type="dxa"/>
            <w:vAlign w:val="center"/>
          </w:tcPr>
          <w:p>
            <w:pPr>
              <w:adjustRightInd/>
              <w:snapToGrid/>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706" w:type="dxa"/>
          </w:tcPr>
          <w:p>
            <w:pPr>
              <w:adjustRightInd/>
              <w:snapToGrid/>
              <w:rPr>
                <w:rFonts w:ascii="宋体" w:hAnsi="宋体" w:cs="宋体"/>
                <w:color w:val="auto"/>
                <w:szCs w:val="21"/>
                <w:highlight w:val="none"/>
              </w:rPr>
            </w:pPr>
          </w:p>
        </w:tc>
        <w:tc>
          <w:tcPr>
            <w:tcW w:w="1705" w:type="dxa"/>
          </w:tcPr>
          <w:p>
            <w:pPr>
              <w:adjustRightInd/>
              <w:snapToGrid/>
              <w:rPr>
                <w:rFonts w:ascii="宋体" w:hAnsi="宋体" w:cs="宋体"/>
                <w:color w:val="auto"/>
                <w:szCs w:val="21"/>
                <w:highlight w:val="none"/>
              </w:rPr>
            </w:pPr>
          </w:p>
        </w:tc>
        <w:tc>
          <w:tcPr>
            <w:tcW w:w="1697" w:type="dxa"/>
          </w:tcPr>
          <w:p>
            <w:pPr>
              <w:adjustRightInd/>
              <w:snapToGrid/>
              <w:rPr>
                <w:rFonts w:ascii="宋体" w:hAnsi="宋体" w:cs="宋体"/>
                <w:color w:val="auto"/>
                <w:szCs w:val="21"/>
                <w:highlight w:val="none"/>
              </w:rPr>
            </w:pPr>
          </w:p>
        </w:tc>
      </w:tr>
    </w:tbl>
    <w:p>
      <w:pPr>
        <w:pStyle w:val="39"/>
        <w:rPr>
          <w:rFonts w:ascii="宋体" w:hAnsi="宋体" w:cs="宋体"/>
          <w:color w:val="auto"/>
          <w:szCs w:val="21"/>
          <w:highlight w:val="none"/>
        </w:rPr>
      </w:pPr>
    </w:p>
    <w:p>
      <w:pPr>
        <w:pStyle w:val="39"/>
        <w:rPr>
          <w:rFonts w:ascii="宋体" w:hAnsi="宋体" w:cs="宋体"/>
          <w:color w:val="auto"/>
          <w:szCs w:val="21"/>
          <w:highlight w:val="none"/>
        </w:rPr>
      </w:pPr>
      <w:r>
        <w:rPr>
          <w:rFonts w:hint="eastAsia" w:ascii="宋体" w:hAnsi="宋体" w:cs="宋体"/>
          <w:color w:val="auto"/>
          <w:szCs w:val="21"/>
          <w:highlight w:val="none"/>
        </w:rPr>
        <w:t>注：</w:t>
      </w:r>
    </w:p>
    <w:p>
      <w:pPr>
        <w:pStyle w:val="39"/>
        <w:numPr>
          <w:ilvl w:val="0"/>
          <w:numId w:val="13"/>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pPr>
        <w:pStyle w:val="39"/>
        <w:numPr>
          <w:ilvl w:val="0"/>
          <w:numId w:val="13"/>
        </w:numPr>
        <w:rPr>
          <w:rFonts w:ascii="宋体" w:hAnsi="宋体" w:cs="宋体"/>
          <w:color w:val="auto"/>
          <w:szCs w:val="21"/>
          <w:highlight w:val="none"/>
        </w:rPr>
      </w:pPr>
      <w:r>
        <w:rPr>
          <w:rFonts w:hint="eastAsia" w:ascii="宋体" w:hAnsi="宋体" w:cs="宋体"/>
          <w:color w:val="auto"/>
          <w:szCs w:val="21"/>
          <w:highlight w:val="none"/>
        </w:rPr>
        <w:t>业绩表所列出的材料应为真实准确的，并应提供相关证明材料复印件加盖公章。请勿提供虚假、过期材料，否则将依据相关规定严肃处理。</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rPr>
          <w:color w:val="auto"/>
          <w:szCs w:val="21"/>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pPr>
        <w:pStyle w:val="8"/>
        <w:widowControl w:val="0"/>
        <w:overflowPunct w:val="0"/>
        <w:spacing w:line="240" w:lineRule="auto"/>
        <w:rPr>
          <w:rFonts w:ascii="宋体" w:hAnsi="宋体" w:cs="宋体"/>
          <w:color w:val="auto"/>
          <w:highlight w:val="none"/>
        </w:rPr>
      </w:pPr>
      <w:bookmarkStart w:id="172" w:name="_Toc4222"/>
      <w:r>
        <w:rPr>
          <w:rFonts w:hint="eastAsia" w:ascii="宋体" w:hAnsi="宋体" w:cs="宋体"/>
          <w:color w:val="auto"/>
          <w:sz w:val="21"/>
          <w:szCs w:val="21"/>
          <w:highlight w:val="none"/>
        </w:rPr>
        <w:t>附件14.联合体协议书</w:t>
      </w:r>
      <w:r>
        <w:rPr>
          <w:rFonts w:hint="eastAsia" w:ascii="宋体" w:hAnsi="宋体" w:cs="宋体"/>
          <w:color w:val="auto"/>
          <w:highlight w:val="none"/>
        </w:rPr>
        <w:t>（如有）</w:t>
      </w:r>
      <w:bookmarkEnd w:id="172"/>
    </w:p>
    <w:p>
      <w:pP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b/>
          <w:bCs/>
          <w:color w:val="auto"/>
          <w:highlight w:val="none"/>
        </w:rPr>
        <w:t>联合体共同投标协议书</w:t>
      </w:r>
    </w:p>
    <w:p>
      <w:pPr>
        <w:jc w:val="center"/>
        <w:rPr>
          <w:rFonts w:ascii="宋体" w:hAnsi="宋体" w:cs="宋体"/>
          <w:color w:val="auto"/>
          <w:highlight w:val="none"/>
        </w:rPr>
      </w:pPr>
    </w:p>
    <w:p>
      <w:pPr>
        <w:rPr>
          <w:rFonts w:ascii="宋体" w:hAnsi="宋体" w:cs="宋体"/>
          <w:color w:val="auto"/>
          <w:szCs w:val="21"/>
          <w:highlight w:val="none"/>
        </w:rPr>
      </w:pPr>
      <w:r>
        <w:rPr>
          <w:rFonts w:hint="eastAsia" w:ascii="宋体" w:hAnsi="宋体" w:cs="宋体"/>
          <w:color w:val="auto"/>
          <w:szCs w:val="21"/>
          <w:highlight w:val="none"/>
        </w:rPr>
        <w:t>立约方：（甲公司全称）</w:t>
      </w:r>
    </w:p>
    <w:p>
      <w:pPr>
        <w:rPr>
          <w:rFonts w:ascii="宋体" w:hAnsi="宋体" w:cs="宋体"/>
          <w:color w:val="auto"/>
          <w:szCs w:val="21"/>
          <w:highlight w:val="none"/>
        </w:rPr>
      </w:pPr>
      <w:r>
        <w:rPr>
          <w:rFonts w:hint="eastAsia" w:ascii="宋体" w:hAnsi="宋体" w:cs="宋体"/>
          <w:color w:val="auto"/>
          <w:szCs w:val="21"/>
          <w:highlight w:val="none"/>
        </w:rPr>
        <w:t>（乙公司全称）</w:t>
      </w:r>
    </w:p>
    <w:p>
      <w:pPr>
        <w:rPr>
          <w:rFonts w:ascii="宋体" w:hAnsi="宋体" w:cs="宋体"/>
          <w:color w:val="auto"/>
          <w:szCs w:val="21"/>
          <w:highlight w:val="none"/>
        </w:rPr>
      </w:pPr>
      <w:r>
        <w:rPr>
          <w:rFonts w:hint="eastAsia" w:ascii="宋体" w:hAnsi="宋体" w:cs="宋体"/>
          <w:color w:val="auto"/>
          <w:szCs w:val="21"/>
          <w:highlight w:val="none"/>
        </w:rPr>
        <w:t>（……公司全称）</w:t>
      </w:r>
    </w:p>
    <w:p>
      <w:pPr>
        <w:rPr>
          <w:rFonts w:ascii="宋体" w:hAnsi="宋体" w:cs="宋体"/>
          <w:color w:val="auto"/>
          <w:szCs w:val="21"/>
          <w:highlight w:val="none"/>
        </w:rPr>
      </w:pP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自愿组成联合体，以一个投标人的身份共同参加</w:t>
      </w:r>
      <w:r>
        <w:rPr>
          <w:rFonts w:hint="eastAsia" w:ascii="宋体" w:hAnsi="宋体" w:cs="宋体"/>
          <w:color w:val="auto"/>
          <w:szCs w:val="21"/>
          <w:highlight w:val="none"/>
          <w:u w:val="single"/>
        </w:rPr>
        <w:t>（xxxx项目） （项目编号：xxxx）</w:t>
      </w:r>
      <w:r>
        <w:rPr>
          <w:rFonts w:hint="eastAsia" w:ascii="宋体" w:hAnsi="宋体" w:cs="宋体"/>
          <w:color w:val="auto"/>
          <w:szCs w:val="21"/>
          <w:highlight w:val="none"/>
        </w:rPr>
        <w:t>的招标活动。经各方充分协商一致，就项目的投标和合同实施阶段的有关事务协商一致订立协议如下：</w:t>
      </w:r>
    </w:p>
    <w:p>
      <w:pPr>
        <w:rPr>
          <w:rFonts w:ascii="宋体" w:hAnsi="宋体" w:cs="宋体"/>
          <w:color w:val="auto"/>
          <w:szCs w:val="21"/>
          <w:highlight w:val="none"/>
        </w:rPr>
      </w:pPr>
      <w:r>
        <w:rPr>
          <w:rFonts w:hint="eastAsia" w:ascii="宋体" w:hAnsi="宋体" w:cs="宋体"/>
          <w:color w:val="auto"/>
          <w:szCs w:val="21"/>
          <w:highlight w:val="none"/>
        </w:rPr>
        <w:t>一、联合体各方关系</w:t>
      </w:r>
    </w:p>
    <w:p>
      <w:pPr>
        <w:rPr>
          <w:rFonts w:ascii="宋体" w:hAnsi="宋体" w:cs="宋体"/>
          <w:color w:val="auto"/>
          <w:szCs w:val="21"/>
          <w:highlight w:val="none"/>
        </w:rPr>
      </w:pPr>
      <w:r>
        <w:rPr>
          <w:rFonts w:hint="eastAsia" w:ascii="宋体" w:hAnsi="宋体" w:cs="宋体"/>
          <w:color w:val="auto"/>
          <w:szCs w:val="21"/>
          <w:highlight w:val="none"/>
          <w:u w:val="single"/>
        </w:rPr>
        <w:t>1.（甲公司全称）、（乙公司全称）、（……公司全称）</w:t>
      </w:r>
      <w:r>
        <w:rPr>
          <w:rFonts w:hint="eastAsia" w:ascii="宋体" w:hAnsi="宋体" w:cs="宋体"/>
          <w:color w:val="auto"/>
          <w:szCs w:val="21"/>
          <w:highlight w:val="none"/>
        </w:rPr>
        <w:t>共同组成一个联合体，以一个投标人的身份共同参加本项目的投标。</w:t>
      </w: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作为联合体成员，若中标，联合体各方共同与</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签订合同。</w:t>
      </w:r>
    </w:p>
    <w:p>
      <w:pPr>
        <w:rPr>
          <w:rFonts w:ascii="宋体" w:hAnsi="宋体" w:cs="宋体"/>
          <w:color w:val="auto"/>
          <w:szCs w:val="21"/>
          <w:highlight w:val="none"/>
        </w:rPr>
      </w:pPr>
      <w:r>
        <w:rPr>
          <w:rFonts w:hint="eastAsia" w:ascii="宋体" w:hAnsi="宋体" w:cs="宋体"/>
          <w:color w:val="auto"/>
          <w:szCs w:val="21"/>
          <w:highlight w:val="none"/>
        </w:rPr>
        <w:t>2.本次投标中，以</w:t>
      </w:r>
      <w:r>
        <w:rPr>
          <w:rFonts w:hint="eastAsia" w:ascii="宋体" w:hAnsi="宋体" w:cs="宋体"/>
          <w:color w:val="auto"/>
          <w:szCs w:val="21"/>
          <w:highlight w:val="none"/>
          <w:u w:val="single"/>
        </w:rPr>
        <w:t>（公司全称）</w:t>
      </w:r>
      <w:r>
        <w:rPr>
          <w:rFonts w:hint="eastAsia" w:ascii="宋体" w:hAnsi="宋体" w:cs="宋体"/>
          <w:color w:val="auto"/>
          <w:szCs w:val="21"/>
          <w:highlight w:val="none"/>
        </w:rPr>
        <w:t>为联合体牵头人。</w:t>
      </w:r>
    </w:p>
    <w:p>
      <w:pPr>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pPr>
        <w:rPr>
          <w:rFonts w:ascii="宋体" w:hAnsi="宋体" w:cs="宋体"/>
          <w:color w:val="auto"/>
          <w:szCs w:val="21"/>
          <w:highlight w:val="none"/>
        </w:rPr>
      </w:pPr>
      <w:r>
        <w:rPr>
          <w:rFonts w:hint="eastAsia" w:ascii="宋体" w:hAnsi="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pPr>
        <w:rPr>
          <w:rFonts w:ascii="宋体" w:hAnsi="宋体" w:cs="宋体"/>
          <w:color w:val="auto"/>
          <w:szCs w:val="21"/>
          <w:highlight w:val="none"/>
        </w:rPr>
      </w:pPr>
      <w:r>
        <w:rPr>
          <w:rFonts w:hint="eastAsia" w:ascii="宋体"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pPr>
        <w:rPr>
          <w:rFonts w:ascii="宋体" w:hAnsi="宋体" w:cs="宋体"/>
          <w:color w:val="auto"/>
          <w:szCs w:val="21"/>
          <w:highlight w:val="none"/>
        </w:rPr>
      </w:pPr>
      <w:r>
        <w:rPr>
          <w:rFonts w:hint="eastAsia" w:ascii="宋体" w:hAnsi="宋体" w:cs="宋体"/>
          <w:color w:val="auto"/>
          <w:szCs w:val="21"/>
          <w:highlight w:val="none"/>
        </w:rPr>
        <w:t>3.如中标，联合体各方共同与（采购人）签订合同书，并就中标项目向采购人负有连带的和各自的法律责任；</w:t>
      </w:r>
    </w:p>
    <w:p>
      <w:pPr>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pPr>
        <w:rPr>
          <w:rFonts w:ascii="宋体" w:hAnsi="宋体" w:cs="宋体"/>
          <w:color w:val="auto"/>
          <w:szCs w:val="21"/>
          <w:highlight w:val="none"/>
        </w:rPr>
      </w:pPr>
      <w:r>
        <w:rPr>
          <w:rFonts w:hint="eastAsia" w:ascii="宋体" w:hAnsi="宋体" w:cs="宋体"/>
          <w:color w:val="auto"/>
          <w:szCs w:val="21"/>
          <w:highlight w:val="none"/>
        </w:rPr>
        <w:t>（1）</w:t>
      </w:r>
    </w:p>
    <w:p>
      <w:pPr>
        <w:rPr>
          <w:rFonts w:ascii="宋体" w:hAnsi="宋体" w:cs="宋体"/>
          <w:color w:val="auto"/>
          <w:highlight w:val="none"/>
        </w:rPr>
      </w:pPr>
      <w:r>
        <w:rPr>
          <w:rFonts w:hint="eastAsia" w:ascii="宋体" w:hAnsi="宋体" w:cs="宋体"/>
          <w:color w:val="auto"/>
          <w:szCs w:val="21"/>
          <w:highlight w:val="none"/>
        </w:rPr>
        <w:t>（2）</w:t>
      </w:r>
    </w:p>
    <w:p>
      <w:pPr>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pPr>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pPr>
        <w:rPr>
          <w:rFonts w:ascii="宋体" w:hAnsi="宋体" w:cs="宋体"/>
          <w:color w:val="auto"/>
          <w:szCs w:val="21"/>
          <w:highlight w:val="none"/>
        </w:rPr>
      </w:pPr>
      <w:r>
        <w:rPr>
          <w:rFonts w:hint="eastAsia" w:ascii="宋体" w:hAnsi="宋体" w:cs="宋体"/>
          <w:color w:val="auto"/>
          <w:szCs w:val="21"/>
          <w:highlight w:val="none"/>
        </w:rPr>
        <w:t>五、联合体中标后，本联合体协议是合同的附件，对联合体各成员单位有合同约束力。</w:t>
      </w:r>
    </w:p>
    <w:p>
      <w:pPr>
        <w:rPr>
          <w:rFonts w:ascii="宋体" w:hAnsi="宋体" w:cs="宋体"/>
          <w:color w:val="auto"/>
          <w:szCs w:val="21"/>
          <w:highlight w:val="none"/>
        </w:rPr>
      </w:pPr>
      <w:r>
        <w:rPr>
          <w:rFonts w:hint="eastAsia" w:ascii="宋体" w:hAnsi="宋体" w:cs="宋体"/>
          <w:color w:val="auto"/>
          <w:szCs w:val="21"/>
          <w:highlight w:val="none"/>
        </w:rPr>
        <w:t>六、本协议在自签署之日起生效，投标有效期内有效，如获中标资格，本协议有效期延续至合同履行完毕之日。</w:t>
      </w:r>
    </w:p>
    <w:p>
      <w:pPr>
        <w:rPr>
          <w:rFonts w:ascii="宋体" w:hAnsi="宋体" w:cs="宋体"/>
          <w:color w:val="auto"/>
          <w:szCs w:val="21"/>
          <w:highlight w:val="none"/>
        </w:rPr>
      </w:pPr>
      <w:r>
        <w:rPr>
          <w:rFonts w:hint="eastAsia" w:ascii="宋体" w:hAnsi="宋体" w:cs="宋体"/>
          <w:color w:val="auto"/>
          <w:szCs w:val="21"/>
          <w:highlight w:val="none"/>
        </w:rPr>
        <w:t xml:space="preserve">七、本协议书一式____份，联合体成员和采购人各执一份。 </w:t>
      </w:r>
    </w:p>
    <w:p>
      <w:pPr>
        <w:rPr>
          <w:rFonts w:ascii="宋体" w:hAnsi="宋体" w:cs="宋体"/>
          <w:color w:val="auto"/>
          <w:szCs w:val="21"/>
          <w:highlight w:val="none"/>
        </w:rPr>
      </w:pPr>
    </w:p>
    <w:p>
      <w:pPr>
        <w:pStyle w:val="3"/>
        <w:rPr>
          <w:color w:val="auto"/>
          <w:sz w:val="21"/>
          <w:szCs w:val="21"/>
          <w:highlight w:val="none"/>
        </w:rPr>
      </w:pPr>
      <w:r>
        <w:rPr>
          <w:rFonts w:hint="eastAsia"/>
          <w:color w:val="auto"/>
          <w:sz w:val="21"/>
          <w:szCs w:val="21"/>
          <w:highlight w:val="none"/>
        </w:rPr>
        <w:t>注：本协议书由委托人签字的，应附法定代表人签字的授权委托书。</w:t>
      </w:r>
    </w:p>
    <w:p>
      <w:pPr>
        <w:pStyle w:val="3"/>
        <w:rPr>
          <w:color w:val="auto"/>
          <w:sz w:val="21"/>
          <w:szCs w:val="21"/>
          <w:highlight w:val="none"/>
        </w:rPr>
      </w:pPr>
      <w:r>
        <w:rPr>
          <w:rFonts w:hint="eastAsia"/>
          <w:color w:val="auto"/>
          <w:sz w:val="21"/>
          <w:szCs w:val="21"/>
          <w:highlight w:val="none"/>
        </w:rPr>
        <w:t>牵头人名称：_______________________（盖单位公章）</w:t>
      </w:r>
    </w:p>
    <w:p>
      <w:pPr>
        <w:pStyle w:val="3"/>
        <w:rPr>
          <w:color w:val="auto"/>
          <w:sz w:val="21"/>
          <w:szCs w:val="21"/>
          <w:highlight w:val="none"/>
        </w:rPr>
      </w:pPr>
      <w:r>
        <w:rPr>
          <w:rFonts w:hint="eastAsia"/>
          <w:color w:val="auto"/>
          <w:sz w:val="21"/>
          <w:szCs w:val="21"/>
          <w:highlight w:val="none"/>
        </w:rPr>
        <w:t>法定代表人或其委托代理人：_____________（签字）</w:t>
      </w:r>
    </w:p>
    <w:p>
      <w:pPr>
        <w:pStyle w:val="3"/>
        <w:rPr>
          <w:color w:val="auto"/>
          <w:sz w:val="21"/>
          <w:szCs w:val="21"/>
          <w:highlight w:val="none"/>
        </w:rPr>
      </w:pPr>
    </w:p>
    <w:p>
      <w:pPr>
        <w:pStyle w:val="3"/>
        <w:rPr>
          <w:color w:val="auto"/>
          <w:sz w:val="21"/>
          <w:szCs w:val="21"/>
          <w:highlight w:val="none"/>
        </w:rPr>
      </w:pPr>
      <w:r>
        <w:rPr>
          <w:rFonts w:hint="eastAsia"/>
          <w:color w:val="auto"/>
          <w:sz w:val="21"/>
          <w:szCs w:val="21"/>
          <w:highlight w:val="none"/>
        </w:rPr>
        <w:t>成员一名称：_______________________（盖单位公章）</w:t>
      </w:r>
    </w:p>
    <w:p>
      <w:pPr>
        <w:pStyle w:val="3"/>
        <w:rPr>
          <w:color w:val="auto"/>
          <w:sz w:val="21"/>
          <w:szCs w:val="21"/>
          <w:highlight w:val="none"/>
        </w:rPr>
      </w:pPr>
      <w:r>
        <w:rPr>
          <w:rFonts w:hint="eastAsia"/>
          <w:color w:val="auto"/>
          <w:sz w:val="21"/>
          <w:szCs w:val="21"/>
          <w:highlight w:val="none"/>
        </w:rPr>
        <w:t>法定代表人或其委托代理人：_____________（签字）</w:t>
      </w:r>
    </w:p>
    <w:p>
      <w:pPr>
        <w:pStyle w:val="3"/>
        <w:rPr>
          <w:color w:val="auto"/>
          <w:sz w:val="21"/>
          <w:szCs w:val="21"/>
          <w:highlight w:val="none"/>
        </w:rPr>
      </w:pPr>
    </w:p>
    <w:p>
      <w:pPr>
        <w:pStyle w:val="3"/>
        <w:rPr>
          <w:color w:val="auto"/>
          <w:sz w:val="21"/>
          <w:szCs w:val="21"/>
          <w:highlight w:val="none"/>
        </w:rPr>
      </w:pPr>
      <w:r>
        <w:rPr>
          <w:rFonts w:hint="eastAsia"/>
          <w:color w:val="auto"/>
          <w:sz w:val="21"/>
          <w:szCs w:val="21"/>
          <w:highlight w:val="none"/>
        </w:rPr>
        <w:t>成员二名称：_______________________（盖单位公章）</w:t>
      </w:r>
    </w:p>
    <w:p>
      <w:pPr>
        <w:pStyle w:val="3"/>
        <w:rPr>
          <w:color w:val="auto"/>
          <w:sz w:val="21"/>
          <w:szCs w:val="21"/>
          <w:highlight w:val="none"/>
        </w:rPr>
      </w:pPr>
      <w:r>
        <w:rPr>
          <w:rFonts w:hint="eastAsia"/>
          <w:color w:val="auto"/>
          <w:sz w:val="21"/>
          <w:szCs w:val="21"/>
          <w:highlight w:val="none"/>
        </w:rPr>
        <w:t>法定代表人或其委托代理人：_____________（签字）</w:t>
      </w:r>
    </w:p>
    <w:p>
      <w:pPr>
        <w:pStyle w:val="3"/>
        <w:ind w:firstLine="210" w:firstLineChars="100"/>
        <w:jc w:val="both"/>
        <w:rPr>
          <w:color w:val="auto"/>
          <w:sz w:val="21"/>
          <w:szCs w:val="21"/>
          <w:highlight w:val="none"/>
        </w:rPr>
      </w:pPr>
      <w:r>
        <w:rPr>
          <w:rFonts w:hint="eastAsia"/>
          <w:color w:val="auto"/>
          <w:sz w:val="21"/>
          <w:szCs w:val="21"/>
          <w:highlight w:val="none"/>
        </w:rPr>
        <w:t>……</w:t>
      </w:r>
    </w:p>
    <w:p>
      <w:pPr>
        <w:pStyle w:val="3"/>
        <w:rPr>
          <w:color w:val="auto"/>
          <w:highlight w:val="none"/>
          <w:lang w:val="en-US"/>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r>
        <w:rPr>
          <w:rFonts w:hint="eastAsia"/>
          <w:color w:val="auto"/>
          <w:sz w:val="21"/>
          <w:szCs w:val="21"/>
          <w:highlight w:val="none"/>
        </w:rPr>
        <w:t xml:space="preserve">        年     月     日</w:t>
      </w:r>
    </w:p>
    <w:p>
      <w:pPr>
        <w:pStyle w:val="3"/>
        <w:rPr>
          <w:color w:val="auto"/>
          <w:highlight w:val="none"/>
        </w:rPr>
      </w:pPr>
    </w:p>
    <w:p>
      <w:pPr>
        <w:pStyle w:val="6"/>
        <w:spacing w:before="0" w:after="0" w:line="360" w:lineRule="auto"/>
        <w:jc w:val="center"/>
        <w:rPr>
          <w:rFonts w:ascii="宋体" w:hAnsi="宋体" w:eastAsia="宋体" w:cs="宋体"/>
          <w:color w:val="auto"/>
          <w:sz w:val="72"/>
          <w:szCs w:val="72"/>
          <w:highlight w:val="none"/>
        </w:rPr>
      </w:pPr>
      <w:bookmarkStart w:id="173" w:name="_Toc17454"/>
      <w:r>
        <w:rPr>
          <w:rFonts w:hint="eastAsia" w:ascii="宋体" w:hAnsi="宋体" w:eastAsia="宋体" w:cs="宋体"/>
          <w:color w:val="auto"/>
          <w:sz w:val="72"/>
          <w:szCs w:val="72"/>
          <w:highlight w:val="none"/>
        </w:rPr>
        <w:t>技术文件</w:t>
      </w:r>
      <w:bookmarkEnd w:id="173"/>
    </w:p>
    <w:p>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pPr>
        <w:rPr>
          <w:rFonts w:ascii="宋体" w:hAnsi="宋体" w:cs="宋体"/>
          <w:color w:val="auto"/>
          <w:highlight w:val="none"/>
        </w:rPr>
      </w:pPr>
    </w:p>
    <w:p>
      <w:pPr>
        <w:pStyle w:val="3"/>
        <w:rPr>
          <w:color w:val="auto"/>
          <w:highlight w:val="none"/>
        </w:rPr>
      </w:pPr>
    </w:p>
    <w:p>
      <w:pPr>
        <w:pStyle w:val="2"/>
        <w:ind w:firstLine="240"/>
        <w:rPr>
          <w:color w:val="auto"/>
          <w:highlight w:val="none"/>
        </w:rPr>
      </w:pPr>
    </w:p>
    <w:p>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pPr>
        <w:rPr>
          <w:rFonts w:ascii="宋体" w:hAnsi="宋体" w:cs="宋体"/>
          <w:b/>
          <w:bCs/>
          <w:color w:val="auto"/>
          <w:sz w:val="32"/>
          <w:szCs w:val="32"/>
          <w:highlight w:val="none"/>
        </w:rPr>
      </w:pPr>
      <w:r>
        <w:rPr>
          <w:rFonts w:hint="eastAsia" w:ascii="宋体" w:hAnsi="宋体" w:cs="宋体"/>
          <w:b/>
          <w:bCs/>
          <w:color w:val="auto"/>
          <w:spacing w:val="53"/>
          <w:kern w:val="0"/>
          <w:sz w:val="32"/>
          <w:szCs w:val="32"/>
          <w:highlight w:val="none"/>
          <w:fitText w:val="1600" w:id="1231831253"/>
        </w:rPr>
        <w:t>项目编</w:t>
      </w:r>
      <w:r>
        <w:rPr>
          <w:rFonts w:hint="eastAsia" w:ascii="宋体" w:hAnsi="宋体" w:cs="宋体"/>
          <w:b/>
          <w:bCs/>
          <w:color w:val="auto"/>
          <w:spacing w:val="1"/>
          <w:kern w:val="0"/>
          <w:sz w:val="32"/>
          <w:szCs w:val="32"/>
          <w:highlight w:val="none"/>
          <w:fitText w:val="1600" w:id="1231831253"/>
        </w:rPr>
        <w:t>号</w:t>
      </w:r>
      <w:r>
        <w:rPr>
          <w:rFonts w:hint="eastAsia" w:ascii="宋体" w:hAnsi="宋体" w:cs="宋体"/>
          <w:b/>
          <w:bCs/>
          <w:color w:val="auto"/>
          <w:sz w:val="32"/>
          <w:szCs w:val="32"/>
          <w:highlight w:val="none"/>
        </w:rPr>
        <w:t>：</w:t>
      </w:r>
    </w:p>
    <w:p>
      <w:pPr>
        <w:pStyle w:val="3"/>
        <w:ind w:left="0"/>
        <w:rPr>
          <w:b/>
          <w:color w:val="auto"/>
          <w:spacing w:val="1280"/>
          <w:sz w:val="32"/>
          <w:szCs w:val="32"/>
          <w:highlight w:val="none"/>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pacing w:val="0"/>
          <w:kern w:val="0"/>
          <w:sz w:val="32"/>
          <w:szCs w:val="32"/>
          <w:highlight w:val="none"/>
          <w:fitText w:val="1600" w:id="1764384445"/>
        </w:rPr>
        <w:t>投标人名称</w:t>
      </w:r>
      <w:r>
        <w:rPr>
          <w:rFonts w:hint="eastAsia" w:ascii="宋体" w:hAnsi="宋体" w:cs="宋体"/>
          <w:b/>
          <w:color w:val="auto"/>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32"/>
          <w:kern w:val="0"/>
          <w:sz w:val="32"/>
          <w:szCs w:val="32"/>
          <w:highlight w:val="none"/>
          <w:fitText w:val="1600" w:id="2061173831"/>
        </w:rPr>
        <w:t xml:space="preserve">日    </w:t>
      </w:r>
      <w:r>
        <w:rPr>
          <w:rFonts w:hint="eastAsia" w:ascii="宋体" w:hAnsi="宋体" w:cs="宋体"/>
          <w:b/>
          <w:color w:val="auto"/>
          <w:spacing w:val="0"/>
          <w:kern w:val="0"/>
          <w:sz w:val="32"/>
          <w:szCs w:val="32"/>
          <w:highlight w:val="none"/>
          <w:fitText w:val="1600" w:id="2061173831"/>
        </w:rPr>
        <w:t>期</w:t>
      </w:r>
      <w:r>
        <w:rPr>
          <w:rFonts w:hint="eastAsia" w:ascii="宋体" w:hAnsi="宋体" w:cs="宋体"/>
          <w:b/>
          <w:color w:val="auto"/>
          <w:sz w:val="32"/>
          <w:szCs w:val="32"/>
          <w:highlight w:val="none"/>
        </w:rPr>
        <w:t>：</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74" w:name="_Toc3704"/>
      <w:r>
        <w:rPr>
          <w:rFonts w:hint="eastAsia" w:ascii="宋体" w:hAnsi="宋体" w:cs="宋体"/>
          <w:color w:val="auto"/>
          <w:sz w:val="21"/>
          <w:szCs w:val="21"/>
          <w:highlight w:val="none"/>
        </w:rPr>
        <w:t>附件15. 技术规格偏离表格式</w:t>
      </w:r>
      <w:bookmarkEnd w:id="174"/>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技术规格偏离表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7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62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39"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544"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s="宋体"/>
                <w:color w:val="auto"/>
                <w:szCs w:val="21"/>
                <w:highlight w:val="none"/>
              </w:rPr>
            </w:pPr>
          </w:p>
        </w:tc>
        <w:tc>
          <w:tcPr>
            <w:tcW w:w="1902" w:type="dxa"/>
            <w:vAlign w:val="center"/>
          </w:tcPr>
          <w:p>
            <w:pPr>
              <w:jc w:val="center"/>
              <w:rPr>
                <w:rFonts w:ascii="宋体" w:hAnsi="宋体" w:cs="宋体"/>
                <w:color w:val="auto"/>
                <w:szCs w:val="21"/>
                <w:highlight w:val="none"/>
              </w:rPr>
            </w:pPr>
          </w:p>
        </w:tc>
        <w:tc>
          <w:tcPr>
            <w:tcW w:w="1370" w:type="dxa"/>
            <w:vAlign w:val="center"/>
          </w:tcPr>
          <w:p>
            <w:pPr>
              <w:jc w:val="center"/>
              <w:rPr>
                <w:rFonts w:ascii="宋体" w:hAnsi="宋体" w:cs="宋体"/>
                <w:color w:val="auto"/>
                <w:szCs w:val="21"/>
                <w:highlight w:val="none"/>
              </w:rPr>
            </w:pPr>
          </w:p>
        </w:tc>
        <w:tc>
          <w:tcPr>
            <w:tcW w:w="1629" w:type="dxa"/>
            <w:vAlign w:val="center"/>
          </w:tcPr>
          <w:p>
            <w:pPr>
              <w:jc w:val="center"/>
              <w:rPr>
                <w:rFonts w:ascii="宋体" w:hAnsi="宋体" w:cs="宋体"/>
                <w:color w:val="auto"/>
                <w:szCs w:val="21"/>
                <w:highlight w:val="none"/>
              </w:rPr>
            </w:pPr>
          </w:p>
        </w:tc>
        <w:tc>
          <w:tcPr>
            <w:tcW w:w="1239" w:type="dxa"/>
            <w:vAlign w:val="center"/>
          </w:tcPr>
          <w:p>
            <w:pPr>
              <w:jc w:val="center"/>
              <w:rPr>
                <w:rFonts w:ascii="宋体" w:hAnsi="宋体" w:cs="宋体"/>
                <w:color w:val="auto"/>
                <w:szCs w:val="21"/>
                <w:highlight w:val="none"/>
              </w:rPr>
            </w:pPr>
          </w:p>
        </w:tc>
        <w:tc>
          <w:tcPr>
            <w:tcW w:w="1544" w:type="dxa"/>
            <w:vAlign w:val="center"/>
          </w:tcPr>
          <w:p>
            <w:pPr>
              <w:jc w:val="center"/>
              <w:rPr>
                <w:rFonts w:ascii="宋体" w:hAnsi="宋体" w:cs="宋体"/>
                <w:color w:val="auto"/>
                <w:szCs w:val="21"/>
                <w:highlight w:val="none"/>
              </w:rPr>
            </w:pPr>
          </w:p>
        </w:tc>
      </w:tr>
    </w:tbl>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投标人代表签字：</w:t>
      </w:r>
    </w:p>
    <w:p>
      <w:pPr>
        <w:rPr>
          <w:rFonts w:ascii="宋体" w:hAnsi="宋体" w:cs="宋体"/>
          <w:color w:val="auto"/>
          <w:szCs w:val="21"/>
          <w:highlight w:val="none"/>
        </w:rPr>
      </w:pPr>
      <w:r>
        <w:rPr>
          <w:rFonts w:hint="eastAsia" w:ascii="宋体" w:hAnsi="宋体" w:cs="宋体"/>
          <w:color w:val="auto"/>
          <w:szCs w:val="21"/>
          <w:highlight w:val="none"/>
        </w:rPr>
        <w:t>投标人盖章：</w:t>
      </w:r>
    </w:p>
    <w:p>
      <w:pPr>
        <w:ind w:firstLine="178" w:firstLineChars="85"/>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w:t>
      </w:r>
    </w:p>
    <w:p>
      <w:pPr>
        <w:rPr>
          <w:rFonts w:ascii="宋体" w:hAnsi="宋体" w:cs="宋体"/>
          <w:color w:val="auto"/>
          <w:szCs w:val="21"/>
          <w:highlight w:val="none"/>
        </w:rPr>
      </w:pPr>
      <w:r>
        <w:rPr>
          <w:rFonts w:hint="eastAsia" w:ascii="宋体" w:hAnsi="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pPr>
        <w:adjustRightInd/>
        <w:snapToGrid/>
        <w:spacing w:line="276" w:lineRule="auto"/>
        <w:rPr>
          <w:rFonts w:ascii="宋体" w:hAnsi="宋体" w:cs="宋体"/>
          <w:color w:val="auto"/>
          <w:highlight w:val="none"/>
        </w:rPr>
      </w:pPr>
    </w:p>
    <w:p>
      <w:pPr>
        <w:adjustRightInd/>
        <w:snapToGrid/>
        <w:spacing w:line="276" w:lineRule="auto"/>
        <w:rPr>
          <w:rFonts w:ascii="宋体" w:hAnsi="宋体" w:cs="宋体"/>
          <w:color w:val="auto"/>
          <w:highlight w:val="none"/>
        </w:rPr>
      </w:pPr>
    </w:p>
    <w:p>
      <w:pPr>
        <w:rPr>
          <w:rFonts w:ascii="宋体" w:hAnsi="宋体" w:cs="宋体"/>
          <w:color w:val="auto"/>
          <w:szCs w:val="21"/>
          <w:highlight w:val="none"/>
        </w:rPr>
      </w:pPr>
      <w:bookmarkStart w:id="175" w:name="_Toc17691"/>
      <w:r>
        <w:rPr>
          <w:rFonts w:hint="eastAsia" w:ascii="宋体" w:hAnsi="宋体" w:cs="宋体"/>
          <w:color w:val="auto"/>
          <w:szCs w:val="21"/>
          <w:highlight w:val="none"/>
        </w:rPr>
        <w:br w:type="page"/>
      </w:r>
    </w:p>
    <w:bookmarkEnd w:id="175"/>
    <w:p>
      <w:pPr>
        <w:pStyle w:val="8"/>
        <w:widowControl w:val="0"/>
        <w:overflowPunct w:val="0"/>
        <w:spacing w:line="240" w:lineRule="auto"/>
        <w:rPr>
          <w:rFonts w:ascii="宋体" w:hAnsi="宋体" w:cs="宋体"/>
          <w:color w:val="auto"/>
          <w:sz w:val="21"/>
          <w:szCs w:val="21"/>
          <w:highlight w:val="none"/>
        </w:rPr>
      </w:pPr>
      <w:bookmarkStart w:id="176" w:name="_Toc13819"/>
      <w:r>
        <w:rPr>
          <w:rFonts w:hint="eastAsia" w:ascii="宋体" w:hAnsi="宋体" w:cs="宋体"/>
          <w:color w:val="auto"/>
          <w:sz w:val="21"/>
          <w:szCs w:val="21"/>
          <w:highlight w:val="none"/>
        </w:rPr>
        <w:t>附件16.项目实施方案格式</w:t>
      </w:r>
      <w:bookmarkEnd w:id="176"/>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项目实施方案</w:t>
      </w:r>
    </w:p>
    <w:p>
      <w:pPr>
        <w:jc w:val="center"/>
        <w:rPr>
          <w:rFonts w:ascii="宋体" w:hAnsi="宋体" w:cs="宋体"/>
          <w:color w:val="auto"/>
          <w:sz w:val="32"/>
          <w:szCs w:val="32"/>
          <w:highlight w:val="none"/>
        </w:rPr>
      </w:pP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1、为完成本项目投标人临时投入的设备</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2、为完成本项目投标人投入的人员以及具体工作安排</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3、投标人为本项目制定的具体项目实施方案与项目实施流程</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4、服务方案</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5、..........</w:t>
      </w: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自行编写。</w:t>
      </w:r>
    </w:p>
    <w:p>
      <w:pPr>
        <w:ind w:left="718" w:leftChars="200" w:hanging="298" w:hangingChars="142"/>
        <w:rPr>
          <w:rFonts w:ascii="宋体" w:hAnsi="宋体" w:cs="宋体"/>
          <w:color w:val="auto"/>
          <w:szCs w:val="21"/>
          <w:highlight w:val="none"/>
        </w:rPr>
      </w:pPr>
    </w:p>
    <w:p>
      <w:pPr>
        <w:ind w:left="718" w:leftChars="200" w:hanging="298" w:hangingChars="142"/>
        <w:rPr>
          <w:rFonts w:ascii="宋体" w:hAnsi="宋体" w:cs="宋体"/>
          <w:color w:val="auto"/>
          <w:szCs w:val="21"/>
          <w:highlight w:val="none"/>
        </w:rPr>
      </w:pPr>
    </w:p>
    <w:p>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sz w:val="21"/>
          <w:szCs w:val="21"/>
          <w:highlight w:val="none"/>
        </w:rPr>
      </w:pPr>
      <w:bookmarkStart w:id="177" w:name="_Toc23846"/>
      <w:r>
        <w:rPr>
          <w:rFonts w:hint="eastAsia" w:ascii="宋体" w:hAnsi="宋体" w:cs="宋体"/>
          <w:color w:val="auto"/>
          <w:sz w:val="21"/>
          <w:szCs w:val="21"/>
          <w:highlight w:val="none"/>
        </w:rPr>
        <w:t>附件17.实施本项目的有关人员资料表格式</w:t>
      </w:r>
      <w:bookmarkEnd w:id="177"/>
    </w:p>
    <w:p>
      <w:pPr>
        <w:jc w:val="center"/>
        <w:rPr>
          <w:rFonts w:ascii="宋体" w:hAnsi="宋体" w:cs="宋体"/>
          <w:color w:val="auto"/>
          <w:szCs w:val="21"/>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实施本项目的有关人员资料表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本项目拟任岗位</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412"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68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480"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683" w:type="pct"/>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412" w:type="pct"/>
            <w:tcBorders>
              <w:right w:val="single" w:color="auto" w:sz="6"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109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412"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80" w:type="pct"/>
            <w:vAlign w:val="center"/>
          </w:tcPr>
          <w:p>
            <w:pPr>
              <w:spacing w:line="288" w:lineRule="auto"/>
              <w:jc w:val="center"/>
              <w:rPr>
                <w:rFonts w:ascii="宋体" w:hAnsi="宋体" w:cs="宋体"/>
                <w:color w:val="auto"/>
                <w:szCs w:val="21"/>
                <w:highlight w:val="none"/>
              </w:rPr>
            </w:pPr>
          </w:p>
        </w:tc>
        <w:tc>
          <w:tcPr>
            <w:tcW w:w="683" w:type="pct"/>
            <w:vAlign w:val="center"/>
          </w:tcPr>
          <w:p>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pPr>
              <w:spacing w:line="288" w:lineRule="auto"/>
              <w:jc w:val="center"/>
              <w:rPr>
                <w:rFonts w:ascii="宋体" w:hAnsi="宋体" w:cs="宋体"/>
                <w:color w:val="auto"/>
                <w:szCs w:val="21"/>
                <w:highlight w:val="none"/>
              </w:rPr>
            </w:pPr>
          </w:p>
        </w:tc>
      </w:tr>
    </w:tbl>
    <w:p>
      <w:pPr>
        <w:ind w:firstLine="178" w:firstLineChars="85"/>
        <w:rPr>
          <w:rFonts w:ascii="宋体" w:hAnsi="宋体" w:cs="宋体"/>
          <w:color w:val="auto"/>
          <w:szCs w:val="21"/>
          <w:highlight w:val="none"/>
        </w:rPr>
      </w:pP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附有关证明文件（复印件加盖公章）</w:t>
      </w: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投标人代表签字：</w:t>
      </w:r>
    </w:p>
    <w:p>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投标人盖章：</w:t>
      </w:r>
    </w:p>
    <w:p>
      <w:pPr>
        <w:rPr>
          <w:rFonts w:ascii="宋体" w:hAnsi="宋体" w:cs="宋体"/>
          <w:color w:val="auto"/>
          <w:szCs w:val="21"/>
          <w:highlight w:val="none"/>
        </w:rPr>
      </w:pPr>
      <w:r>
        <w:rPr>
          <w:rFonts w:hint="eastAsia" w:ascii="宋体" w:hAnsi="宋体" w:cs="宋体"/>
          <w:color w:val="auto"/>
          <w:szCs w:val="21"/>
          <w:highlight w:val="none"/>
        </w:rPr>
        <w:t>注：</w:t>
      </w:r>
    </w:p>
    <w:p>
      <w:pPr>
        <w:pStyle w:val="39"/>
        <w:numPr>
          <w:ilvl w:val="0"/>
          <w:numId w:val="14"/>
        </w:numPr>
        <w:ind w:firstLineChars="0"/>
        <w:rPr>
          <w:rFonts w:ascii="宋体" w:hAnsi="宋体" w:cs="宋体"/>
          <w:color w:val="auto"/>
          <w:szCs w:val="21"/>
          <w:highlight w:val="none"/>
        </w:rPr>
      </w:pPr>
      <w:r>
        <w:rPr>
          <w:rFonts w:hint="eastAsia" w:ascii="宋体" w:hAnsi="宋体" w:cs="宋体"/>
          <w:color w:val="auto"/>
          <w:szCs w:val="21"/>
          <w:highlight w:val="none"/>
        </w:rPr>
        <w:t>投标人可按项目的实际需要提供本表格。</w:t>
      </w:r>
    </w:p>
    <w:p>
      <w:pPr>
        <w:pStyle w:val="39"/>
        <w:numPr>
          <w:ilvl w:val="0"/>
          <w:numId w:val="14"/>
        </w:numPr>
        <w:ind w:firstLineChars="0"/>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pPr>
        <w:rPr>
          <w:rFonts w:ascii="宋体" w:hAnsi="宋体" w:cs="宋体"/>
          <w:color w:val="auto"/>
          <w:szCs w:val="21"/>
          <w:highlight w:val="none"/>
        </w:rPr>
      </w:pPr>
      <w:r>
        <w:rPr>
          <w:rFonts w:hint="eastAsia" w:ascii="宋体" w:hAnsi="宋体" w:cs="宋体"/>
          <w:color w:val="auto"/>
          <w:szCs w:val="21"/>
          <w:highlight w:val="none"/>
        </w:rPr>
        <w:t>3、投标人若未提供或未填写完整则视为完全响应采购文件的人员要求，因此对投标人投标产生负面影响的，投标人自行承担后果。</w:t>
      </w:r>
    </w:p>
    <w:p>
      <w:pPr>
        <w:pStyle w:val="39"/>
        <w:numPr>
          <w:ilvl w:val="0"/>
          <w:numId w:val="14"/>
        </w:numPr>
        <w:ind w:firstLineChars="0"/>
        <w:rPr>
          <w:rFonts w:ascii="宋体" w:hAnsi="宋体" w:cs="宋体"/>
          <w:color w:val="auto"/>
          <w:szCs w:val="21"/>
          <w:highlight w:val="none"/>
        </w:rPr>
      </w:pPr>
      <w:r>
        <w:rPr>
          <w:rFonts w:hint="eastAsia" w:ascii="宋体" w:hAnsi="宋体" w:cs="宋体"/>
          <w:color w:val="auto"/>
          <w:szCs w:val="21"/>
          <w:highlight w:val="none"/>
        </w:rPr>
        <w:br w:type="page"/>
      </w:r>
    </w:p>
    <w:p>
      <w:pPr>
        <w:pStyle w:val="8"/>
        <w:widowControl w:val="0"/>
        <w:overflowPunct w:val="0"/>
        <w:spacing w:line="240" w:lineRule="auto"/>
        <w:rPr>
          <w:rFonts w:ascii="宋体" w:hAnsi="宋体" w:cs="宋体"/>
          <w:color w:val="auto"/>
          <w:highlight w:val="none"/>
        </w:rPr>
      </w:pPr>
      <w:bookmarkStart w:id="178" w:name="_Toc15162"/>
      <w:r>
        <w:rPr>
          <w:rFonts w:hint="eastAsia" w:ascii="宋体" w:hAnsi="宋体" w:cs="宋体"/>
          <w:color w:val="auto"/>
          <w:sz w:val="21"/>
          <w:szCs w:val="21"/>
          <w:highlight w:val="none"/>
        </w:rPr>
        <w:t>附件18.投标保证金汇入情况说明格式</w:t>
      </w:r>
      <w:bookmarkEnd w:id="178"/>
    </w:p>
    <w:p>
      <w:pPr>
        <w:rPr>
          <w:rFonts w:ascii="宋体" w:hAnsi="宋体" w:cs="宋体"/>
          <w:color w:val="auto"/>
          <w:highlight w:val="none"/>
        </w:rPr>
      </w:pP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投标保证金汇入情况说明</w:t>
      </w:r>
    </w:p>
    <w:p>
      <w:pPr>
        <w:spacing w:line="480" w:lineRule="auto"/>
        <w:rPr>
          <w:rFonts w:ascii="宋体" w:hAnsi="宋体" w:cs="宋体"/>
          <w:color w:val="auto"/>
          <w:szCs w:val="21"/>
          <w:highlight w:val="none"/>
        </w:rPr>
      </w:pPr>
      <w:r>
        <w:rPr>
          <w:rFonts w:hint="eastAsia" w:ascii="宋体" w:hAnsi="宋体" w:cs="宋体"/>
          <w:color w:val="auto"/>
          <w:szCs w:val="21"/>
          <w:highlight w:val="none"/>
        </w:rPr>
        <w:t>致：xx东莞市安居建设投资有限公司：</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项目（采购项目编号：）的采购文件要求，于年月日前以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本单位投标保证金的汇款情况：（详见附件－投标保证金进帐单）</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XX 银行 XX 分行 XX 支行   ）</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pPr>
        <w:spacing w:line="480" w:lineRule="auto"/>
        <w:ind w:right="628"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p>
    <w:p>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p>
    <w:p>
      <w:pPr>
        <w:spacing w:line="480" w:lineRule="auto"/>
        <w:rPr>
          <w:rFonts w:ascii="宋体" w:hAnsi="宋体" w:cs="宋体"/>
          <w:color w:val="auto"/>
          <w:szCs w:val="21"/>
          <w:highlight w:val="none"/>
        </w:rPr>
      </w:pPr>
      <w:r>
        <w:rPr>
          <w:rFonts w:hint="eastAsia" w:ascii="宋体" w:hAnsi="宋体" w:cs="宋体"/>
          <w:color w:val="auto"/>
          <w:szCs w:val="21"/>
          <w:highlight w:val="none"/>
        </w:rPr>
        <w:t>单位电话： 联系人手机：</w:t>
      </w:r>
    </w:p>
    <w:p>
      <w:pPr>
        <w:rPr>
          <w:rFonts w:ascii="宋体" w:hAnsi="宋体" w:cs="宋体"/>
          <w:color w:val="auto"/>
          <w:szCs w:val="21"/>
          <w:highlight w:val="none"/>
        </w:rPr>
      </w:pP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附：我方投标保证金汇款凭证</w:t>
      </w:r>
    </w:p>
    <w:tbl>
      <w:tblPr>
        <w:tblStyle w:val="2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9" w:hRule="atLeast"/>
        </w:trPr>
        <w:tc>
          <w:tcPr>
            <w:tcW w:w="8953" w:type="dxa"/>
            <w:vAlign w:val="center"/>
          </w:tcPr>
          <w:p>
            <w:pPr>
              <w:tabs>
                <w:tab w:val="left" w:pos="3885"/>
              </w:tabs>
              <w:jc w:val="center"/>
              <w:rPr>
                <w:rFonts w:ascii="宋体" w:hAnsi="宋体" w:cs="宋体"/>
                <w:color w:val="auto"/>
                <w:szCs w:val="21"/>
                <w:highlight w:val="none"/>
              </w:rPr>
            </w:pPr>
            <w:r>
              <w:rPr>
                <w:rFonts w:hint="eastAsia" w:ascii="宋体" w:hAnsi="宋体" w:cs="宋体"/>
                <w:color w:val="auto"/>
                <w:szCs w:val="21"/>
                <w:highlight w:val="none"/>
              </w:rPr>
              <w:t>（粘贴汇款单或转账凭证复印件，并在骑缝上加盖投标人公章，或是直接把转账凭证复印到此张纸上）</w:t>
            </w:r>
          </w:p>
        </w:tc>
      </w:tr>
    </w:tbl>
    <w:p>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pStyle w:val="8"/>
        <w:numPr>
          <w:ilvl w:val="255"/>
          <w:numId w:val="0"/>
        </w:numPr>
        <w:tabs>
          <w:tab w:val="left" w:pos="720"/>
          <w:tab w:val="left" w:pos="3840"/>
        </w:tabs>
        <w:ind w:left="283"/>
        <w:jc w:val="both"/>
        <w:rPr>
          <w:rFonts w:ascii="宋体" w:hAnsi="宋体" w:cs="宋体"/>
          <w:color w:val="auto"/>
          <w:sz w:val="21"/>
          <w:szCs w:val="21"/>
          <w:highlight w:val="none"/>
        </w:rPr>
      </w:pPr>
      <w:bookmarkStart w:id="179" w:name="_Toc1562"/>
      <w:bookmarkStart w:id="180" w:name="_Toc17028"/>
      <w:bookmarkStart w:id="181" w:name="_Toc19947"/>
      <w:bookmarkStart w:id="182" w:name="_Toc2144"/>
      <w:bookmarkStart w:id="183" w:name="_Toc28623"/>
      <w:bookmarkStart w:id="184" w:name="_Toc2801"/>
      <w:bookmarkStart w:id="185" w:name="_Toc4866"/>
      <w:bookmarkStart w:id="186" w:name="_Toc25861"/>
      <w:bookmarkStart w:id="187" w:name="_Toc29855"/>
      <w:bookmarkStart w:id="188" w:name="_Toc18296"/>
      <w:bookmarkStart w:id="189" w:name="_Toc14605"/>
      <w:r>
        <w:rPr>
          <w:rFonts w:hint="eastAsia" w:ascii="宋体" w:hAnsi="宋体" w:cs="宋体"/>
          <w:color w:val="auto"/>
          <w:sz w:val="21"/>
          <w:szCs w:val="21"/>
          <w:highlight w:val="none"/>
        </w:rPr>
        <w:t>附件19.不可撤销履约保函</w:t>
      </w:r>
      <w:bookmarkEnd w:id="179"/>
      <w:bookmarkEnd w:id="180"/>
      <w:bookmarkEnd w:id="181"/>
      <w:bookmarkEnd w:id="182"/>
      <w:bookmarkEnd w:id="183"/>
      <w:bookmarkEnd w:id="184"/>
      <w:bookmarkEnd w:id="185"/>
      <w:bookmarkEnd w:id="186"/>
      <w:bookmarkEnd w:id="187"/>
      <w:bookmarkEnd w:id="188"/>
      <w:bookmarkEnd w:id="189"/>
    </w:p>
    <w:p>
      <w:pPr>
        <w:jc w:val="center"/>
        <w:rPr>
          <w:rFonts w:ascii="宋体" w:hAnsi="宋体" w:cs="宋体"/>
          <w:color w:val="auto"/>
          <w:highlight w:val="none"/>
        </w:rPr>
      </w:pPr>
      <w:r>
        <w:rPr>
          <w:rFonts w:hint="eastAsia" w:ascii="宋体" w:hAnsi="宋体" w:cs="宋体"/>
          <w:color w:val="auto"/>
          <w:highlight w:val="none"/>
        </w:rPr>
        <w:t>银行编号：</w:t>
      </w:r>
    </w:p>
    <w:p>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（甲方）</w:t>
      </w:r>
    </w:p>
    <w:p>
      <w:pPr>
        <w:ind w:firstLine="42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（地址：          ，下称 “乙方” ）</w:t>
      </w:r>
      <w:r>
        <w:rPr>
          <w:rFonts w:hint="eastAsia" w:ascii="宋体" w:hAnsi="宋体" w:cs="宋体"/>
          <w:color w:val="auto"/>
          <w:highlight w:val="none"/>
        </w:rPr>
        <w:t>已保证按</w:t>
      </w:r>
      <w:r>
        <w:rPr>
          <w:rFonts w:hint="eastAsia" w:ascii="宋体" w:hAnsi="宋体" w:cs="宋体"/>
          <w:color w:val="auto"/>
          <w:highlight w:val="none"/>
          <w:u w:val="single"/>
        </w:rPr>
        <w:t xml:space="preserve">        承包合同书（合同编号：    ）</w:t>
      </w:r>
      <w:r>
        <w:rPr>
          <w:rFonts w:hint="eastAsia" w:ascii="宋体" w:hAnsi="宋体" w:cs="宋体"/>
          <w:color w:val="auto"/>
          <w:highlight w:val="none"/>
        </w:rPr>
        <w:t>中规定的义务履行合同。</w:t>
      </w:r>
    </w:p>
    <w:p>
      <w:pPr>
        <w:ind w:firstLine="420" w:firstLineChars="200"/>
        <w:rPr>
          <w:rFonts w:ascii="宋体" w:hAnsi="宋体" w:cs="宋体"/>
          <w:color w:val="auto"/>
          <w:highlight w:val="none"/>
        </w:rPr>
      </w:pPr>
      <w:r>
        <w:rPr>
          <w:rFonts w:hint="eastAsia" w:ascii="宋体" w:hAnsi="宋体" w:cs="宋体"/>
          <w:color w:val="auto"/>
          <w:highlight w:val="none"/>
        </w:rPr>
        <w:t>根据上述合同约定，乙方应向甲方提供一份金额为合同总价的10%即</w:t>
      </w:r>
      <w:r>
        <w:rPr>
          <w:rFonts w:hint="eastAsia" w:ascii="宋体" w:hAnsi="宋体" w:cs="宋体"/>
          <w:color w:val="auto"/>
          <w:highlight w:val="none"/>
          <w:u w:val="single"/>
        </w:rPr>
        <w:t>人民币      （RMB    元）</w:t>
      </w:r>
      <w:r>
        <w:rPr>
          <w:rFonts w:hint="eastAsia" w:ascii="宋体" w:hAnsi="宋体" w:cs="宋体"/>
          <w:color w:val="auto"/>
          <w:highlight w:val="none"/>
        </w:rPr>
        <w:t>的</w:t>
      </w:r>
      <w:r>
        <w:rPr>
          <w:rFonts w:hint="eastAsia" w:ascii="宋体" w:hAnsi="宋体" w:cs="宋体"/>
          <w:bCs/>
          <w:color w:val="auto"/>
          <w:highlight w:val="none"/>
        </w:rPr>
        <w:t>不可撤销</w:t>
      </w:r>
      <w:r>
        <w:rPr>
          <w:rFonts w:hint="eastAsia" w:ascii="宋体" w:hAnsi="宋体" w:cs="宋体"/>
          <w:color w:val="auto"/>
          <w:highlight w:val="none"/>
        </w:rPr>
        <w:t>银行履约保函，作为乙方履行上述合同的担保。</w:t>
      </w:r>
    </w:p>
    <w:p>
      <w:pPr>
        <w:ind w:firstLine="420" w:firstLineChars="200"/>
        <w:rPr>
          <w:rFonts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 xml:space="preserve">            （银行名称）</w:t>
      </w:r>
      <w:r>
        <w:rPr>
          <w:rFonts w:hint="eastAsia" w:ascii="宋体" w:hAnsi="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color w:val="auto"/>
          <w:highlight w:val="none"/>
          <w:u w:val="single"/>
        </w:rPr>
        <w:t>人民币          （RMB       元）</w:t>
      </w:r>
      <w:r>
        <w:rPr>
          <w:rFonts w:hint="eastAsia" w:ascii="宋体" w:hAnsi="宋体" w:cs="宋体"/>
          <w:color w:val="auto"/>
          <w:highlight w:val="none"/>
        </w:rPr>
        <w:t>的保证金。</w:t>
      </w:r>
    </w:p>
    <w:p>
      <w:pPr>
        <w:ind w:firstLine="420" w:firstLineChars="200"/>
        <w:rPr>
          <w:rFonts w:ascii="宋体" w:hAnsi="宋体" w:cs="宋体"/>
          <w:color w:val="auto"/>
          <w:highlight w:val="none"/>
        </w:rPr>
      </w:pPr>
      <w:r>
        <w:rPr>
          <w:rFonts w:hint="eastAsia" w:ascii="宋体" w:hAnsi="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pPr>
        <w:ind w:firstLine="420" w:firstLineChars="200"/>
        <w:rPr>
          <w:rFonts w:ascii="宋体" w:hAnsi="宋体" w:cs="宋体"/>
          <w:color w:val="auto"/>
          <w:highlight w:val="none"/>
        </w:rPr>
      </w:pPr>
      <w:r>
        <w:rPr>
          <w:rFonts w:hint="eastAsia" w:ascii="宋体" w:hAnsi="宋体" w:cs="宋体"/>
          <w:color w:val="auto"/>
          <w:highlight w:val="none"/>
        </w:rPr>
        <w:t>本保函从上述合同签订之日起至项目服务期结束验收合格并完成结算后，双方签字之日起7天内保持有效。</w:t>
      </w:r>
    </w:p>
    <w:p>
      <w:pPr>
        <w:ind w:firstLine="2824" w:firstLineChars="1345"/>
        <w:rPr>
          <w:rFonts w:ascii="宋体" w:hAnsi="宋体" w:cs="宋体"/>
          <w:color w:val="auto"/>
          <w:highlight w:val="none"/>
        </w:rPr>
      </w:pPr>
    </w:p>
    <w:p>
      <w:pPr>
        <w:ind w:firstLine="5040" w:firstLineChars="2400"/>
        <w:rPr>
          <w:rFonts w:ascii="宋体" w:hAnsi="宋体" w:cs="宋体"/>
          <w:color w:val="auto"/>
          <w:highlight w:val="none"/>
        </w:rPr>
      </w:pPr>
      <w:r>
        <w:rPr>
          <w:rFonts w:hint="eastAsia" w:ascii="宋体" w:hAnsi="宋体" w:cs="宋体"/>
          <w:color w:val="auto"/>
          <w:highlight w:val="none"/>
        </w:rPr>
        <w:t>保证人：（盖章）</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负责人：（签字）</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pPr>
        <w:ind w:firstLine="5040" w:firstLineChars="24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pPr>
        <w:pStyle w:val="12"/>
        <w:rPr>
          <w:rFonts w:cs="宋体"/>
          <w:color w:val="auto"/>
          <w:szCs w:val="24"/>
          <w:highlight w:val="none"/>
        </w:rPr>
      </w:pPr>
      <w:r>
        <w:rPr>
          <w:rFonts w:hint="eastAsia" w:cs="宋体"/>
          <w:color w:val="auto"/>
          <w:szCs w:val="24"/>
          <w:highlight w:val="none"/>
        </w:rPr>
        <w:t>说明：投标人在投标时不需提交正式保函，在投标文件中盖投标人公章确认保函格式即可，乙方</w:t>
      </w:r>
      <w:r>
        <w:rPr>
          <w:rFonts w:hint="eastAsia" w:cs="宋体"/>
          <w:color w:val="auto"/>
          <w:highlight w:val="none"/>
        </w:rPr>
        <w:t>在签订合同时</w:t>
      </w:r>
      <w:r>
        <w:rPr>
          <w:rFonts w:hint="eastAsia" w:cs="宋体"/>
          <w:color w:val="auto"/>
          <w:szCs w:val="24"/>
          <w:highlight w:val="none"/>
        </w:rPr>
        <w:t>提交正式保函。</w:t>
      </w:r>
    </w:p>
    <w:p>
      <w:pPr>
        <w:rPr>
          <w:rFonts w:ascii="宋体" w:hAnsi="宋体" w:cs="宋体"/>
          <w:color w:val="auto"/>
          <w:szCs w:val="21"/>
          <w:highlight w:val="none"/>
        </w:rPr>
      </w:pPr>
    </w:p>
    <w:p>
      <w:pPr>
        <w:rPr>
          <w:rFonts w:ascii="宋体" w:hAnsi="宋体" w:cs="宋体"/>
          <w:color w:val="auto"/>
          <w:szCs w:val="21"/>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pPr>
        <w:pStyle w:val="8"/>
        <w:numPr>
          <w:ilvl w:val="255"/>
          <w:numId w:val="0"/>
        </w:numPr>
        <w:tabs>
          <w:tab w:val="left" w:pos="720"/>
          <w:tab w:val="left" w:pos="3840"/>
        </w:tabs>
        <w:ind w:left="283"/>
        <w:jc w:val="both"/>
        <w:rPr>
          <w:rFonts w:ascii="宋体" w:hAnsi="宋体" w:cs="宋体"/>
          <w:color w:val="auto"/>
          <w:sz w:val="21"/>
          <w:szCs w:val="21"/>
          <w:highlight w:val="none"/>
        </w:rPr>
      </w:pPr>
      <w:bookmarkStart w:id="190" w:name="_Toc29098"/>
      <w:r>
        <w:rPr>
          <w:rFonts w:hint="eastAsia" w:ascii="宋体" w:hAnsi="宋体" w:cs="宋体"/>
          <w:color w:val="auto"/>
          <w:sz w:val="21"/>
          <w:szCs w:val="21"/>
          <w:highlight w:val="none"/>
        </w:rPr>
        <w:t>附件20.预付款保函（适用于预付款支付）</w:t>
      </w:r>
      <w:bookmarkEnd w:id="190"/>
    </w:p>
    <w:p>
      <w:pPr>
        <w:pStyle w:val="12"/>
        <w:rPr>
          <w:rFonts w:cs="宋体"/>
          <w:color w:val="auto"/>
          <w:szCs w:val="24"/>
          <w:highlight w:val="none"/>
        </w:rPr>
      </w:pPr>
    </w:p>
    <w:p>
      <w:pPr>
        <w:jc w:val="center"/>
        <w:rPr>
          <w:rFonts w:ascii="宋体" w:hAnsi="宋体" w:cs="宋体"/>
          <w:color w:val="auto"/>
          <w:sz w:val="28"/>
          <w:szCs w:val="28"/>
          <w:highlight w:val="none"/>
        </w:rPr>
      </w:pPr>
      <w:bookmarkStart w:id="191" w:name="_Toc7374"/>
      <w:bookmarkStart w:id="192" w:name="_Toc5034"/>
      <w:bookmarkStart w:id="193" w:name="_Toc10315"/>
      <w:bookmarkStart w:id="194" w:name="_Toc29728"/>
      <w:bookmarkStart w:id="195" w:name="_Toc3295"/>
      <w:bookmarkStart w:id="196" w:name="_Toc29054"/>
      <w:bookmarkStart w:id="197" w:name="_Toc6877"/>
      <w:bookmarkStart w:id="198" w:name="_Toc1039"/>
      <w:bookmarkStart w:id="199" w:name="_Toc27545"/>
      <w:bookmarkStart w:id="200" w:name="_Toc20669"/>
      <w:bookmarkStart w:id="201" w:name="_Toc31418"/>
      <w:bookmarkStart w:id="202" w:name="_Toc25494"/>
      <w:r>
        <w:rPr>
          <w:rFonts w:hint="eastAsia" w:ascii="宋体" w:hAnsi="宋体" w:cs="宋体"/>
          <w:color w:val="auto"/>
          <w:sz w:val="28"/>
          <w:szCs w:val="28"/>
          <w:highlight w:val="none"/>
        </w:rPr>
        <w:t>不可撤销预付款保函</w:t>
      </w:r>
      <w:bookmarkEnd w:id="191"/>
      <w:bookmarkEnd w:id="192"/>
      <w:bookmarkEnd w:id="193"/>
      <w:bookmarkEnd w:id="194"/>
      <w:bookmarkEnd w:id="195"/>
      <w:bookmarkEnd w:id="196"/>
      <w:bookmarkEnd w:id="197"/>
      <w:bookmarkEnd w:id="198"/>
      <w:bookmarkEnd w:id="199"/>
      <w:bookmarkEnd w:id="200"/>
      <w:bookmarkEnd w:id="201"/>
      <w:bookmarkEnd w:id="202"/>
    </w:p>
    <w:p>
      <w:pPr>
        <w:ind w:firstLine="6300"/>
        <w:rPr>
          <w:rFonts w:ascii="宋体" w:hAnsi="宋体" w:cs="宋体"/>
          <w:color w:val="auto"/>
          <w:szCs w:val="21"/>
          <w:highlight w:val="none"/>
          <w:u w:val="single"/>
        </w:rPr>
      </w:pPr>
      <w:r>
        <w:rPr>
          <w:rFonts w:hint="eastAsia" w:ascii="宋体" w:hAnsi="宋体" w:cs="宋体"/>
          <w:color w:val="auto"/>
          <w:szCs w:val="21"/>
          <w:highlight w:val="none"/>
        </w:rPr>
        <w:t>银行编号：</w:t>
      </w:r>
      <w:r>
        <w:rPr>
          <w:rFonts w:hint="eastAsia" w:ascii="宋体" w:hAnsi="宋体" w:cs="宋体"/>
          <w:color w:val="auto"/>
          <w:szCs w:val="21"/>
          <w:highlight w:val="none"/>
          <w:u w:val="single"/>
        </w:rPr>
        <w:t xml:space="preserve">             </w:t>
      </w:r>
    </w:p>
    <w:p>
      <w:pPr>
        <w:ind w:firstLine="6300"/>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（下称“采购人”）</w:t>
      </w:r>
    </w:p>
    <w:p>
      <w:pPr>
        <w:ind w:firstLine="437"/>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4"/>
          <w:highlight w:val="none"/>
          <w:u w:val="single"/>
        </w:rPr>
        <w:t>（地址：          ，下称 “中标人” ）</w:t>
      </w:r>
      <w:r>
        <w:rPr>
          <w:rFonts w:hint="eastAsia" w:ascii="宋体" w:hAnsi="宋体" w:cs="宋体"/>
          <w:color w:val="auto"/>
          <w:szCs w:val="21"/>
          <w:highlight w:val="none"/>
        </w:rPr>
        <w:t>，已保证按</w:t>
      </w:r>
      <w:r>
        <w:rPr>
          <w:rFonts w:hint="eastAsia" w:ascii="宋体" w:hAnsi="宋体" w:cs="宋体"/>
          <w:color w:val="auto"/>
          <w:szCs w:val="21"/>
          <w:highlight w:val="none"/>
          <w:u w:val="single"/>
        </w:rPr>
        <w:t xml:space="preserve">          承包合同书（合同编号：    ）</w:t>
      </w:r>
      <w:r>
        <w:rPr>
          <w:rFonts w:hint="eastAsia" w:ascii="宋体" w:hAnsi="宋体" w:cs="宋体"/>
          <w:color w:val="auto"/>
          <w:szCs w:val="21"/>
          <w:highlight w:val="none"/>
        </w:rPr>
        <w:t>中规定的义务履行合同。</w:t>
      </w:r>
    </w:p>
    <w:p>
      <w:pPr>
        <w:ind w:firstLine="437"/>
        <w:rPr>
          <w:rFonts w:ascii="宋体" w:hAnsi="宋体" w:cs="宋体"/>
          <w:color w:val="auto"/>
          <w:szCs w:val="21"/>
          <w:highlight w:val="none"/>
        </w:rPr>
      </w:pPr>
      <w:r>
        <w:rPr>
          <w:rFonts w:hint="eastAsia" w:ascii="宋体" w:hAnsi="宋体" w:cs="宋体"/>
          <w:color w:val="auto"/>
          <w:szCs w:val="24"/>
          <w:highlight w:val="none"/>
        </w:rPr>
        <w:t>根据上述合同（招标文件）规定，中标人应向采购人提供一份金额为合同总价的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即人民币</w:t>
      </w:r>
      <w:r>
        <w:rPr>
          <w:rFonts w:hint="eastAsia" w:ascii="宋体" w:hAnsi="宋体" w:cs="宋体"/>
          <w:color w:val="auto"/>
          <w:szCs w:val="21"/>
          <w:highlight w:val="none"/>
          <w:u w:val="single"/>
        </w:rPr>
        <w:t xml:space="preserve">      （RMB      元）</w:t>
      </w:r>
      <w:r>
        <w:rPr>
          <w:rFonts w:hint="eastAsia" w:ascii="宋体" w:hAnsi="宋体" w:cs="宋体"/>
          <w:color w:val="auto"/>
          <w:szCs w:val="21"/>
          <w:highlight w:val="none"/>
        </w:rPr>
        <w:t>的不可撤销银行预付款保函，以保证中标人履行合同的相关条款。</w:t>
      </w:r>
    </w:p>
    <w:p>
      <w:pPr>
        <w:ind w:firstLine="437"/>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（银行名称）  </w:t>
      </w:r>
      <w:r>
        <w:rPr>
          <w:rFonts w:hint="eastAsia" w:ascii="宋体" w:hAnsi="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pPr>
        <w:ind w:firstLine="437"/>
        <w:rPr>
          <w:rFonts w:ascii="宋体" w:hAnsi="宋体" w:cs="宋体"/>
          <w:color w:val="auto"/>
          <w:szCs w:val="21"/>
          <w:highlight w:val="none"/>
        </w:rPr>
      </w:pPr>
      <w:r>
        <w:rPr>
          <w:rFonts w:hint="eastAsia" w:ascii="宋体" w:hAnsi="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pPr>
        <w:ind w:firstLine="437"/>
        <w:rPr>
          <w:rFonts w:ascii="宋体" w:hAnsi="宋体" w:cs="宋体"/>
          <w:color w:val="auto"/>
          <w:szCs w:val="21"/>
          <w:highlight w:val="none"/>
        </w:rPr>
      </w:pPr>
      <w:r>
        <w:rPr>
          <w:rFonts w:hint="eastAsia" w:ascii="宋体" w:hAnsi="宋体" w:cs="宋体"/>
          <w:color w:val="auto"/>
          <w:szCs w:val="21"/>
          <w:highlight w:val="none"/>
        </w:rPr>
        <w:t>本保函有效期从保函开立之日起至采购人向中标人抵扣完所有预付款之日止。</w:t>
      </w:r>
    </w:p>
    <w:p>
      <w:pPr>
        <w:rPr>
          <w:rFonts w:ascii="宋体" w:hAnsi="宋体" w:cs="宋体"/>
          <w:color w:val="auto"/>
          <w:szCs w:val="21"/>
          <w:highlight w:val="none"/>
        </w:rPr>
      </w:pPr>
    </w:p>
    <w:p>
      <w:pPr>
        <w:ind w:firstLine="437"/>
        <w:rPr>
          <w:rFonts w:ascii="宋体" w:hAnsi="宋体" w:cs="宋体"/>
          <w:color w:val="auto"/>
          <w:szCs w:val="21"/>
          <w:highlight w:val="none"/>
        </w:rPr>
      </w:pPr>
    </w:p>
    <w:p>
      <w:pPr>
        <w:ind w:firstLine="4860"/>
        <w:rPr>
          <w:rFonts w:ascii="宋体" w:hAnsi="宋体" w:cs="宋体"/>
          <w:color w:val="auto"/>
          <w:szCs w:val="21"/>
          <w:highlight w:val="none"/>
        </w:rPr>
      </w:pPr>
      <w:r>
        <w:rPr>
          <w:rFonts w:hint="eastAsia" w:ascii="宋体" w:hAnsi="宋体" w:cs="宋体"/>
          <w:color w:val="auto"/>
          <w:szCs w:val="21"/>
          <w:highlight w:val="none"/>
        </w:rPr>
        <w:t>保证人：（公章）</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负责人：（签字）</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ind w:firstLine="486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pStyle w:val="12"/>
        <w:rPr>
          <w:rFonts w:cs="宋体"/>
          <w:color w:val="auto"/>
          <w:szCs w:val="21"/>
          <w:highlight w:val="none"/>
        </w:rPr>
      </w:pPr>
    </w:p>
    <w:p>
      <w:pPr>
        <w:pStyle w:val="12"/>
        <w:rPr>
          <w:rFonts w:cs="宋体"/>
          <w:color w:val="auto"/>
          <w:szCs w:val="21"/>
          <w:highlight w:val="none"/>
        </w:rPr>
      </w:pPr>
    </w:p>
    <w:p>
      <w:pPr>
        <w:ind w:firstLine="413" w:firstLineChars="196"/>
        <w:rPr>
          <w:rFonts w:ascii="宋体" w:hAnsi="宋体" w:cs="宋体"/>
          <w:b/>
          <w:color w:val="auto"/>
          <w:szCs w:val="21"/>
          <w:highlight w:val="none"/>
        </w:rPr>
      </w:pPr>
      <w:r>
        <w:rPr>
          <w:rFonts w:hint="eastAsia" w:ascii="宋体" w:hAnsi="宋体" w:cs="宋体"/>
          <w:b/>
          <w:color w:val="auto"/>
          <w:szCs w:val="21"/>
          <w:highlight w:val="none"/>
        </w:rPr>
        <w:t>说明：投标人在投标文件中盖投标人公章确认保函内容即可，如中标再由银行出具保函。</w:t>
      </w:r>
    </w:p>
    <w:p>
      <w:pPr>
        <w:rPr>
          <w:rFonts w:ascii="宋体" w:hAnsi="宋体" w:cs="宋体"/>
          <w:color w:val="auto"/>
          <w:szCs w:val="21"/>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p>
      <w:pPr>
        <w:pStyle w:val="3"/>
        <w:rPr>
          <w:color w:val="auto"/>
          <w:highlight w:val="none"/>
        </w:rPr>
      </w:pPr>
      <w:bookmarkStart w:id="203" w:name="_Toc1968"/>
    </w:p>
    <w:p>
      <w:pPr>
        <w:jc w:val="center"/>
        <w:outlineLvl w:val="1"/>
        <w:rPr>
          <w:rFonts w:ascii="宋体" w:hAnsi="宋体" w:cs="宋体"/>
          <w:color w:val="auto"/>
          <w:sz w:val="72"/>
          <w:szCs w:val="72"/>
          <w:highlight w:val="none"/>
        </w:rPr>
      </w:pPr>
      <w:bookmarkStart w:id="204" w:name="_Toc16601"/>
      <w:r>
        <w:rPr>
          <w:rFonts w:hint="eastAsia" w:ascii="宋体" w:hAnsi="宋体" w:cs="宋体"/>
          <w:color w:val="auto"/>
          <w:sz w:val="72"/>
          <w:szCs w:val="72"/>
          <w:highlight w:val="none"/>
        </w:rPr>
        <w:t>唱标信封</w:t>
      </w:r>
      <w:bookmarkEnd w:id="204"/>
    </w:p>
    <w:p>
      <w:pPr>
        <w:jc w:val="center"/>
        <w:rPr>
          <w:rFonts w:ascii="宋体" w:hAnsi="宋体" w:cs="宋体"/>
          <w:color w:val="auto"/>
          <w:sz w:val="52"/>
          <w:szCs w:val="52"/>
          <w:highlight w:val="none"/>
        </w:rPr>
      </w:pPr>
      <w:r>
        <w:rPr>
          <w:rFonts w:hint="eastAsia" w:ascii="宋体" w:hAnsi="宋体" w:cs="宋体"/>
          <w:color w:val="auto"/>
          <w:sz w:val="52"/>
          <w:szCs w:val="52"/>
          <w:highlight w:val="none"/>
        </w:rPr>
        <w:t>（单独装订成册，单独封装）</w:t>
      </w:r>
    </w:p>
    <w:p>
      <w:pPr>
        <w:rPr>
          <w:rFonts w:ascii="宋体" w:hAnsi="宋体" w:cs="宋体"/>
          <w:color w:val="auto"/>
          <w:highlight w:val="none"/>
        </w:rPr>
      </w:pPr>
    </w:p>
    <w:p>
      <w:pPr>
        <w:pStyle w:val="3"/>
        <w:rPr>
          <w:color w:val="auto"/>
          <w:highlight w:val="none"/>
        </w:rPr>
      </w:pPr>
    </w:p>
    <w:p>
      <w:pPr>
        <w:pStyle w:val="2"/>
        <w:ind w:firstLine="240"/>
        <w:rPr>
          <w:color w:val="auto"/>
          <w:highlight w:val="none"/>
        </w:rPr>
      </w:pPr>
    </w:p>
    <w:p>
      <w:pPr>
        <w:pStyle w:val="2"/>
        <w:ind w:firstLine="240"/>
        <w:rPr>
          <w:color w:val="auto"/>
          <w:highlight w:val="none"/>
        </w:rPr>
      </w:pPr>
    </w:p>
    <w:p>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pPr>
        <w:pStyle w:val="3"/>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pPr>
        <w:rPr>
          <w:rFonts w:ascii="宋体" w:hAnsi="宋体" w:cs="宋体"/>
          <w:color w:val="auto"/>
          <w:szCs w:val="21"/>
          <w:highlight w:val="none"/>
        </w:rPr>
      </w:pPr>
      <w:r>
        <w:rPr>
          <w:rFonts w:hint="eastAsia" w:ascii="宋体" w:hAnsi="宋体" w:cs="宋体"/>
          <w:color w:val="auto"/>
          <w:szCs w:val="21"/>
          <w:highlight w:val="none"/>
        </w:rPr>
        <w:br w:type="page"/>
      </w:r>
    </w:p>
    <w:p>
      <w:pPr>
        <w:outlineLvl w:val="1"/>
        <w:rPr>
          <w:rFonts w:ascii="宋体" w:hAnsi="宋体" w:cs="宋体"/>
          <w:color w:val="auto"/>
          <w:sz w:val="72"/>
          <w:szCs w:val="72"/>
          <w:highlight w:val="none"/>
        </w:rPr>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pPr>
    </w:p>
    <w:bookmarkEnd w:id="203"/>
    <w:p>
      <w:pPr>
        <w:pStyle w:val="8"/>
        <w:numPr>
          <w:ilvl w:val="255"/>
          <w:numId w:val="0"/>
        </w:numPr>
        <w:tabs>
          <w:tab w:val="left" w:pos="720"/>
          <w:tab w:val="left" w:pos="3840"/>
        </w:tabs>
        <w:ind w:left="283"/>
        <w:jc w:val="both"/>
        <w:rPr>
          <w:rFonts w:ascii="宋体" w:hAnsi="宋体" w:cs="宋体"/>
          <w:color w:val="auto"/>
          <w:sz w:val="21"/>
          <w:szCs w:val="21"/>
          <w:highlight w:val="none"/>
        </w:rPr>
      </w:pPr>
      <w:bookmarkStart w:id="205" w:name="_Toc31340"/>
      <w:r>
        <w:rPr>
          <w:rFonts w:hint="eastAsia" w:ascii="宋体" w:hAnsi="宋体" w:cs="宋体"/>
          <w:color w:val="auto"/>
          <w:sz w:val="21"/>
          <w:szCs w:val="21"/>
          <w:highlight w:val="none"/>
        </w:rPr>
        <w:t>附件21.唱标信封内装（内容务必与投标文件正本一致）</w:t>
      </w:r>
      <w:bookmarkEnd w:id="205"/>
    </w:p>
    <w:p>
      <w:pPr>
        <w:numPr>
          <w:ilvl w:val="0"/>
          <w:numId w:val="15"/>
        </w:numPr>
        <w:ind w:firstLineChars="200"/>
        <w:rPr>
          <w:rFonts w:ascii="宋体" w:hAnsi="宋体" w:cs="宋体"/>
          <w:color w:val="auto"/>
          <w:szCs w:val="21"/>
          <w:highlight w:val="none"/>
        </w:rPr>
      </w:pPr>
      <w:r>
        <w:rPr>
          <w:rFonts w:hint="eastAsia" w:ascii="宋体" w:hAnsi="宋体" w:cs="宋体"/>
          <w:color w:val="auto"/>
          <w:szCs w:val="21"/>
          <w:highlight w:val="none"/>
        </w:rPr>
        <w:t>开标一览表加盖公章；</w:t>
      </w:r>
    </w:p>
    <w:p>
      <w:pPr>
        <w:numPr>
          <w:ilvl w:val="0"/>
          <w:numId w:val="15"/>
        </w:numPr>
        <w:ind w:firstLineChars="200"/>
        <w:rPr>
          <w:rFonts w:ascii="宋体" w:hAnsi="宋体" w:cs="宋体"/>
          <w:color w:val="auto"/>
          <w:szCs w:val="21"/>
          <w:highlight w:val="none"/>
        </w:rPr>
      </w:pPr>
      <w:r>
        <w:rPr>
          <w:rFonts w:hint="eastAsia" w:ascii="宋体" w:hAnsi="宋体" w:cs="宋体"/>
          <w:color w:val="auto"/>
          <w:szCs w:val="21"/>
          <w:highlight w:val="none"/>
        </w:rPr>
        <w:t>法定代表人证明书加盖公章；</w:t>
      </w:r>
    </w:p>
    <w:p>
      <w:pPr>
        <w:numPr>
          <w:ilvl w:val="0"/>
          <w:numId w:val="15"/>
        </w:numPr>
        <w:ind w:firstLineChars="200"/>
        <w:rPr>
          <w:rFonts w:ascii="宋体" w:hAnsi="宋体" w:cs="宋体"/>
          <w:color w:val="auto"/>
          <w:szCs w:val="21"/>
          <w:highlight w:val="none"/>
        </w:rPr>
      </w:pPr>
      <w:r>
        <w:rPr>
          <w:rFonts w:hint="eastAsia" w:ascii="宋体" w:hAnsi="宋体" w:cs="宋体"/>
          <w:color w:val="auto"/>
          <w:szCs w:val="21"/>
          <w:highlight w:val="none"/>
        </w:rPr>
        <w:t>法定代表人授权委托书加盖公章（法定代表人投标的除外）；</w:t>
      </w:r>
    </w:p>
    <w:p>
      <w:pPr>
        <w:numPr>
          <w:ilvl w:val="0"/>
          <w:numId w:val="15"/>
        </w:numPr>
        <w:ind w:firstLineChars="200"/>
        <w:rPr>
          <w:rFonts w:ascii="宋体" w:hAnsi="宋体" w:cs="宋体"/>
          <w:color w:val="auto"/>
          <w:szCs w:val="21"/>
          <w:highlight w:val="none"/>
        </w:rPr>
      </w:pPr>
      <w:r>
        <w:rPr>
          <w:rFonts w:hint="eastAsia" w:ascii="宋体" w:hAnsi="宋体" w:cs="宋体"/>
          <w:color w:val="auto"/>
          <w:szCs w:val="21"/>
          <w:highlight w:val="none"/>
        </w:rPr>
        <w:t>投标保证金汇入情况说明（含银行汇款凭证）或投标保函加盖公章；</w:t>
      </w:r>
    </w:p>
    <w:p>
      <w:pPr>
        <w:numPr>
          <w:ilvl w:val="0"/>
          <w:numId w:val="15"/>
        </w:numPr>
        <w:ind w:firstLineChars="200"/>
        <w:rPr>
          <w:rFonts w:ascii="宋体" w:hAnsi="宋体" w:cs="宋体"/>
          <w:color w:val="auto"/>
          <w:szCs w:val="21"/>
          <w:highlight w:val="none"/>
        </w:rPr>
      </w:pPr>
      <w:r>
        <w:rPr>
          <w:rFonts w:hint="eastAsia" w:ascii="宋体" w:hAnsi="宋体" w:cs="宋体"/>
          <w:color w:val="auto"/>
          <w:szCs w:val="21"/>
          <w:highlight w:val="none"/>
        </w:rPr>
        <w:t>投标文件电子文件（U盘，须含盖章版PDF投标文件和WORD版投标文件各一版，文字采用WORD文档，计算表格采用 EXCEL文档。）</w:t>
      </w:r>
    </w:p>
    <w:p>
      <w:pPr>
        <w:rPr>
          <w:rFonts w:ascii="宋体" w:hAnsi="宋体" w:cs="宋体"/>
          <w:color w:val="auto"/>
          <w:szCs w:val="21"/>
          <w:highlight w:val="none"/>
        </w:rPr>
      </w:pPr>
    </w:p>
    <w:p>
      <w:pPr>
        <w:pStyle w:val="3"/>
        <w:rPr>
          <w:color w:val="auto"/>
          <w:highlight w:val="none"/>
        </w:rPr>
      </w:pPr>
    </w:p>
    <w:bookmarkEnd w:id="206"/>
    <w:sectPr>
      <w:pgSz w:w="11906" w:h="16838"/>
      <w:pgMar w:top="1440" w:right="1800" w:bottom="1440" w:left="1800" w:header="708" w:footer="708" w:gutter="0"/>
      <w:pgBorders>
        <w:top w:val="none" w:sz="0" w:space="0"/>
        <w:left w:val="none" w:sz="0" w:space="0"/>
        <w:bottom w:val="none" w:sz="0" w:space="0"/>
        <w:right w:val="none" w:sz="0" w:space="0"/>
      </w:pgBorders>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pPr>
                      <w:pStyle w:val="18"/>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D2348B"/>
    <w:multiLevelType w:val="singleLevel"/>
    <w:tmpl w:val="20D2348B"/>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4DC37BCB"/>
    <w:multiLevelType w:val="multilevel"/>
    <w:tmpl w:val="4DC37B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
  </w:num>
  <w:num w:numId="5">
    <w:abstractNumId w:val="14"/>
  </w:num>
  <w:num w:numId="6">
    <w:abstractNumId w:val="9"/>
  </w:num>
  <w:num w:numId="7">
    <w:abstractNumId w:val="5"/>
  </w:num>
  <w:num w:numId="8">
    <w:abstractNumId w:val="0"/>
  </w:num>
  <w:num w:numId="9">
    <w:abstractNumId w:val="6"/>
  </w:num>
  <w:num w:numId="10">
    <w:abstractNumId w:val="2"/>
  </w:num>
  <w:num w:numId="11">
    <w:abstractNumId w:val="4"/>
  </w:num>
  <w:num w:numId="12">
    <w:abstractNumId w:val="7"/>
  </w:num>
  <w:num w:numId="13">
    <w:abstractNumId w:val="3"/>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kNjFlZWEyYmJmNGE3Y2Y3MzZkMTExYTRhZTY4Y2YifQ=="/>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C4524"/>
    <w:rsid w:val="000D44A6"/>
    <w:rsid w:val="000E2CB7"/>
    <w:rsid w:val="000F0E98"/>
    <w:rsid w:val="000F1444"/>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06AD2"/>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859DA"/>
    <w:rsid w:val="00490B9E"/>
    <w:rsid w:val="00497577"/>
    <w:rsid w:val="004A05D7"/>
    <w:rsid w:val="004A2B28"/>
    <w:rsid w:val="004A69F1"/>
    <w:rsid w:val="004B3550"/>
    <w:rsid w:val="004B3F06"/>
    <w:rsid w:val="004C7FD6"/>
    <w:rsid w:val="004D08C0"/>
    <w:rsid w:val="004D1669"/>
    <w:rsid w:val="004D1736"/>
    <w:rsid w:val="004D51A2"/>
    <w:rsid w:val="004D5AFB"/>
    <w:rsid w:val="004E04FD"/>
    <w:rsid w:val="004F1BB7"/>
    <w:rsid w:val="0050759C"/>
    <w:rsid w:val="00510827"/>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F021D"/>
    <w:rsid w:val="005F2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5028E"/>
    <w:rsid w:val="007528A6"/>
    <w:rsid w:val="007608B9"/>
    <w:rsid w:val="00770457"/>
    <w:rsid w:val="007724B4"/>
    <w:rsid w:val="0077462B"/>
    <w:rsid w:val="007902ED"/>
    <w:rsid w:val="007916E7"/>
    <w:rsid w:val="00797C5D"/>
    <w:rsid w:val="00797D2F"/>
    <w:rsid w:val="007A34B9"/>
    <w:rsid w:val="007A3EF1"/>
    <w:rsid w:val="007A4DB3"/>
    <w:rsid w:val="007A6D05"/>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0183"/>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331A4"/>
    <w:rsid w:val="00A4012F"/>
    <w:rsid w:val="00A4190E"/>
    <w:rsid w:val="00A42E91"/>
    <w:rsid w:val="00A50383"/>
    <w:rsid w:val="00A61230"/>
    <w:rsid w:val="00A668C8"/>
    <w:rsid w:val="00A74ED3"/>
    <w:rsid w:val="00A813C5"/>
    <w:rsid w:val="00A824E6"/>
    <w:rsid w:val="00A832CD"/>
    <w:rsid w:val="00A858DC"/>
    <w:rsid w:val="00A94D14"/>
    <w:rsid w:val="00AA0EAD"/>
    <w:rsid w:val="00AB19CE"/>
    <w:rsid w:val="00AB2133"/>
    <w:rsid w:val="00AB3969"/>
    <w:rsid w:val="00AC0E7A"/>
    <w:rsid w:val="00AC187B"/>
    <w:rsid w:val="00AE310E"/>
    <w:rsid w:val="00AE4FC5"/>
    <w:rsid w:val="00AF1B1B"/>
    <w:rsid w:val="00AF3B80"/>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5AFB"/>
    <w:rsid w:val="00C1643E"/>
    <w:rsid w:val="00C16734"/>
    <w:rsid w:val="00C17B47"/>
    <w:rsid w:val="00C25C77"/>
    <w:rsid w:val="00C303E7"/>
    <w:rsid w:val="00C315FB"/>
    <w:rsid w:val="00C319C2"/>
    <w:rsid w:val="00C53CE5"/>
    <w:rsid w:val="00C612F8"/>
    <w:rsid w:val="00C62E44"/>
    <w:rsid w:val="00C63BD8"/>
    <w:rsid w:val="00C65954"/>
    <w:rsid w:val="00C7126B"/>
    <w:rsid w:val="00C72C24"/>
    <w:rsid w:val="00C73468"/>
    <w:rsid w:val="00C74986"/>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3E16"/>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93BF5"/>
    <w:rsid w:val="00E97CC0"/>
    <w:rsid w:val="00EA22B8"/>
    <w:rsid w:val="00EA2524"/>
    <w:rsid w:val="00EA33E7"/>
    <w:rsid w:val="00EC092D"/>
    <w:rsid w:val="00EC0DF8"/>
    <w:rsid w:val="00EC7F91"/>
    <w:rsid w:val="00ED378B"/>
    <w:rsid w:val="00EE08F9"/>
    <w:rsid w:val="00EE70B3"/>
    <w:rsid w:val="00EF24AA"/>
    <w:rsid w:val="00EF30E5"/>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6230"/>
    <w:rsid w:val="00F57308"/>
    <w:rsid w:val="00F61962"/>
    <w:rsid w:val="00F62865"/>
    <w:rsid w:val="00F63366"/>
    <w:rsid w:val="00F64022"/>
    <w:rsid w:val="00F64660"/>
    <w:rsid w:val="00F74FF3"/>
    <w:rsid w:val="00F877FA"/>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985CD5"/>
    <w:rsid w:val="02A741FD"/>
    <w:rsid w:val="02C16E5D"/>
    <w:rsid w:val="02D964CF"/>
    <w:rsid w:val="02DE5ECF"/>
    <w:rsid w:val="032E6AB8"/>
    <w:rsid w:val="03707410"/>
    <w:rsid w:val="039170C0"/>
    <w:rsid w:val="039240A3"/>
    <w:rsid w:val="03A0770F"/>
    <w:rsid w:val="03A27726"/>
    <w:rsid w:val="03A448B8"/>
    <w:rsid w:val="03B34A78"/>
    <w:rsid w:val="03C01631"/>
    <w:rsid w:val="03C656A9"/>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9B4E4A"/>
    <w:rsid w:val="06A26008"/>
    <w:rsid w:val="06BC41F2"/>
    <w:rsid w:val="06F415CC"/>
    <w:rsid w:val="070E26CD"/>
    <w:rsid w:val="07197D08"/>
    <w:rsid w:val="071E5C55"/>
    <w:rsid w:val="07360A59"/>
    <w:rsid w:val="075C1FE5"/>
    <w:rsid w:val="077005AB"/>
    <w:rsid w:val="078F4581"/>
    <w:rsid w:val="07A715F3"/>
    <w:rsid w:val="07BF027F"/>
    <w:rsid w:val="07F06C60"/>
    <w:rsid w:val="08031A31"/>
    <w:rsid w:val="080E2872"/>
    <w:rsid w:val="08420CAE"/>
    <w:rsid w:val="089A5AE8"/>
    <w:rsid w:val="09061A75"/>
    <w:rsid w:val="09182241"/>
    <w:rsid w:val="09325D4D"/>
    <w:rsid w:val="095F1030"/>
    <w:rsid w:val="09855177"/>
    <w:rsid w:val="09A17D47"/>
    <w:rsid w:val="09EE5125"/>
    <w:rsid w:val="0A3D7585"/>
    <w:rsid w:val="0A462748"/>
    <w:rsid w:val="0A4D0C81"/>
    <w:rsid w:val="0A723E95"/>
    <w:rsid w:val="0A733243"/>
    <w:rsid w:val="0AA534D5"/>
    <w:rsid w:val="0AA650EB"/>
    <w:rsid w:val="0AA7129C"/>
    <w:rsid w:val="0AF47339"/>
    <w:rsid w:val="0B121934"/>
    <w:rsid w:val="0B1F4D52"/>
    <w:rsid w:val="0B22594B"/>
    <w:rsid w:val="0B27506F"/>
    <w:rsid w:val="0B3061AD"/>
    <w:rsid w:val="0B9610F4"/>
    <w:rsid w:val="0BBF77A4"/>
    <w:rsid w:val="0BD16C8D"/>
    <w:rsid w:val="0BDF26F7"/>
    <w:rsid w:val="0C027DB2"/>
    <w:rsid w:val="0C2B4952"/>
    <w:rsid w:val="0C516C55"/>
    <w:rsid w:val="0C5D161C"/>
    <w:rsid w:val="0C7B2220"/>
    <w:rsid w:val="0CB67D83"/>
    <w:rsid w:val="0CCF79BE"/>
    <w:rsid w:val="0CD20599"/>
    <w:rsid w:val="0CE53018"/>
    <w:rsid w:val="0D0B5B12"/>
    <w:rsid w:val="0D133046"/>
    <w:rsid w:val="0D153F28"/>
    <w:rsid w:val="0D305390"/>
    <w:rsid w:val="0D3A0F98"/>
    <w:rsid w:val="0D5D37FD"/>
    <w:rsid w:val="0D6A4502"/>
    <w:rsid w:val="0D7415CA"/>
    <w:rsid w:val="0D890E47"/>
    <w:rsid w:val="0DC64A00"/>
    <w:rsid w:val="0DCF786E"/>
    <w:rsid w:val="0DEB5FFA"/>
    <w:rsid w:val="0DF75C46"/>
    <w:rsid w:val="0DFC60BA"/>
    <w:rsid w:val="0E045D30"/>
    <w:rsid w:val="0E1C06B2"/>
    <w:rsid w:val="0E35000C"/>
    <w:rsid w:val="0E69691B"/>
    <w:rsid w:val="0E7900C2"/>
    <w:rsid w:val="0EBB5484"/>
    <w:rsid w:val="0EBD5AA3"/>
    <w:rsid w:val="0F085784"/>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200D07"/>
    <w:rsid w:val="116A3F32"/>
    <w:rsid w:val="11786AB5"/>
    <w:rsid w:val="118049D4"/>
    <w:rsid w:val="118561F8"/>
    <w:rsid w:val="11914FAF"/>
    <w:rsid w:val="11A8021A"/>
    <w:rsid w:val="11B21219"/>
    <w:rsid w:val="11B4024C"/>
    <w:rsid w:val="11DA73AF"/>
    <w:rsid w:val="11FC1ECD"/>
    <w:rsid w:val="12457C5E"/>
    <w:rsid w:val="124D097B"/>
    <w:rsid w:val="12511265"/>
    <w:rsid w:val="126561B4"/>
    <w:rsid w:val="127A3FFC"/>
    <w:rsid w:val="127D0E25"/>
    <w:rsid w:val="127E0B34"/>
    <w:rsid w:val="1283614B"/>
    <w:rsid w:val="12856FF3"/>
    <w:rsid w:val="129671FB"/>
    <w:rsid w:val="12A576FF"/>
    <w:rsid w:val="12C60D80"/>
    <w:rsid w:val="130523B3"/>
    <w:rsid w:val="13097496"/>
    <w:rsid w:val="13154AD2"/>
    <w:rsid w:val="131F7A3A"/>
    <w:rsid w:val="132645D0"/>
    <w:rsid w:val="134312FF"/>
    <w:rsid w:val="13455ABC"/>
    <w:rsid w:val="1370322B"/>
    <w:rsid w:val="13BA0460"/>
    <w:rsid w:val="13BB41AE"/>
    <w:rsid w:val="13C24F9B"/>
    <w:rsid w:val="13C45A18"/>
    <w:rsid w:val="13C9247B"/>
    <w:rsid w:val="13C92A4D"/>
    <w:rsid w:val="13DE55D1"/>
    <w:rsid w:val="13E0285C"/>
    <w:rsid w:val="143B2E0B"/>
    <w:rsid w:val="147C1943"/>
    <w:rsid w:val="148054E9"/>
    <w:rsid w:val="14892735"/>
    <w:rsid w:val="14906D6C"/>
    <w:rsid w:val="149959B6"/>
    <w:rsid w:val="14CC769D"/>
    <w:rsid w:val="14D764D5"/>
    <w:rsid w:val="14F43330"/>
    <w:rsid w:val="152509D7"/>
    <w:rsid w:val="15254AD1"/>
    <w:rsid w:val="15436F05"/>
    <w:rsid w:val="155541C5"/>
    <w:rsid w:val="15691FE3"/>
    <w:rsid w:val="158B5DDD"/>
    <w:rsid w:val="15A41986"/>
    <w:rsid w:val="15B11221"/>
    <w:rsid w:val="15C16EB3"/>
    <w:rsid w:val="15CB76C9"/>
    <w:rsid w:val="15D359D7"/>
    <w:rsid w:val="160E7A2C"/>
    <w:rsid w:val="16111028"/>
    <w:rsid w:val="161F7731"/>
    <w:rsid w:val="163C77BE"/>
    <w:rsid w:val="16573587"/>
    <w:rsid w:val="1679588C"/>
    <w:rsid w:val="168C2855"/>
    <w:rsid w:val="16903443"/>
    <w:rsid w:val="16994962"/>
    <w:rsid w:val="16A233CF"/>
    <w:rsid w:val="16A71041"/>
    <w:rsid w:val="16AA24BF"/>
    <w:rsid w:val="171D3FE1"/>
    <w:rsid w:val="1742794A"/>
    <w:rsid w:val="17680CAB"/>
    <w:rsid w:val="176E4128"/>
    <w:rsid w:val="1783371F"/>
    <w:rsid w:val="178D7563"/>
    <w:rsid w:val="17B61794"/>
    <w:rsid w:val="17C52CBF"/>
    <w:rsid w:val="17C93012"/>
    <w:rsid w:val="17E62B67"/>
    <w:rsid w:val="180F4499"/>
    <w:rsid w:val="182201B4"/>
    <w:rsid w:val="18221ECE"/>
    <w:rsid w:val="18303840"/>
    <w:rsid w:val="183C3D90"/>
    <w:rsid w:val="183D2FB7"/>
    <w:rsid w:val="18504A07"/>
    <w:rsid w:val="1859036F"/>
    <w:rsid w:val="18681814"/>
    <w:rsid w:val="18B0649B"/>
    <w:rsid w:val="18C8297B"/>
    <w:rsid w:val="18D418FC"/>
    <w:rsid w:val="18FC7745"/>
    <w:rsid w:val="19027053"/>
    <w:rsid w:val="191677A6"/>
    <w:rsid w:val="19353F17"/>
    <w:rsid w:val="19DD405E"/>
    <w:rsid w:val="1A3B6C81"/>
    <w:rsid w:val="1A460CF5"/>
    <w:rsid w:val="1A7A6BB4"/>
    <w:rsid w:val="1A7F297D"/>
    <w:rsid w:val="1A9B268C"/>
    <w:rsid w:val="1A9D6244"/>
    <w:rsid w:val="1AAF6004"/>
    <w:rsid w:val="1AB16AC1"/>
    <w:rsid w:val="1ABF1CEA"/>
    <w:rsid w:val="1B014DDE"/>
    <w:rsid w:val="1B0320FB"/>
    <w:rsid w:val="1B034A52"/>
    <w:rsid w:val="1B45344E"/>
    <w:rsid w:val="1B591D2B"/>
    <w:rsid w:val="1B5D76FB"/>
    <w:rsid w:val="1B683578"/>
    <w:rsid w:val="1B8C0040"/>
    <w:rsid w:val="1BBA4E52"/>
    <w:rsid w:val="1BD06D0C"/>
    <w:rsid w:val="1BD9519A"/>
    <w:rsid w:val="1BDE2F66"/>
    <w:rsid w:val="1C2A22B3"/>
    <w:rsid w:val="1C750ECE"/>
    <w:rsid w:val="1CA56AF4"/>
    <w:rsid w:val="1CE1575A"/>
    <w:rsid w:val="1D196139"/>
    <w:rsid w:val="1D2E2708"/>
    <w:rsid w:val="1D5E02D1"/>
    <w:rsid w:val="1D7B74A7"/>
    <w:rsid w:val="1D7F0ED0"/>
    <w:rsid w:val="1DA31EB7"/>
    <w:rsid w:val="1DA55D97"/>
    <w:rsid w:val="1DBB6100"/>
    <w:rsid w:val="1DBE6816"/>
    <w:rsid w:val="1DC67725"/>
    <w:rsid w:val="1DCB4FF1"/>
    <w:rsid w:val="1DDA7E3F"/>
    <w:rsid w:val="1DDC11E4"/>
    <w:rsid w:val="1DF5452A"/>
    <w:rsid w:val="1E010AF7"/>
    <w:rsid w:val="1E1C405A"/>
    <w:rsid w:val="1E2E29E0"/>
    <w:rsid w:val="1E301173"/>
    <w:rsid w:val="1E705DF5"/>
    <w:rsid w:val="1E884D18"/>
    <w:rsid w:val="1ED8781E"/>
    <w:rsid w:val="1EDD3235"/>
    <w:rsid w:val="1EE7283A"/>
    <w:rsid w:val="1F1102B0"/>
    <w:rsid w:val="1F2F1047"/>
    <w:rsid w:val="1F43381C"/>
    <w:rsid w:val="1F7D6A3D"/>
    <w:rsid w:val="1FA4148D"/>
    <w:rsid w:val="1FC10FAB"/>
    <w:rsid w:val="1FC65577"/>
    <w:rsid w:val="1FD82385"/>
    <w:rsid w:val="200C4164"/>
    <w:rsid w:val="20121621"/>
    <w:rsid w:val="201636E2"/>
    <w:rsid w:val="202E3F6D"/>
    <w:rsid w:val="2032134B"/>
    <w:rsid w:val="20325F7E"/>
    <w:rsid w:val="204778E7"/>
    <w:rsid w:val="204E554F"/>
    <w:rsid w:val="20546774"/>
    <w:rsid w:val="20590035"/>
    <w:rsid w:val="20851B47"/>
    <w:rsid w:val="209A2C3D"/>
    <w:rsid w:val="20E5011E"/>
    <w:rsid w:val="20FC799E"/>
    <w:rsid w:val="21286DA7"/>
    <w:rsid w:val="2134683B"/>
    <w:rsid w:val="21C82E72"/>
    <w:rsid w:val="21DE0801"/>
    <w:rsid w:val="21DE339D"/>
    <w:rsid w:val="22154DDD"/>
    <w:rsid w:val="221D4DB5"/>
    <w:rsid w:val="22336873"/>
    <w:rsid w:val="22396826"/>
    <w:rsid w:val="225471A3"/>
    <w:rsid w:val="225E34DC"/>
    <w:rsid w:val="226D33EA"/>
    <w:rsid w:val="227D1295"/>
    <w:rsid w:val="229B678A"/>
    <w:rsid w:val="22AB3B7D"/>
    <w:rsid w:val="22AF3A08"/>
    <w:rsid w:val="22F92F75"/>
    <w:rsid w:val="239634D6"/>
    <w:rsid w:val="23BB4E7D"/>
    <w:rsid w:val="23C172D6"/>
    <w:rsid w:val="23CB1286"/>
    <w:rsid w:val="23D77537"/>
    <w:rsid w:val="23E6195D"/>
    <w:rsid w:val="23F04F64"/>
    <w:rsid w:val="242654AA"/>
    <w:rsid w:val="24814CBE"/>
    <w:rsid w:val="24AC168B"/>
    <w:rsid w:val="24BB6664"/>
    <w:rsid w:val="24EC64CB"/>
    <w:rsid w:val="250E1318"/>
    <w:rsid w:val="25103738"/>
    <w:rsid w:val="253F46D8"/>
    <w:rsid w:val="254D03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7E6655"/>
    <w:rsid w:val="2780046C"/>
    <w:rsid w:val="27933DEA"/>
    <w:rsid w:val="27B36A67"/>
    <w:rsid w:val="27D9633F"/>
    <w:rsid w:val="280B2E27"/>
    <w:rsid w:val="281E404F"/>
    <w:rsid w:val="28302479"/>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7A5FC4"/>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51141C"/>
    <w:rsid w:val="2B590601"/>
    <w:rsid w:val="2B710DB7"/>
    <w:rsid w:val="2B7408CF"/>
    <w:rsid w:val="2B7E4054"/>
    <w:rsid w:val="2BBA6A76"/>
    <w:rsid w:val="2BCC03D1"/>
    <w:rsid w:val="2BDF1FBA"/>
    <w:rsid w:val="2BFC2B2E"/>
    <w:rsid w:val="2C0C6D59"/>
    <w:rsid w:val="2C5B0D4B"/>
    <w:rsid w:val="2C8903AA"/>
    <w:rsid w:val="2C987C56"/>
    <w:rsid w:val="2CA156F3"/>
    <w:rsid w:val="2CC11460"/>
    <w:rsid w:val="2CC15BAA"/>
    <w:rsid w:val="2CC72A61"/>
    <w:rsid w:val="2CDC3153"/>
    <w:rsid w:val="2CDF621C"/>
    <w:rsid w:val="2CE136D7"/>
    <w:rsid w:val="2CFE7A11"/>
    <w:rsid w:val="2CFF149A"/>
    <w:rsid w:val="2D201865"/>
    <w:rsid w:val="2D2B6EDE"/>
    <w:rsid w:val="2D4B5CEA"/>
    <w:rsid w:val="2D4C5B4C"/>
    <w:rsid w:val="2D542188"/>
    <w:rsid w:val="2D652658"/>
    <w:rsid w:val="2D964A56"/>
    <w:rsid w:val="2DC16E0A"/>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3786"/>
    <w:rsid w:val="2FC32F68"/>
    <w:rsid w:val="2FD6418B"/>
    <w:rsid w:val="2FF37AB3"/>
    <w:rsid w:val="30210B8A"/>
    <w:rsid w:val="30224DC7"/>
    <w:rsid w:val="303B4C3F"/>
    <w:rsid w:val="3073310C"/>
    <w:rsid w:val="309D6BE6"/>
    <w:rsid w:val="30AA1790"/>
    <w:rsid w:val="30EE385E"/>
    <w:rsid w:val="30F85AFE"/>
    <w:rsid w:val="31031402"/>
    <w:rsid w:val="31170995"/>
    <w:rsid w:val="31264A30"/>
    <w:rsid w:val="312651F8"/>
    <w:rsid w:val="31862EE3"/>
    <w:rsid w:val="31884E67"/>
    <w:rsid w:val="31A0275E"/>
    <w:rsid w:val="31A67308"/>
    <w:rsid w:val="31B91526"/>
    <w:rsid w:val="31BA7402"/>
    <w:rsid w:val="31EF0041"/>
    <w:rsid w:val="320107F5"/>
    <w:rsid w:val="324175CB"/>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428227C"/>
    <w:rsid w:val="343230D5"/>
    <w:rsid w:val="3439428E"/>
    <w:rsid w:val="34414EE8"/>
    <w:rsid w:val="34571EF7"/>
    <w:rsid w:val="346F7301"/>
    <w:rsid w:val="347918A5"/>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E02B23"/>
    <w:rsid w:val="37E345A6"/>
    <w:rsid w:val="37EA5E6E"/>
    <w:rsid w:val="37EC6A58"/>
    <w:rsid w:val="37FB2268"/>
    <w:rsid w:val="37FF016F"/>
    <w:rsid w:val="382A6E2D"/>
    <w:rsid w:val="386E4145"/>
    <w:rsid w:val="387C5ABE"/>
    <w:rsid w:val="38B66D0C"/>
    <w:rsid w:val="38D41643"/>
    <w:rsid w:val="38EB6119"/>
    <w:rsid w:val="39044996"/>
    <w:rsid w:val="392C6D9B"/>
    <w:rsid w:val="393B020C"/>
    <w:rsid w:val="39506E15"/>
    <w:rsid w:val="396678D9"/>
    <w:rsid w:val="39790BE6"/>
    <w:rsid w:val="397A0ADB"/>
    <w:rsid w:val="39844799"/>
    <w:rsid w:val="39954B2B"/>
    <w:rsid w:val="39DA2245"/>
    <w:rsid w:val="39E66E3B"/>
    <w:rsid w:val="39FD4CC2"/>
    <w:rsid w:val="3A51228C"/>
    <w:rsid w:val="3A545E48"/>
    <w:rsid w:val="3A552E60"/>
    <w:rsid w:val="3A5D642F"/>
    <w:rsid w:val="3A744447"/>
    <w:rsid w:val="3A78219D"/>
    <w:rsid w:val="3A995C5C"/>
    <w:rsid w:val="3AB210FC"/>
    <w:rsid w:val="3ADB7381"/>
    <w:rsid w:val="3AF04A37"/>
    <w:rsid w:val="3B043A1D"/>
    <w:rsid w:val="3B1E01C3"/>
    <w:rsid w:val="3B3E5B8A"/>
    <w:rsid w:val="3B793A48"/>
    <w:rsid w:val="3B7E3699"/>
    <w:rsid w:val="3B85393E"/>
    <w:rsid w:val="3BCA4B8A"/>
    <w:rsid w:val="3BCD72F7"/>
    <w:rsid w:val="3BFC2F5F"/>
    <w:rsid w:val="3C37146A"/>
    <w:rsid w:val="3C3D3625"/>
    <w:rsid w:val="3C414142"/>
    <w:rsid w:val="3C5B725E"/>
    <w:rsid w:val="3C741626"/>
    <w:rsid w:val="3C84047F"/>
    <w:rsid w:val="3C88055A"/>
    <w:rsid w:val="3C9E57AB"/>
    <w:rsid w:val="3CAF79B9"/>
    <w:rsid w:val="3CB35097"/>
    <w:rsid w:val="3CF737A2"/>
    <w:rsid w:val="3D10295A"/>
    <w:rsid w:val="3D184041"/>
    <w:rsid w:val="3D370C2A"/>
    <w:rsid w:val="3D414FC0"/>
    <w:rsid w:val="3D4F12A7"/>
    <w:rsid w:val="3D7B5F78"/>
    <w:rsid w:val="3D7D049C"/>
    <w:rsid w:val="3DE20EAE"/>
    <w:rsid w:val="3DEF3701"/>
    <w:rsid w:val="3E0572FD"/>
    <w:rsid w:val="3E0720FE"/>
    <w:rsid w:val="3E2819F6"/>
    <w:rsid w:val="3E287A22"/>
    <w:rsid w:val="3E5A7FE7"/>
    <w:rsid w:val="3E7D40EF"/>
    <w:rsid w:val="3E955A6A"/>
    <w:rsid w:val="3E964D81"/>
    <w:rsid w:val="3EF66B2E"/>
    <w:rsid w:val="3F217914"/>
    <w:rsid w:val="3FD10810"/>
    <w:rsid w:val="3FD70BB0"/>
    <w:rsid w:val="3FFB55AC"/>
    <w:rsid w:val="3FFC1C2A"/>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2D5EA0"/>
    <w:rsid w:val="415A62F5"/>
    <w:rsid w:val="416D78C7"/>
    <w:rsid w:val="41734CBA"/>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FD694D"/>
    <w:rsid w:val="43034DFA"/>
    <w:rsid w:val="437D6687"/>
    <w:rsid w:val="438351F5"/>
    <w:rsid w:val="438D35EA"/>
    <w:rsid w:val="43BC1E57"/>
    <w:rsid w:val="43CB0394"/>
    <w:rsid w:val="43D23F8D"/>
    <w:rsid w:val="43D43F1D"/>
    <w:rsid w:val="43FA5777"/>
    <w:rsid w:val="44023422"/>
    <w:rsid w:val="44184A2D"/>
    <w:rsid w:val="441C1611"/>
    <w:rsid w:val="443C440B"/>
    <w:rsid w:val="44514F52"/>
    <w:rsid w:val="44761C8F"/>
    <w:rsid w:val="449722E3"/>
    <w:rsid w:val="449D7B09"/>
    <w:rsid w:val="44AE3FD4"/>
    <w:rsid w:val="44D0586F"/>
    <w:rsid w:val="44FA2D53"/>
    <w:rsid w:val="453C4912"/>
    <w:rsid w:val="45687813"/>
    <w:rsid w:val="4571374F"/>
    <w:rsid w:val="458B1BB0"/>
    <w:rsid w:val="45915005"/>
    <w:rsid w:val="45A41560"/>
    <w:rsid w:val="45AD2B91"/>
    <w:rsid w:val="45AD31D6"/>
    <w:rsid w:val="45B93426"/>
    <w:rsid w:val="45CF1361"/>
    <w:rsid w:val="464C6420"/>
    <w:rsid w:val="46552F9B"/>
    <w:rsid w:val="467A0297"/>
    <w:rsid w:val="468B7125"/>
    <w:rsid w:val="46B506EF"/>
    <w:rsid w:val="46C4691F"/>
    <w:rsid w:val="46CB53EF"/>
    <w:rsid w:val="46EC4E35"/>
    <w:rsid w:val="46EE513F"/>
    <w:rsid w:val="470F5A71"/>
    <w:rsid w:val="473154FF"/>
    <w:rsid w:val="47685427"/>
    <w:rsid w:val="476C4065"/>
    <w:rsid w:val="4779499C"/>
    <w:rsid w:val="477B6530"/>
    <w:rsid w:val="47801172"/>
    <w:rsid w:val="479D1D34"/>
    <w:rsid w:val="47B609C0"/>
    <w:rsid w:val="47EC3B04"/>
    <w:rsid w:val="47EC6277"/>
    <w:rsid w:val="48021483"/>
    <w:rsid w:val="481A219B"/>
    <w:rsid w:val="482D31EA"/>
    <w:rsid w:val="48447D02"/>
    <w:rsid w:val="485970A0"/>
    <w:rsid w:val="486A6E89"/>
    <w:rsid w:val="48823516"/>
    <w:rsid w:val="48877686"/>
    <w:rsid w:val="488B498B"/>
    <w:rsid w:val="48B176C2"/>
    <w:rsid w:val="48B65C71"/>
    <w:rsid w:val="48D550F0"/>
    <w:rsid w:val="48FB1909"/>
    <w:rsid w:val="491F266E"/>
    <w:rsid w:val="492E6A57"/>
    <w:rsid w:val="495839AA"/>
    <w:rsid w:val="49700A6F"/>
    <w:rsid w:val="49771AFE"/>
    <w:rsid w:val="49802948"/>
    <w:rsid w:val="4986089F"/>
    <w:rsid w:val="498B5309"/>
    <w:rsid w:val="499F0AAB"/>
    <w:rsid w:val="49C154CE"/>
    <w:rsid w:val="49C33FF5"/>
    <w:rsid w:val="49DB11EC"/>
    <w:rsid w:val="49E31DD1"/>
    <w:rsid w:val="4A0030EE"/>
    <w:rsid w:val="4A0568D6"/>
    <w:rsid w:val="4A0C4F3C"/>
    <w:rsid w:val="4A162478"/>
    <w:rsid w:val="4A171EC9"/>
    <w:rsid w:val="4A1A1689"/>
    <w:rsid w:val="4A484D41"/>
    <w:rsid w:val="4A6D15F8"/>
    <w:rsid w:val="4A7617B6"/>
    <w:rsid w:val="4A8C4FB8"/>
    <w:rsid w:val="4A9A25BD"/>
    <w:rsid w:val="4A9E0551"/>
    <w:rsid w:val="4AAB60D8"/>
    <w:rsid w:val="4AB542AE"/>
    <w:rsid w:val="4AF72FEA"/>
    <w:rsid w:val="4B1477B3"/>
    <w:rsid w:val="4B1F062C"/>
    <w:rsid w:val="4B243D9D"/>
    <w:rsid w:val="4B281425"/>
    <w:rsid w:val="4B6F66A1"/>
    <w:rsid w:val="4B85213F"/>
    <w:rsid w:val="4B8C2DEB"/>
    <w:rsid w:val="4BFA3C9F"/>
    <w:rsid w:val="4BFA7F6C"/>
    <w:rsid w:val="4C107F48"/>
    <w:rsid w:val="4C3117D0"/>
    <w:rsid w:val="4C3277BC"/>
    <w:rsid w:val="4C5C442D"/>
    <w:rsid w:val="4C6D42A9"/>
    <w:rsid w:val="4C716A38"/>
    <w:rsid w:val="4CC0351C"/>
    <w:rsid w:val="4CC353EB"/>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E0F235E"/>
    <w:rsid w:val="4E157689"/>
    <w:rsid w:val="4E471216"/>
    <w:rsid w:val="4E533FA5"/>
    <w:rsid w:val="4E550010"/>
    <w:rsid w:val="4E5F14CB"/>
    <w:rsid w:val="4E6808B0"/>
    <w:rsid w:val="4E780BC4"/>
    <w:rsid w:val="4EBA42F2"/>
    <w:rsid w:val="4EC00DDD"/>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E579F1"/>
    <w:rsid w:val="4FFA7625"/>
    <w:rsid w:val="50453E7E"/>
    <w:rsid w:val="50594CF7"/>
    <w:rsid w:val="507D2599"/>
    <w:rsid w:val="5096229D"/>
    <w:rsid w:val="509E157D"/>
    <w:rsid w:val="50A6165E"/>
    <w:rsid w:val="50DC4184"/>
    <w:rsid w:val="50FB6146"/>
    <w:rsid w:val="512F4CA0"/>
    <w:rsid w:val="51361FFF"/>
    <w:rsid w:val="513D4C38"/>
    <w:rsid w:val="514C3EA7"/>
    <w:rsid w:val="51AC4D00"/>
    <w:rsid w:val="51FF3C99"/>
    <w:rsid w:val="522A20E4"/>
    <w:rsid w:val="52363D4D"/>
    <w:rsid w:val="524A2AC9"/>
    <w:rsid w:val="52521A20"/>
    <w:rsid w:val="528604EC"/>
    <w:rsid w:val="529E2C3A"/>
    <w:rsid w:val="52AC4ABC"/>
    <w:rsid w:val="52C201B9"/>
    <w:rsid w:val="52E57A12"/>
    <w:rsid w:val="52F20B62"/>
    <w:rsid w:val="531C4FCC"/>
    <w:rsid w:val="53827E49"/>
    <w:rsid w:val="538A6BB9"/>
    <w:rsid w:val="539964FD"/>
    <w:rsid w:val="539C1B81"/>
    <w:rsid w:val="539D7755"/>
    <w:rsid w:val="53A447B1"/>
    <w:rsid w:val="53AE750F"/>
    <w:rsid w:val="53D224B3"/>
    <w:rsid w:val="53F81D96"/>
    <w:rsid w:val="541D5DE8"/>
    <w:rsid w:val="541F57C4"/>
    <w:rsid w:val="544B5214"/>
    <w:rsid w:val="546F523C"/>
    <w:rsid w:val="54782FBD"/>
    <w:rsid w:val="5483138F"/>
    <w:rsid w:val="5488523A"/>
    <w:rsid w:val="549A6BFA"/>
    <w:rsid w:val="54C341E7"/>
    <w:rsid w:val="54D933CD"/>
    <w:rsid w:val="551751CF"/>
    <w:rsid w:val="5522558F"/>
    <w:rsid w:val="55244D7F"/>
    <w:rsid w:val="55305397"/>
    <w:rsid w:val="55362287"/>
    <w:rsid w:val="55432F3C"/>
    <w:rsid w:val="55A37FFD"/>
    <w:rsid w:val="55AE22F1"/>
    <w:rsid w:val="55C3227E"/>
    <w:rsid w:val="55CE1AA9"/>
    <w:rsid w:val="55F6381F"/>
    <w:rsid w:val="55FA2961"/>
    <w:rsid w:val="5602250F"/>
    <w:rsid w:val="564220BA"/>
    <w:rsid w:val="565E7F4F"/>
    <w:rsid w:val="565F3DA6"/>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E26731"/>
    <w:rsid w:val="58EB1371"/>
    <w:rsid w:val="59091D98"/>
    <w:rsid w:val="590E4A97"/>
    <w:rsid w:val="591250FF"/>
    <w:rsid w:val="5920012C"/>
    <w:rsid w:val="593700E7"/>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E1A44"/>
    <w:rsid w:val="5B873201"/>
    <w:rsid w:val="5B967767"/>
    <w:rsid w:val="5B9D1624"/>
    <w:rsid w:val="5BBF73E2"/>
    <w:rsid w:val="5BEE5378"/>
    <w:rsid w:val="5C0C2FF6"/>
    <w:rsid w:val="5C1241CC"/>
    <w:rsid w:val="5C286807"/>
    <w:rsid w:val="5C34339E"/>
    <w:rsid w:val="5C355656"/>
    <w:rsid w:val="5C370E72"/>
    <w:rsid w:val="5C446BC8"/>
    <w:rsid w:val="5C4B56E1"/>
    <w:rsid w:val="5C7146B1"/>
    <w:rsid w:val="5C7C2768"/>
    <w:rsid w:val="5CAD3BC1"/>
    <w:rsid w:val="5CAE62DC"/>
    <w:rsid w:val="5CB23AE6"/>
    <w:rsid w:val="5CED5863"/>
    <w:rsid w:val="5D0D6DF5"/>
    <w:rsid w:val="5D4A5E05"/>
    <w:rsid w:val="5D580A8A"/>
    <w:rsid w:val="5D7E6D71"/>
    <w:rsid w:val="5D893B14"/>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9D1350"/>
    <w:rsid w:val="5FA44AD1"/>
    <w:rsid w:val="5FBE370A"/>
    <w:rsid w:val="5FC61F2E"/>
    <w:rsid w:val="5FC83407"/>
    <w:rsid w:val="5FD56E87"/>
    <w:rsid w:val="5FF0558C"/>
    <w:rsid w:val="60015A45"/>
    <w:rsid w:val="601A27F4"/>
    <w:rsid w:val="60292845"/>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91564"/>
    <w:rsid w:val="624A22BE"/>
    <w:rsid w:val="6263230B"/>
    <w:rsid w:val="626E235A"/>
    <w:rsid w:val="626F60D5"/>
    <w:rsid w:val="62816669"/>
    <w:rsid w:val="6282086D"/>
    <w:rsid w:val="629007F7"/>
    <w:rsid w:val="62AB4D99"/>
    <w:rsid w:val="62B36CD7"/>
    <w:rsid w:val="62BA0953"/>
    <w:rsid w:val="62C643B8"/>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5032F85"/>
    <w:rsid w:val="651304A7"/>
    <w:rsid w:val="65136B50"/>
    <w:rsid w:val="6531690D"/>
    <w:rsid w:val="65320485"/>
    <w:rsid w:val="655A12F3"/>
    <w:rsid w:val="657E2A35"/>
    <w:rsid w:val="65932DFF"/>
    <w:rsid w:val="65A94E9D"/>
    <w:rsid w:val="65B96B3F"/>
    <w:rsid w:val="65BE1071"/>
    <w:rsid w:val="65C60A92"/>
    <w:rsid w:val="65DB19DF"/>
    <w:rsid w:val="660451CE"/>
    <w:rsid w:val="664B3BEB"/>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AB3D2B"/>
    <w:rsid w:val="67B768D0"/>
    <w:rsid w:val="67C779FD"/>
    <w:rsid w:val="67C85DAF"/>
    <w:rsid w:val="68281CFE"/>
    <w:rsid w:val="682A2352"/>
    <w:rsid w:val="682A2630"/>
    <w:rsid w:val="682E4A5B"/>
    <w:rsid w:val="682E7AFD"/>
    <w:rsid w:val="68707071"/>
    <w:rsid w:val="687A4379"/>
    <w:rsid w:val="687B015C"/>
    <w:rsid w:val="687E3889"/>
    <w:rsid w:val="6884222C"/>
    <w:rsid w:val="68A957C8"/>
    <w:rsid w:val="68AD17BB"/>
    <w:rsid w:val="68D6620B"/>
    <w:rsid w:val="68D94D22"/>
    <w:rsid w:val="68F06F2B"/>
    <w:rsid w:val="69011241"/>
    <w:rsid w:val="692B2E4A"/>
    <w:rsid w:val="696A0B34"/>
    <w:rsid w:val="69821807"/>
    <w:rsid w:val="698D6A17"/>
    <w:rsid w:val="699026E3"/>
    <w:rsid w:val="699E0BED"/>
    <w:rsid w:val="699F0522"/>
    <w:rsid w:val="69D37590"/>
    <w:rsid w:val="69F954C1"/>
    <w:rsid w:val="6A1E1E73"/>
    <w:rsid w:val="6A2031B6"/>
    <w:rsid w:val="6A2F57D7"/>
    <w:rsid w:val="6A3924BB"/>
    <w:rsid w:val="6A3C1D40"/>
    <w:rsid w:val="6A6432E1"/>
    <w:rsid w:val="6AA23DFF"/>
    <w:rsid w:val="6AAA6F38"/>
    <w:rsid w:val="6AC61F6F"/>
    <w:rsid w:val="6AD34E53"/>
    <w:rsid w:val="6AD83EA1"/>
    <w:rsid w:val="6ADE74F0"/>
    <w:rsid w:val="6B1D62E8"/>
    <w:rsid w:val="6B723594"/>
    <w:rsid w:val="6B805156"/>
    <w:rsid w:val="6B945E48"/>
    <w:rsid w:val="6B974A7B"/>
    <w:rsid w:val="6BD50977"/>
    <w:rsid w:val="6BE450D3"/>
    <w:rsid w:val="6BE60C84"/>
    <w:rsid w:val="6C4F0900"/>
    <w:rsid w:val="6C6C32E1"/>
    <w:rsid w:val="6C6E3E15"/>
    <w:rsid w:val="6C8B1F5D"/>
    <w:rsid w:val="6CA85D3A"/>
    <w:rsid w:val="6CAA3931"/>
    <w:rsid w:val="6CE2512E"/>
    <w:rsid w:val="6CEA06D7"/>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752BD"/>
    <w:rsid w:val="6EF11E03"/>
    <w:rsid w:val="6EF1241D"/>
    <w:rsid w:val="6EF82916"/>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864E5"/>
    <w:rsid w:val="71396ACC"/>
    <w:rsid w:val="715B60E9"/>
    <w:rsid w:val="716F0EE9"/>
    <w:rsid w:val="7196674D"/>
    <w:rsid w:val="719E245E"/>
    <w:rsid w:val="71BA3FE5"/>
    <w:rsid w:val="71EA1FED"/>
    <w:rsid w:val="72165C6B"/>
    <w:rsid w:val="722021E3"/>
    <w:rsid w:val="72290340"/>
    <w:rsid w:val="722C6DDA"/>
    <w:rsid w:val="7251594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40B60EC"/>
    <w:rsid w:val="745E7D35"/>
    <w:rsid w:val="7465362D"/>
    <w:rsid w:val="7475188D"/>
    <w:rsid w:val="749E16A8"/>
    <w:rsid w:val="74B42AE4"/>
    <w:rsid w:val="74C54993"/>
    <w:rsid w:val="74EB68F6"/>
    <w:rsid w:val="750A429D"/>
    <w:rsid w:val="752739E7"/>
    <w:rsid w:val="75474B47"/>
    <w:rsid w:val="75533AB0"/>
    <w:rsid w:val="75614792"/>
    <w:rsid w:val="75761866"/>
    <w:rsid w:val="75784473"/>
    <w:rsid w:val="75B10995"/>
    <w:rsid w:val="75B161B3"/>
    <w:rsid w:val="75DC6C44"/>
    <w:rsid w:val="75F05CC0"/>
    <w:rsid w:val="762F6A19"/>
    <w:rsid w:val="76341B33"/>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D6849"/>
    <w:rsid w:val="795767E3"/>
    <w:rsid w:val="79586707"/>
    <w:rsid w:val="796518DD"/>
    <w:rsid w:val="79724BEF"/>
    <w:rsid w:val="797264AC"/>
    <w:rsid w:val="79AA0532"/>
    <w:rsid w:val="79FA22BC"/>
    <w:rsid w:val="79FE1DDD"/>
    <w:rsid w:val="7A075767"/>
    <w:rsid w:val="7A0C15B3"/>
    <w:rsid w:val="7A212062"/>
    <w:rsid w:val="7A2522C9"/>
    <w:rsid w:val="7A282A11"/>
    <w:rsid w:val="7A3A59B8"/>
    <w:rsid w:val="7A5D0F75"/>
    <w:rsid w:val="7A715CD2"/>
    <w:rsid w:val="7A921E9A"/>
    <w:rsid w:val="7A9E53BF"/>
    <w:rsid w:val="7AA914B9"/>
    <w:rsid w:val="7ABF2475"/>
    <w:rsid w:val="7AC21562"/>
    <w:rsid w:val="7AD474A4"/>
    <w:rsid w:val="7AFC38DE"/>
    <w:rsid w:val="7B303E8C"/>
    <w:rsid w:val="7B7D6B6D"/>
    <w:rsid w:val="7B865D50"/>
    <w:rsid w:val="7B8D34C3"/>
    <w:rsid w:val="7B971D84"/>
    <w:rsid w:val="7BAB0CB7"/>
    <w:rsid w:val="7BB4028F"/>
    <w:rsid w:val="7BC1107E"/>
    <w:rsid w:val="7BF32F03"/>
    <w:rsid w:val="7BF50D2C"/>
    <w:rsid w:val="7C066F4E"/>
    <w:rsid w:val="7C1724A5"/>
    <w:rsid w:val="7C8561DF"/>
    <w:rsid w:val="7CA54112"/>
    <w:rsid w:val="7CA553D9"/>
    <w:rsid w:val="7CAB27F5"/>
    <w:rsid w:val="7CAF438A"/>
    <w:rsid w:val="7CCE726D"/>
    <w:rsid w:val="7CD71EA3"/>
    <w:rsid w:val="7CE50CE4"/>
    <w:rsid w:val="7CE94EE1"/>
    <w:rsid w:val="7CF877E9"/>
    <w:rsid w:val="7D134762"/>
    <w:rsid w:val="7D244CB3"/>
    <w:rsid w:val="7D2E5ABF"/>
    <w:rsid w:val="7D4A45B8"/>
    <w:rsid w:val="7D535AC7"/>
    <w:rsid w:val="7D964A74"/>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41076"/>
    <w:rsid w:val="7EF760EE"/>
    <w:rsid w:val="7F2536B5"/>
    <w:rsid w:val="7F2C3CE7"/>
    <w:rsid w:val="7F5A01CA"/>
    <w:rsid w:val="7F75661B"/>
    <w:rsid w:val="7FB17429"/>
    <w:rsid w:val="7FC237C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5">
    <w:name w:val="heading 1"/>
    <w:basedOn w:val="1"/>
    <w:next w:val="1"/>
    <w:link w:val="71"/>
    <w:qFormat/>
    <w:uiPriority w:val="9"/>
    <w:pPr>
      <w:keepNext/>
      <w:keepLines/>
      <w:spacing w:before="340" w:after="330" w:line="576" w:lineRule="auto"/>
      <w:outlineLvl w:val="0"/>
    </w:pPr>
    <w:rPr>
      <w:b/>
      <w:kern w:val="44"/>
      <w:sz w:val="44"/>
    </w:rPr>
  </w:style>
  <w:style w:type="paragraph" w:styleId="6">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40"/>
    <w:unhideWhenUsed/>
    <w:qFormat/>
    <w:uiPriority w:val="9"/>
    <w:pPr>
      <w:keepNext/>
      <w:keepLines/>
      <w:outlineLvl w:val="3"/>
    </w:pPr>
    <w:rPr>
      <w:rFonts w:asciiTheme="majorHAnsi" w:hAnsiTheme="majorHAnsi" w:cstheme="majorBidi"/>
      <w:b/>
      <w:bCs/>
      <w:sz w:val="24"/>
      <w:szCs w:val="28"/>
    </w:rPr>
  </w:style>
  <w:style w:type="paragraph" w:styleId="9">
    <w:name w:val="heading 5"/>
    <w:basedOn w:val="1"/>
    <w:next w:val="1"/>
    <w:link w:val="70"/>
    <w:semiHidden/>
    <w:unhideWhenUsed/>
    <w:qFormat/>
    <w:uiPriority w:val="9"/>
    <w:pPr>
      <w:keepNext/>
      <w:keepLines/>
      <w:spacing w:before="280" w:after="290" w:line="372" w:lineRule="auto"/>
      <w:outlineLvl w:val="4"/>
    </w:pPr>
    <w:rPr>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bCs/>
      <w:szCs w:val="21"/>
    </w:rPr>
  </w:style>
  <w:style w:type="paragraph" w:styleId="3">
    <w:name w:val="Body Text"/>
    <w:basedOn w:val="1"/>
    <w:next w:val="1"/>
    <w:link w:val="62"/>
    <w:qFormat/>
    <w:uiPriority w:val="1"/>
    <w:pPr>
      <w:spacing w:before="161"/>
      <w:ind w:left="120"/>
    </w:pPr>
    <w:rPr>
      <w:rFonts w:ascii="宋体" w:hAnsi="宋体" w:cs="宋体"/>
      <w:sz w:val="24"/>
      <w:lang w:val="zh-CN" w:bidi="zh-CN"/>
    </w:rPr>
  </w:style>
  <w:style w:type="paragraph" w:customStyle="1" w:styleId="4">
    <w:name w:val="样式 正文首行缩进 + 首行缩进:  1 字符"/>
    <w:basedOn w:val="1"/>
    <w:next w:val="1"/>
    <w:qFormat/>
    <w:uiPriority w:val="0"/>
    <w:pPr>
      <w:ind w:firstLine="200" w:firstLineChars="200"/>
    </w:pPr>
    <w:rPr>
      <w:rFonts w:cs="宋体"/>
      <w:szCs w:val="20"/>
    </w:rPr>
  </w:style>
  <w:style w:type="paragraph" w:styleId="10">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11">
    <w:name w:val="annotation text"/>
    <w:basedOn w:val="1"/>
    <w:link w:val="59"/>
    <w:unhideWhenUsed/>
    <w:qFormat/>
    <w:uiPriority w:val="99"/>
  </w:style>
  <w:style w:type="paragraph" w:styleId="12">
    <w:name w:val="Body Text Indent"/>
    <w:basedOn w:val="1"/>
    <w:qFormat/>
    <w:uiPriority w:val="0"/>
    <w:pPr>
      <w:ind w:left="359" w:leftChars="171" w:firstLine="179" w:firstLineChars="85"/>
    </w:pPr>
    <w:rPr>
      <w:rFonts w:ascii="宋体" w:hAnsi="宋体"/>
      <w:b/>
      <w:bCs/>
      <w:szCs w:val="26"/>
    </w:rPr>
  </w:style>
  <w:style w:type="paragraph" w:styleId="13">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4">
    <w:name w:val="toc 3"/>
    <w:basedOn w:val="1"/>
    <w:next w:val="1"/>
    <w:unhideWhenUsed/>
    <w:qFormat/>
    <w:uiPriority w:val="39"/>
    <w:pPr>
      <w:tabs>
        <w:tab w:val="right" w:leader="dot" w:pos="8296"/>
      </w:tabs>
      <w:ind w:left="838" w:leftChars="381"/>
    </w:pPr>
    <w:rPr>
      <w:szCs w:val="21"/>
    </w:rPr>
  </w:style>
  <w:style w:type="paragraph" w:styleId="15">
    <w:name w:val="Plain Text"/>
    <w:basedOn w:val="1"/>
    <w:link w:val="51"/>
    <w:qFormat/>
    <w:uiPriority w:val="0"/>
    <w:pPr>
      <w:widowControl w:val="0"/>
      <w:adjustRightInd/>
      <w:snapToGrid/>
      <w:jc w:val="both"/>
    </w:pPr>
    <w:rPr>
      <w:rFonts w:ascii="宋体" w:hAnsi="Courier New" w:cs="Times New Roman"/>
      <w:b/>
      <w:kern w:val="2"/>
      <w:szCs w:val="20"/>
    </w:rPr>
  </w:style>
  <w:style w:type="paragraph" w:styleId="16">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7">
    <w:name w:val="Balloon Text"/>
    <w:basedOn w:val="1"/>
    <w:link w:val="54"/>
    <w:semiHidden/>
    <w:unhideWhenUsed/>
    <w:qFormat/>
    <w:uiPriority w:val="99"/>
    <w:rPr>
      <w:sz w:val="18"/>
      <w:szCs w:val="18"/>
    </w:rPr>
  </w:style>
  <w:style w:type="paragraph" w:styleId="18">
    <w:name w:val="footer"/>
    <w:basedOn w:val="1"/>
    <w:link w:val="53"/>
    <w:unhideWhenUsed/>
    <w:qFormat/>
    <w:uiPriority w:val="99"/>
    <w:pPr>
      <w:tabs>
        <w:tab w:val="center" w:pos="4153"/>
        <w:tab w:val="right" w:pos="8306"/>
      </w:tabs>
    </w:pPr>
    <w:rPr>
      <w:sz w:val="18"/>
      <w:szCs w:val="18"/>
    </w:rPr>
  </w:style>
  <w:style w:type="paragraph" w:styleId="19">
    <w:name w:val="header"/>
    <w:basedOn w:val="1"/>
    <w:link w:val="52"/>
    <w:unhideWhenUsed/>
    <w:qFormat/>
    <w:uiPriority w:val="99"/>
    <w:pPr>
      <w:pBdr>
        <w:bottom w:val="single" w:color="auto" w:sz="6" w:space="1"/>
      </w:pBdr>
      <w:tabs>
        <w:tab w:val="center" w:pos="4153"/>
        <w:tab w:val="right" w:pos="8306"/>
      </w:tabs>
      <w:jc w:val="center"/>
    </w:pPr>
    <w:rPr>
      <w:sz w:val="18"/>
      <w:szCs w:val="18"/>
    </w:rPr>
  </w:style>
  <w:style w:type="paragraph" w:styleId="20">
    <w:name w:val="toc 1"/>
    <w:basedOn w:val="1"/>
    <w:next w:val="1"/>
    <w:unhideWhenUsed/>
    <w:qFormat/>
    <w:uiPriority w:val="39"/>
  </w:style>
  <w:style w:type="paragraph" w:styleId="21">
    <w:name w:val="toc 4"/>
    <w:basedOn w:val="1"/>
    <w:next w:val="1"/>
    <w:unhideWhenUsed/>
    <w:qFormat/>
    <w:uiPriority w:val="39"/>
    <w:pPr>
      <w:tabs>
        <w:tab w:val="right" w:leader="dot" w:pos="8296"/>
      </w:tabs>
      <w:spacing w:after="120"/>
      <w:ind w:left="1320" w:leftChars="600"/>
    </w:pPr>
  </w:style>
  <w:style w:type="paragraph" w:styleId="22">
    <w:name w:val="footnote text"/>
    <w:basedOn w:val="1"/>
    <w:semiHidden/>
    <w:unhideWhenUsed/>
    <w:qFormat/>
    <w:uiPriority w:val="99"/>
    <w:rPr>
      <w:sz w:val="18"/>
    </w:rPr>
  </w:style>
  <w:style w:type="paragraph" w:styleId="23">
    <w:name w:val="toc 6"/>
    <w:basedOn w:val="1"/>
    <w:next w:val="1"/>
    <w:qFormat/>
    <w:uiPriority w:val="39"/>
    <w:pPr>
      <w:ind w:left="1200"/>
    </w:pPr>
    <w:rPr>
      <w:rFonts w:ascii="Calibri" w:cs="Calibri"/>
      <w:sz w:val="18"/>
      <w:szCs w:val="18"/>
    </w:rPr>
  </w:style>
  <w:style w:type="paragraph" w:styleId="24">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5">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6">
    <w:name w:val="Normal (Web)"/>
    <w:basedOn w:val="1"/>
    <w:link w:val="56"/>
    <w:qFormat/>
    <w:uiPriority w:val="0"/>
    <w:pPr>
      <w:widowControl w:val="0"/>
      <w:adjustRightInd/>
      <w:snapToGrid/>
      <w:jc w:val="both"/>
    </w:pPr>
    <w:rPr>
      <w:rFonts w:asciiTheme="minorHAnsi" w:hAnsiTheme="minorHAnsi"/>
      <w:kern w:val="2"/>
      <w:sz w:val="24"/>
      <w:szCs w:val="24"/>
    </w:rPr>
  </w:style>
  <w:style w:type="paragraph" w:styleId="27">
    <w:name w:val="annotation subject"/>
    <w:basedOn w:val="11"/>
    <w:next w:val="11"/>
    <w:link w:val="60"/>
    <w:semiHidden/>
    <w:unhideWhenUsed/>
    <w:qFormat/>
    <w:uiPriority w:val="99"/>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Emphasis"/>
    <w:basedOn w:val="30"/>
    <w:qFormat/>
    <w:uiPriority w:val="20"/>
    <w:rPr>
      <w:i/>
      <w:iCs/>
    </w:rPr>
  </w:style>
  <w:style w:type="character" w:styleId="33">
    <w:name w:val="Hyperlink"/>
    <w:qFormat/>
    <w:uiPriority w:val="99"/>
    <w:rPr>
      <w:rFonts w:hint="eastAsia" w:ascii="宋体" w:hAnsi="宋体" w:eastAsia="宋体" w:cs="宋体"/>
      <w:b/>
      <w:color w:val="0031C1"/>
      <w:kern w:val="0"/>
      <w:sz w:val="18"/>
      <w:szCs w:val="18"/>
      <w:u w:val="none"/>
      <w:lang w:eastAsia="en-US"/>
    </w:rPr>
  </w:style>
  <w:style w:type="character" w:styleId="34">
    <w:name w:val="annotation reference"/>
    <w:basedOn w:val="30"/>
    <w:semiHidden/>
    <w:unhideWhenUsed/>
    <w:qFormat/>
    <w:uiPriority w:val="99"/>
    <w:rPr>
      <w:sz w:val="21"/>
      <w:szCs w:val="21"/>
    </w:rPr>
  </w:style>
  <w:style w:type="character" w:styleId="35">
    <w:name w:val="footnote reference"/>
    <w:basedOn w:val="30"/>
    <w:semiHidden/>
    <w:unhideWhenUsed/>
    <w:qFormat/>
    <w:uiPriority w:val="99"/>
    <w:rPr>
      <w:vertAlign w:val="superscript"/>
    </w:rPr>
  </w:style>
  <w:style w:type="paragraph" w:customStyle="1" w:styleId="3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7">
    <w:name w:val="标题 2 字符"/>
    <w:basedOn w:val="30"/>
    <w:link w:val="6"/>
    <w:qFormat/>
    <w:uiPriority w:val="9"/>
    <w:rPr>
      <w:rFonts w:asciiTheme="majorHAnsi" w:hAnsiTheme="majorHAnsi" w:eastAsiaTheme="majorEastAsia" w:cstheme="majorBidi"/>
      <w:b/>
      <w:bCs/>
      <w:sz w:val="32"/>
      <w:szCs w:val="32"/>
    </w:rPr>
  </w:style>
  <w:style w:type="character" w:customStyle="1" w:styleId="38">
    <w:name w:val="标题 3 字符"/>
    <w:basedOn w:val="30"/>
    <w:link w:val="7"/>
    <w:qFormat/>
    <w:uiPriority w:val="9"/>
    <w:rPr>
      <w:rFonts w:ascii="Tahoma" w:hAnsi="Tahoma"/>
      <w:b/>
      <w:bCs/>
      <w:sz w:val="32"/>
      <w:szCs w:val="32"/>
    </w:rPr>
  </w:style>
  <w:style w:type="paragraph" w:styleId="39">
    <w:name w:val="List Paragraph"/>
    <w:basedOn w:val="1"/>
    <w:link w:val="61"/>
    <w:qFormat/>
    <w:uiPriority w:val="0"/>
    <w:pPr>
      <w:ind w:firstLine="420" w:firstLineChars="200"/>
    </w:pPr>
  </w:style>
  <w:style w:type="character" w:customStyle="1" w:styleId="40">
    <w:name w:val="标题 4 字符"/>
    <w:basedOn w:val="30"/>
    <w:link w:val="8"/>
    <w:qFormat/>
    <w:uiPriority w:val="9"/>
    <w:rPr>
      <w:rFonts w:eastAsia="宋体" w:asciiTheme="majorHAnsi" w:hAnsiTheme="majorHAnsi" w:cstheme="majorBidi"/>
      <w:b/>
      <w:bCs/>
      <w:sz w:val="24"/>
      <w:szCs w:val="28"/>
    </w:rPr>
  </w:style>
  <w:style w:type="character" w:customStyle="1" w:styleId="41">
    <w:name w:val="正文缩进2格 Char"/>
    <w:link w:val="42"/>
    <w:qFormat/>
    <w:uiPriority w:val="0"/>
    <w:rPr>
      <w:rFonts w:ascii="仿宋_GB2312" w:hAnsi="宋体" w:eastAsia="仿宋_GB2312"/>
      <w:kern w:val="2"/>
      <w:sz w:val="31"/>
    </w:rPr>
  </w:style>
  <w:style w:type="paragraph" w:customStyle="1" w:styleId="42">
    <w:name w:val="正文缩进2格"/>
    <w:basedOn w:val="1"/>
    <w:link w:val="4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3">
    <w:name w:val="正文缩进4格"/>
    <w:basedOn w:val="42"/>
    <w:qFormat/>
    <w:uiPriority w:val="0"/>
    <w:pPr>
      <w:ind w:left="2" w:firstLine="538" w:firstLineChars="192"/>
    </w:pPr>
    <w:rPr>
      <w:color w:val="0000FF"/>
      <w:sz w:val="28"/>
    </w:rPr>
  </w:style>
  <w:style w:type="character" w:customStyle="1" w:styleId="4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6">
    <w:name w:val="标题1"/>
    <w:qFormat/>
    <w:uiPriority w:val="0"/>
    <w:rPr>
      <w:rFonts w:ascii="Times New Roman" w:hAnsi="Times New Roman" w:eastAsia="宋体" w:cs="Times New Roman"/>
      <w:b/>
      <w:kern w:val="0"/>
      <w:sz w:val="24"/>
      <w:szCs w:val="20"/>
      <w:lang w:eastAsia="en-US"/>
    </w:rPr>
  </w:style>
  <w:style w:type="character" w:customStyle="1" w:styleId="47">
    <w:name w:val="标题 3.1 Char"/>
    <w:link w:val="48"/>
    <w:qFormat/>
    <w:uiPriority w:val="0"/>
    <w:rPr>
      <w:rFonts w:ascii="宋体" w:hAnsi="宋体" w:eastAsia="宋体"/>
      <w:b/>
      <w:color w:val="FF0000"/>
      <w:kern w:val="2"/>
      <w:sz w:val="32"/>
    </w:rPr>
  </w:style>
  <w:style w:type="paragraph" w:customStyle="1" w:styleId="48">
    <w:name w:val="标题 3.1"/>
    <w:basedOn w:val="7"/>
    <w:link w:val="4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9">
    <w:name w:val="样式 楷体_GB2312 小四"/>
    <w:qFormat/>
    <w:uiPriority w:val="0"/>
    <w:rPr>
      <w:rFonts w:ascii="楷体_GB2312" w:hAnsi="楷体_GB2312" w:eastAsia="仿宋_GB2312"/>
      <w:sz w:val="24"/>
    </w:rPr>
  </w:style>
  <w:style w:type="character" w:customStyle="1" w:styleId="50">
    <w:name w:val="纯文本 Char"/>
    <w:qFormat/>
    <w:uiPriority w:val="0"/>
    <w:rPr>
      <w:rFonts w:ascii="宋体" w:hAnsi="Courier New" w:eastAsia="宋体" w:cs="Times New Roman"/>
      <w:b/>
      <w:kern w:val="2"/>
      <w:sz w:val="21"/>
      <w:szCs w:val="20"/>
    </w:rPr>
  </w:style>
  <w:style w:type="character" w:customStyle="1" w:styleId="51">
    <w:name w:val="纯文本 字符"/>
    <w:basedOn w:val="30"/>
    <w:link w:val="15"/>
    <w:semiHidden/>
    <w:qFormat/>
    <w:uiPriority w:val="99"/>
    <w:rPr>
      <w:rFonts w:ascii="宋体" w:hAnsi="Courier New" w:eastAsia="宋体" w:cs="Courier New"/>
      <w:sz w:val="21"/>
      <w:szCs w:val="21"/>
    </w:rPr>
  </w:style>
  <w:style w:type="character" w:customStyle="1" w:styleId="52">
    <w:name w:val="页眉 字符"/>
    <w:basedOn w:val="30"/>
    <w:link w:val="19"/>
    <w:qFormat/>
    <w:uiPriority w:val="99"/>
    <w:rPr>
      <w:rFonts w:ascii="Tahoma" w:hAnsi="Tahoma"/>
      <w:sz w:val="18"/>
      <w:szCs w:val="18"/>
    </w:rPr>
  </w:style>
  <w:style w:type="character" w:customStyle="1" w:styleId="53">
    <w:name w:val="页脚 字符"/>
    <w:basedOn w:val="30"/>
    <w:link w:val="18"/>
    <w:qFormat/>
    <w:uiPriority w:val="99"/>
    <w:rPr>
      <w:rFonts w:ascii="Tahoma" w:hAnsi="Tahoma"/>
      <w:sz w:val="18"/>
      <w:szCs w:val="18"/>
    </w:rPr>
  </w:style>
  <w:style w:type="character" w:customStyle="1" w:styleId="54">
    <w:name w:val="批注框文本 字符"/>
    <w:basedOn w:val="30"/>
    <w:link w:val="17"/>
    <w:semiHidden/>
    <w:qFormat/>
    <w:uiPriority w:val="99"/>
    <w:rPr>
      <w:rFonts w:ascii="Tahoma" w:hAnsi="Tahoma"/>
      <w:sz w:val="18"/>
      <w:szCs w:val="18"/>
    </w:rPr>
  </w:style>
  <w:style w:type="paragraph" w:customStyle="1" w:styleId="5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6">
    <w:name w:val="普通(网站) 字符"/>
    <w:link w:val="26"/>
    <w:qFormat/>
    <w:uiPriority w:val="0"/>
    <w:rPr>
      <w:rFonts w:eastAsia="宋体"/>
      <w:kern w:val="2"/>
      <w:sz w:val="24"/>
      <w:szCs w:val="24"/>
    </w:rPr>
  </w:style>
  <w:style w:type="paragraph" w:customStyle="1" w:styleId="5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8">
    <w:name w:val="p141"/>
    <w:qFormat/>
    <w:uiPriority w:val="0"/>
    <w:rPr>
      <w:sz w:val="21"/>
      <w:szCs w:val="21"/>
    </w:rPr>
  </w:style>
  <w:style w:type="character" w:customStyle="1" w:styleId="59">
    <w:name w:val="批注文字 字符"/>
    <w:basedOn w:val="30"/>
    <w:link w:val="11"/>
    <w:qFormat/>
    <w:uiPriority w:val="99"/>
    <w:rPr>
      <w:rFonts w:ascii="Tahoma" w:hAnsi="Tahoma" w:eastAsia="微软雅黑" w:cstheme="minorBidi"/>
      <w:sz w:val="22"/>
      <w:szCs w:val="22"/>
    </w:rPr>
  </w:style>
  <w:style w:type="character" w:customStyle="1" w:styleId="60">
    <w:name w:val="批注主题 字符"/>
    <w:basedOn w:val="59"/>
    <w:link w:val="27"/>
    <w:semiHidden/>
    <w:qFormat/>
    <w:uiPriority w:val="99"/>
    <w:rPr>
      <w:rFonts w:ascii="Tahoma" w:hAnsi="Tahoma" w:eastAsia="微软雅黑" w:cstheme="minorBidi"/>
      <w:b/>
      <w:bCs/>
      <w:sz w:val="22"/>
      <w:szCs w:val="22"/>
    </w:rPr>
  </w:style>
  <w:style w:type="character" w:customStyle="1" w:styleId="61">
    <w:name w:val="列表段落 字符"/>
    <w:link w:val="39"/>
    <w:qFormat/>
    <w:uiPriority w:val="0"/>
    <w:rPr>
      <w:rFonts w:ascii="Tahoma" w:hAnsi="Tahoma" w:eastAsia="微软雅黑" w:cstheme="minorBidi"/>
      <w:sz w:val="22"/>
      <w:szCs w:val="22"/>
    </w:rPr>
  </w:style>
  <w:style w:type="character" w:customStyle="1" w:styleId="62">
    <w:name w:val="正文文本 字符"/>
    <w:basedOn w:val="30"/>
    <w:link w:val="3"/>
    <w:qFormat/>
    <w:uiPriority w:val="1"/>
    <w:rPr>
      <w:rFonts w:ascii="宋体" w:hAnsi="宋体" w:cs="宋体"/>
      <w:sz w:val="24"/>
      <w:szCs w:val="22"/>
      <w:lang w:val="zh-CN" w:bidi="zh-CN"/>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_Style 1"/>
    <w:basedOn w:val="1"/>
    <w:qFormat/>
    <w:uiPriority w:val="0"/>
    <w:pPr>
      <w:ind w:firstLine="420" w:firstLineChars="200"/>
    </w:pPr>
  </w:style>
  <w:style w:type="paragraph" w:customStyle="1" w:styleId="65">
    <w:name w:val="列出段落2"/>
    <w:basedOn w:val="1"/>
    <w:qFormat/>
    <w:uiPriority w:val="0"/>
    <w:pPr>
      <w:ind w:firstLine="420" w:firstLineChars="200"/>
    </w:pPr>
  </w:style>
  <w:style w:type="paragraph" w:customStyle="1" w:styleId="66">
    <w:name w:val="p0"/>
    <w:basedOn w:val="1"/>
    <w:qFormat/>
    <w:uiPriority w:val="0"/>
    <w:rPr>
      <w:szCs w:val="21"/>
    </w:rPr>
  </w:style>
  <w:style w:type="paragraph" w:customStyle="1" w:styleId="67">
    <w:name w:val="正文文本缩进 21"/>
    <w:basedOn w:val="1"/>
    <w:qFormat/>
    <w:uiPriority w:val="0"/>
    <w:pPr>
      <w:spacing w:line="480" w:lineRule="auto"/>
      <w:ind w:firstLine="540"/>
    </w:pPr>
    <w:rPr>
      <w:rFonts w:ascii="Calibri" w:hAnsi="Calibri"/>
      <w:sz w:val="20"/>
      <w:szCs w:val="20"/>
    </w:rPr>
  </w:style>
  <w:style w:type="paragraph" w:customStyle="1" w:styleId="68">
    <w:name w:val="_Style 2"/>
    <w:basedOn w:val="1"/>
    <w:qFormat/>
    <w:uiPriority w:val="0"/>
    <w:pPr>
      <w:ind w:firstLine="420" w:firstLineChars="200"/>
    </w:pPr>
  </w:style>
  <w:style w:type="paragraph" w:customStyle="1" w:styleId="69">
    <w:name w:val="msolistparagraph"/>
    <w:basedOn w:val="1"/>
    <w:qFormat/>
    <w:uiPriority w:val="0"/>
    <w:pPr>
      <w:ind w:firstLine="420" w:firstLineChars="200"/>
    </w:pPr>
    <w:rPr>
      <w:rFonts w:hint="eastAsia" w:hAnsi="宋体"/>
    </w:rPr>
  </w:style>
  <w:style w:type="character" w:customStyle="1" w:styleId="70">
    <w:name w:val="标题 5 字符"/>
    <w:link w:val="9"/>
    <w:qFormat/>
    <w:uiPriority w:val="0"/>
    <w:rPr>
      <w:b/>
      <w:sz w:val="28"/>
    </w:rPr>
  </w:style>
  <w:style w:type="character" w:customStyle="1" w:styleId="71">
    <w:name w:val="标题 1 字符"/>
    <w:link w:val="5"/>
    <w:qFormat/>
    <w:uiPriority w:val="9"/>
    <w:rPr>
      <w:b/>
      <w:kern w:val="44"/>
      <w:sz w:val="44"/>
    </w:rPr>
  </w:style>
  <w:style w:type="paragraph" w:customStyle="1" w:styleId="72">
    <w:name w:val="修订1"/>
    <w:hidden/>
    <w:semiHidden/>
    <w:qFormat/>
    <w:uiPriority w:val="99"/>
    <w:rPr>
      <w:rFonts w:ascii="Tahoma" w:hAnsi="Tahoma" w:eastAsia="宋体" w:cstheme="minorBidi"/>
      <w:sz w:val="21"/>
      <w:szCs w:val="22"/>
      <w:lang w:val="en-US" w:eastAsia="zh-CN" w:bidi="ar-SA"/>
    </w:rPr>
  </w:style>
  <w:style w:type="paragraph" w:customStyle="1" w:styleId="73">
    <w:name w:val="表格文字"/>
    <w:basedOn w:val="1"/>
    <w:qFormat/>
    <w:uiPriority w:val="0"/>
    <w:pPr>
      <w:adjustRightInd/>
      <w:spacing w:before="25" w:after="25"/>
    </w:pPr>
    <w:rPr>
      <w:rFonts w:ascii="Times New Roman"/>
      <w:bCs/>
      <w:spacing w:val="10"/>
      <w:szCs w:val="20"/>
    </w:rPr>
  </w:style>
  <w:style w:type="paragraph" w:customStyle="1" w:styleId="74">
    <w:name w:val="纯文本1"/>
    <w:basedOn w:val="75"/>
    <w:qFormat/>
    <w:uiPriority w:val="0"/>
    <w:rPr>
      <w:rFonts w:ascii="宋体" w:hAnsi="Courier New"/>
      <w:szCs w:val="20"/>
    </w:rPr>
  </w:style>
  <w:style w:type="paragraph" w:customStyle="1" w:styleId="75">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6">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style>
  <w:style w:type="paragraph" w:customStyle="1" w:styleId="79">
    <w:name w:val="正文文本缩进1"/>
    <w:basedOn w:val="75"/>
    <w:qFormat/>
    <w:uiPriority w:val="0"/>
    <w:pPr>
      <w:spacing w:after="120"/>
      <w:ind w:left="420" w:leftChars="200"/>
    </w:pPr>
  </w:style>
  <w:style w:type="paragraph" w:customStyle="1" w:styleId="8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1">
    <w:name w:val="纯文本2"/>
    <w:basedOn w:val="75"/>
    <w:qFormat/>
    <w:uiPriority w:val="0"/>
    <w:rPr>
      <w:rFonts w:ascii="宋体" w:hAnsi="Courier New"/>
      <w:szCs w:val="20"/>
    </w:rPr>
  </w:style>
  <w:style w:type="character" w:customStyle="1" w:styleId="82">
    <w:name w:val="font141"/>
    <w:qFormat/>
    <w:uiPriority w:val="0"/>
    <w:rPr>
      <w:rFonts w:hint="default" w:ascii="Times New Roman" w:hAnsi="Times New Roman" w:cs="Times New Roman"/>
      <w:color w:val="000000"/>
      <w:sz w:val="18"/>
      <w:szCs w:val="18"/>
      <w:u w:val="none"/>
    </w:rPr>
  </w:style>
  <w:style w:type="character" w:customStyle="1" w:styleId="83">
    <w:name w:val="font71"/>
    <w:qFormat/>
    <w:uiPriority w:val="0"/>
    <w:rPr>
      <w:rFonts w:hint="eastAsia" w:ascii="宋体" w:hAnsi="宋体" w:eastAsia="宋体" w:cs="宋体"/>
      <w:color w:val="000000"/>
      <w:sz w:val="18"/>
      <w:szCs w:val="18"/>
      <w:u w:val="none"/>
    </w:rPr>
  </w:style>
  <w:style w:type="character" w:customStyle="1" w:styleId="84">
    <w:name w:val="蓝色显示 Char"/>
    <w:link w:val="85"/>
    <w:qFormat/>
    <w:uiPriority w:val="0"/>
    <w:rPr>
      <w:b/>
      <w:color w:val="0070C0"/>
      <w:kern w:val="2"/>
      <w:sz w:val="21"/>
      <w:szCs w:val="24"/>
    </w:rPr>
  </w:style>
  <w:style w:type="paragraph" w:customStyle="1" w:styleId="85">
    <w:name w:val="蓝色显示"/>
    <w:basedOn w:val="1"/>
    <w:link w:val="84"/>
    <w:qFormat/>
    <w:uiPriority w:val="0"/>
    <w:pPr>
      <w:widowControl w:val="0"/>
      <w:adjustRightInd/>
      <w:snapToGrid/>
      <w:spacing w:before="340" w:after="330" w:line="400" w:lineRule="exact"/>
      <w:jc w:val="both"/>
    </w:pPr>
    <w:rPr>
      <w:rFonts w:ascii="Times New Roman" w:hAnsi="Times New Roman" w:cs="Times New Roman"/>
      <w:b/>
      <w:color w:val="0070C0"/>
      <w:kern w:val="2"/>
      <w:szCs w:val="24"/>
    </w:rPr>
  </w:style>
  <w:style w:type="character" w:customStyle="1" w:styleId="86">
    <w:name w:val="font31"/>
    <w:basedOn w:val="30"/>
    <w:qFormat/>
    <w:uiPriority w:val="0"/>
    <w:rPr>
      <w:rFonts w:hint="eastAsia" w:ascii="宋体" w:hAnsi="宋体" w:eastAsia="宋体" w:cs="宋体"/>
      <w:b/>
      <w:bCs/>
      <w:color w:val="000000"/>
      <w:sz w:val="20"/>
      <w:szCs w:val="20"/>
      <w:u w:val="none"/>
    </w:rPr>
  </w:style>
  <w:style w:type="character" w:customStyle="1" w:styleId="87">
    <w:name w:val="font11"/>
    <w:basedOn w:val="30"/>
    <w:qFormat/>
    <w:uiPriority w:val="0"/>
    <w:rPr>
      <w:rFonts w:hint="eastAsia" w:ascii="宋体" w:hAnsi="宋体" w:eastAsia="宋体" w:cs="宋体"/>
      <w:color w:val="000000"/>
      <w:sz w:val="20"/>
      <w:szCs w:val="20"/>
      <w:u w:val="none"/>
    </w:rPr>
  </w:style>
  <w:style w:type="character" w:customStyle="1" w:styleId="88">
    <w:name w:val="font61"/>
    <w:basedOn w:val="30"/>
    <w:qFormat/>
    <w:uiPriority w:val="0"/>
    <w:rPr>
      <w:rFonts w:hint="eastAsia" w:ascii="宋体" w:hAnsi="宋体" w:eastAsia="宋体" w:cs="宋体"/>
      <w:color w:val="000000"/>
      <w:sz w:val="20"/>
      <w:szCs w:val="20"/>
      <w:u w:val="none"/>
    </w:rPr>
  </w:style>
  <w:style w:type="character" w:customStyle="1" w:styleId="89">
    <w:name w:val="font81"/>
    <w:basedOn w:val="30"/>
    <w:qFormat/>
    <w:uiPriority w:val="0"/>
    <w:rPr>
      <w:rFonts w:ascii="宋体" w:hAnsi="宋体" w:eastAsia="宋体" w:cs="宋体"/>
      <w:color w:val="000000"/>
      <w:sz w:val="20"/>
      <w:szCs w:val="20"/>
      <w:u w:val="none"/>
    </w:rPr>
  </w:style>
  <w:style w:type="character" w:customStyle="1" w:styleId="90">
    <w:name w:val="font51"/>
    <w:basedOn w:val="30"/>
    <w:qFormat/>
    <w:uiPriority w:val="0"/>
    <w:rPr>
      <w:rFonts w:hint="eastAsia" w:ascii="宋体" w:hAnsi="宋体" w:eastAsia="宋体" w:cs="宋体"/>
      <w:b/>
      <w:bCs/>
      <w:color w:val="000000"/>
      <w:sz w:val="20"/>
      <w:szCs w:val="20"/>
      <w:u w:val="none"/>
    </w:rPr>
  </w:style>
  <w:style w:type="character" w:customStyle="1" w:styleId="91">
    <w:name w:val="font21"/>
    <w:basedOn w:val="30"/>
    <w:qFormat/>
    <w:uiPriority w:val="0"/>
    <w:rPr>
      <w:rFonts w:hint="eastAsia" w:ascii="宋体" w:hAnsi="宋体" w:eastAsia="宋体" w:cs="宋体"/>
      <w:b/>
      <w:bCs/>
      <w:color w:val="000000"/>
      <w:sz w:val="20"/>
      <w:szCs w:val="20"/>
      <w:u w:val="none"/>
    </w:rPr>
  </w:style>
  <w:style w:type="character" w:customStyle="1" w:styleId="92">
    <w:name w:val="font01"/>
    <w:basedOn w:val="30"/>
    <w:qFormat/>
    <w:uiPriority w:val="0"/>
    <w:rPr>
      <w:rFonts w:hint="eastAsia" w:ascii="宋体" w:hAnsi="宋体" w:eastAsia="宋体" w:cs="宋体"/>
      <w:color w:val="000000"/>
      <w:sz w:val="20"/>
      <w:szCs w:val="20"/>
      <w:u w:val="none"/>
    </w:rPr>
  </w:style>
  <w:style w:type="character" w:customStyle="1" w:styleId="93">
    <w:name w:val="font41"/>
    <w:basedOn w:val="30"/>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109</Pages>
  <Words>48521</Words>
  <Characters>56317</Characters>
  <Lines>482</Lines>
  <Paragraphs>135</Paragraphs>
  <TotalTime>2</TotalTime>
  <ScaleCrop>false</ScaleCrop>
  <LinksUpToDate>false</LinksUpToDate>
  <CharactersWithSpaces>58060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2023-05-28T04:00:00Z</dcterms:created>
  <dc:creator>MyPC</dc:creator>
  <cp:lastModifiedBy>WPS_1573530454</cp:lastModifiedBy>
  <cp:lastPrinted>2022-12-01T06:09:00Z</cp:lastPrinted>
  <dcterms:modified xsi:type="dcterms:W3CDTF">2023-07-19T07:23:05Z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A4A6D3D7FDFE433F90E3B49D8B32FBAE</vt:lpwstr>
  </property>
</Properties>
</file>